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594E6">
      <w:pPr>
        <w:spacing w:line="580" w:lineRule="exact"/>
        <w:contextualSpacing/>
        <w:rPr>
          <w:rFonts w:hint="default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zh-CN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</w:p>
    <w:p w14:paraId="0A69410F">
      <w:pPr>
        <w:widowControl/>
        <w:spacing w:line="580" w:lineRule="exact"/>
        <w:contextualSpacing/>
        <w:jc w:val="center"/>
        <w:rPr>
          <w:rFonts w:eastAsia="宋体"/>
          <w:b/>
          <w:sz w:val="44"/>
          <w:szCs w:val="44"/>
          <w:shd w:val="clear" w:color="auto" w:fill="FFFFFF"/>
        </w:rPr>
      </w:pPr>
    </w:p>
    <w:p w14:paraId="234B0535">
      <w:pPr>
        <w:widowControl/>
        <w:spacing w:line="58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</w:rPr>
        <w:t>年度部门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eastAsia="zh-CN"/>
        </w:rPr>
        <w:t>预算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</w:rPr>
        <w:t>整体支出绩效评价</w:t>
      </w:r>
    </w:p>
    <w:p w14:paraId="4A86450B">
      <w:pPr>
        <w:widowControl/>
        <w:spacing w:line="580" w:lineRule="exact"/>
        <w:contextualSpacing/>
        <w:jc w:val="center"/>
        <w:rPr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  <w:lang w:eastAsia="zh-CN"/>
        </w:rPr>
        <w:t>自评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shd w:val="clear" w:color="auto" w:fill="FFFFFF"/>
        </w:rPr>
        <w:t>报告</w:t>
      </w:r>
    </w:p>
    <w:p w14:paraId="0001B803">
      <w:pPr>
        <w:widowControl/>
        <w:adjustRightInd w:val="0"/>
        <w:snapToGrid w:val="0"/>
        <w:spacing w:line="580" w:lineRule="exact"/>
        <w:ind w:firstLine="480" w:firstLineChars="200"/>
        <w:contextualSpacing/>
        <w:jc w:val="left"/>
        <w:rPr>
          <w:rFonts w:eastAsia="黑体"/>
          <w:color w:val="000000"/>
          <w:kern w:val="0"/>
          <w:sz w:val="24"/>
          <w:szCs w:val="32"/>
          <w:shd w:val="clear" w:color="auto" w:fill="FFFFFF"/>
        </w:rPr>
      </w:pPr>
    </w:p>
    <w:p w14:paraId="5CCBBEE1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一、</w:t>
      </w:r>
      <w:r>
        <w:rPr>
          <w:rFonts w:eastAsia="黑体"/>
          <w:color w:val="000000"/>
          <w:kern w:val="0"/>
          <w:szCs w:val="32"/>
          <w:shd w:val="clear" w:color="auto" w:fill="FFFFFF"/>
          <w:lang w:val="zh-CN"/>
        </w:rPr>
        <w:t>部门（单位）概况</w:t>
      </w:r>
    </w:p>
    <w:p w14:paraId="0CBA6A31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  <w:lang w:val="zh-CN"/>
        </w:rPr>
        <w:t>（一）机构组成。</w:t>
      </w:r>
    </w:p>
    <w:p w14:paraId="35F1590F">
      <w:pPr>
        <w:numPr>
          <w:ilvl w:val="0"/>
          <w:numId w:val="0"/>
        </w:numPr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东区卫生健康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个内设机构：办公室、综合业务股、社会事务股（区爱国卫生工作办公室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计生股</w:t>
      </w:r>
      <w:r>
        <w:rPr>
          <w:rFonts w:hint="eastAsia" w:ascii="仿宋_GB2312" w:hAnsi="仿宋_GB2312" w:eastAsia="仿宋_GB2312" w:cs="仿宋_GB2312"/>
          <w:sz w:val="32"/>
          <w:szCs w:val="32"/>
        </w:rPr>
        <w:t>）、法制健康股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疾病预防控制股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3个</w:t>
      </w:r>
      <w:r>
        <w:rPr>
          <w:rFonts w:hint="eastAsia" w:ascii="仿宋_GB2312" w:hAnsi="仿宋_GB2312" w:eastAsia="仿宋_GB2312" w:cs="仿宋_GB2312"/>
          <w:sz w:val="32"/>
          <w:szCs w:val="32"/>
        </w:rPr>
        <w:t>下属机构：东区基层发展促进中心、东区疾病预防控制中心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东区卫生执法监督大队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、东区妇幼保健服务中心。</w:t>
      </w:r>
    </w:p>
    <w:p w14:paraId="6264A1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rPr>
          <w:rFonts w:hint="eastAsia" w:eastAsia="仿宋_GB2312"/>
          <w:color w:val="auto"/>
          <w:kern w:val="0"/>
          <w:sz w:val="32"/>
          <w:szCs w:val="32"/>
        </w:rPr>
      </w:pPr>
      <w:r>
        <w:rPr>
          <w:rFonts w:hint="eastAsia" w:eastAsia="仿宋_GB2312"/>
          <w:color w:val="auto"/>
          <w:kern w:val="0"/>
          <w:sz w:val="32"/>
          <w:szCs w:val="32"/>
        </w:rPr>
        <w:t>妇幼保健机构“大部制”改革与机构标准化建设要求，围绕防治康融合建设理念，理顺机构架构及运行模式，深入推进本机构等级评审工作及优质服务基层行工作，结合我单位实际，中心共设置 1</w:t>
      </w: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eastAsia="仿宋_GB2312"/>
          <w:color w:val="auto"/>
          <w:kern w:val="0"/>
          <w:sz w:val="32"/>
          <w:szCs w:val="32"/>
        </w:rPr>
        <w:t xml:space="preserve"> 个</w:t>
      </w:r>
      <w:r>
        <w:rPr>
          <w:rFonts w:hint="eastAsia" w:eastAsia="仿宋_GB2312"/>
          <w:color w:val="auto"/>
          <w:kern w:val="0"/>
          <w:sz w:val="32"/>
          <w:szCs w:val="32"/>
          <w:lang w:eastAsia="zh-CN"/>
        </w:rPr>
        <w:t>内设</w:t>
      </w:r>
      <w:r>
        <w:rPr>
          <w:rFonts w:hint="eastAsia" w:eastAsia="仿宋_GB2312"/>
          <w:color w:val="auto"/>
          <w:kern w:val="0"/>
          <w:sz w:val="32"/>
          <w:szCs w:val="32"/>
        </w:rPr>
        <w:t xml:space="preserve">科室，其中职能科室 </w:t>
      </w: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eastAsia="仿宋_GB2312"/>
          <w:color w:val="auto"/>
          <w:kern w:val="0"/>
          <w:sz w:val="32"/>
          <w:szCs w:val="32"/>
        </w:rPr>
        <w:t xml:space="preserve"> 个，业务科室 </w:t>
      </w: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eastAsia="仿宋_GB2312"/>
          <w:color w:val="auto"/>
          <w:kern w:val="0"/>
          <w:sz w:val="32"/>
          <w:szCs w:val="32"/>
        </w:rPr>
        <w:t xml:space="preserve"> 个，包含:党政综合办公室 、总务科 、财务科、医务科、</w:t>
      </w:r>
      <w:r>
        <w:rPr>
          <w:rFonts w:hint="eastAsia" w:eastAsia="仿宋_GB2312"/>
          <w:color w:val="auto"/>
          <w:kern w:val="0"/>
          <w:sz w:val="32"/>
          <w:szCs w:val="32"/>
          <w:lang w:eastAsia="zh-CN"/>
        </w:rPr>
        <w:t>妇幼信息</w:t>
      </w:r>
      <w:r>
        <w:rPr>
          <w:rFonts w:hint="eastAsia" w:eastAsia="仿宋_GB2312"/>
          <w:color w:val="auto"/>
          <w:kern w:val="0"/>
          <w:sz w:val="32"/>
          <w:szCs w:val="32"/>
        </w:rPr>
        <w:t>科、公共卫生服务科、妇女健康科、儿童健康科、中医康复科、护理科、医技科。配备有进口彩超、五分类全自动血球分析仪、CR等医疗设备，与市妇幼保健院、市中心医院缔结医联体，与市康复医院共建中医康复联盟体，与市中心医院共建远程心电图</w:t>
      </w:r>
      <w:r>
        <w:rPr>
          <w:rFonts w:hint="eastAsia" w:eastAsia="仿宋_GB2312"/>
          <w:color w:val="auto"/>
          <w:kern w:val="0"/>
          <w:sz w:val="32"/>
          <w:szCs w:val="32"/>
          <w:lang w:eastAsia="zh-CN"/>
        </w:rPr>
        <w:t>、远程</w:t>
      </w:r>
      <w:r>
        <w:rPr>
          <w:rFonts w:hint="eastAsia" w:eastAsia="仿宋_GB2312"/>
          <w:color w:val="auto"/>
          <w:kern w:val="0"/>
          <w:sz w:val="32"/>
          <w:szCs w:val="32"/>
        </w:rPr>
        <w:t>CR诊断。</w:t>
      </w:r>
    </w:p>
    <w:p w14:paraId="579BCB2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疾控中心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核定内设机构10个，包括慢性病综合防控股、公共卫生综合股、传染病综合防控股、免疫规划股、检验股、质量管理股、重大传染病防控股、健康教育和地方病股、卫生监督股和办公室。车辆编制数2辆，实有车辆2辆。</w:t>
      </w:r>
    </w:p>
    <w:p w14:paraId="7158B18D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</w:p>
    <w:p w14:paraId="3F8EBB67">
      <w:pPr>
        <w:widowControl/>
        <w:numPr>
          <w:ilvl w:val="0"/>
          <w:numId w:val="1"/>
        </w:numPr>
        <w:adjustRightInd w:val="0"/>
        <w:snapToGrid w:val="0"/>
        <w:spacing w:line="58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  <w:lang w:val="zh-CN"/>
        </w:rPr>
        <w:t>机构职能。</w:t>
      </w:r>
    </w:p>
    <w:p w14:paraId="1D8E3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left"/>
        <w:textAlignment w:val="auto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织拟订全区卫生健康政策。负责拟订卫生健康事业发展政策、规划并组织实施。统筹规划全区卫生健康资源配置。制定并组织实施推进卫生健康基本公共服务均等化、普惠化、便捷化和公共资源向基层延伸等政策措施；牵头推进全区深化医药卫生体制改革。研究提出深化改革重大政策、措施的建议。组织深化基层医疗机构综合改革，建立健全现代医院管理制度。制定并组织实施推动卫生健康公共服务提供主体多元化、提供方式多样化的政策措施；制定并组织落实全区疾病预防控制规划、免疫规划以及严重危害人民健康的艾滋病等重大传染病、寄生虫病、地方病等公共卫生问题的干预措施。负责全区卫生应急工作，组织和指导全区突发公共卫生事件预防控制，组织开展各类突发公共事件的医疗卫生救援。收集、报告法定传染病疫情信息、突发公共卫生事件应急处置信息。依照国家检疫传染病和监测传染病目录，参与开展检疫监测工作；贯彻落实国家应对人口老龄化政策措施。负责推进老年健康服务体系建设和医养结合工作。承担区老龄工作委员会日常工作；贯彻落实国家药物政策和国家基本药物制度。开展药械使用监测、临床综合评价和短缺药品预警，组织执行国家药典和国家基本药物目录，制定基本药物使用的政策措施；组织实施食品安全风险监测，组织开展食品安全事故流行病学调查；负责职责范围内的职业卫生、放射卫生、环境卫生、学校卫生、公共场所卫生、饮用水卫生等公共卫生的监督管理。负责传染病防治监督，健全卫生健康综合监管体系；制定全区医疗机构、医疗服务行业管理办法并监督实施，建立医疗服务评价和监督管理体系。会同有关部门实施卫生健康专业技术人员资格标准。制定并组织实施医疗服务规范、标准和卫生健康专业技术人员执业规则、服务规范。负责医疗机构、人员和行为的日常监管；制定全区中医药中长期发展规划，并纳入卫生健康事业发展总体规划和战略目标予以组织实施；负责全区计划生育管理和服务工作，开展人口监测预警，研究提出人口与家庭发展相关政策建议，执行计划生育政策。指导区计划生育协会的业务工作；指导基层卫生健康工作。指导基层医疗卫生、妇幼健康服务体系和基层卫生队伍建设。推进卫生健康科技创新发展；负责区确定的保健对象的医疗保健工作，负责区直有关部门（单位）离休干部医疗管理工作。负责重要会议与重大活动的医疗卫生保障工作；依法依规履行卫生健康行业安全生产监管职责，负责职责范围内的生态环境保护、审批服务便民化等工作；完成区委、区政府交办的其他任务。</w:t>
      </w:r>
    </w:p>
    <w:p w14:paraId="7EED778B">
      <w:pPr>
        <w:widowControl/>
        <w:numPr>
          <w:ilvl w:val="0"/>
          <w:numId w:val="1"/>
        </w:numPr>
        <w:adjustRightInd w:val="0"/>
        <w:snapToGrid w:val="0"/>
        <w:spacing w:line="580" w:lineRule="exact"/>
        <w:ind w:left="0" w:leftChars="0"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  <w:lang w:val="zh-CN"/>
        </w:rPr>
        <w:t>人员概况。</w:t>
      </w:r>
    </w:p>
    <w:p w14:paraId="6088AE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东区卫生健康局机关行政编制8名，计生协会参公事业编制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2名，社区卫生服务办公室事业编制3名，区人社局统一聘用人员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在职人员总数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人，其中：行政人员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人，参公人员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人，事业人员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区人社局统一聘用人员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 w14:paraId="2D8C09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因疾控体系改革，区卫生监督执法大队并入区疾控中心，疾控中心2025年年末在职人员实有数为57人，较往年增多。</w:t>
      </w:r>
    </w:p>
    <w:p w14:paraId="4F460E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eastAsia="仿宋_GB2312"/>
          <w:kern w:val="0"/>
          <w:sz w:val="32"/>
          <w:szCs w:val="32"/>
          <w:lang w:val="en-US" w:eastAsia="zh-CN"/>
        </w:rPr>
        <w:t>东区妇保中心</w:t>
      </w:r>
      <w:r>
        <w:rPr>
          <w:rFonts w:hint="eastAsia" w:eastAsia="仿宋_GB2312"/>
          <w:kern w:val="0"/>
          <w:sz w:val="32"/>
          <w:szCs w:val="32"/>
        </w:rPr>
        <w:t>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  <w:lang w:eastAsia="zh-CN"/>
        </w:rPr>
        <w:t>年末</w:t>
      </w:r>
      <w:r>
        <w:rPr>
          <w:rFonts w:hint="eastAsia" w:eastAsia="仿宋_GB2312"/>
          <w:kern w:val="0"/>
          <w:sz w:val="32"/>
          <w:szCs w:val="32"/>
        </w:rPr>
        <w:t>在职人数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19</w:t>
      </w:r>
      <w:r>
        <w:rPr>
          <w:rFonts w:hint="eastAsia" w:eastAsia="仿宋_GB2312"/>
          <w:kern w:val="0"/>
          <w:sz w:val="32"/>
          <w:szCs w:val="32"/>
        </w:rPr>
        <w:t>人，其中：编制人数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eastAsia="仿宋_GB2312"/>
          <w:kern w:val="0"/>
          <w:sz w:val="32"/>
          <w:szCs w:val="32"/>
        </w:rPr>
        <w:t>人，为事业编制</w:t>
      </w:r>
      <w:r>
        <w:rPr>
          <w:rFonts w:hint="eastAsia" w:eastAsia="仿宋_GB2312"/>
          <w:kern w:val="0"/>
          <w:sz w:val="32"/>
          <w:szCs w:val="32"/>
          <w:lang w:eastAsia="zh-CN"/>
        </w:rPr>
        <w:t>，较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2024年减少1人；</w:t>
      </w:r>
      <w:r>
        <w:rPr>
          <w:rFonts w:hint="eastAsia" w:eastAsia="仿宋_GB2312"/>
          <w:kern w:val="0"/>
          <w:sz w:val="32"/>
          <w:szCs w:val="32"/>
        </w:rPr>
        <w:t>中心退休人员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eastAsia="仿宋_GB2312"/>
          <w:kern w:val="0"/>
          <w:sz w:val="32"/>
          <w:szCs w:val="32"/>
        </w:rPr>
        <w:t>人</w:t>
      </w:r>
      <w:r>
        <w:rPr>
          <w:rFonts w:hint="eastAsia" w:eastAsia="仿宋_GB2312"/>
          <w:kern w:val="0"/>
          <w:sz w:val="32"/>
          <w:szCs w:val="32"/>
          <w:lang w:eastAsia="zh-CN"/>
        </w:rPr>
        <w:t>，较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2024年增加1人</w:t>
      </w:r>
      <w:r>
        <w:rPr>
          <w:rFonts w:hint="eastAsia" w:eastAsia="仿宋_GB2312"/>
          <w:kern w:val="0"/>
          <w:sz w:val="32"/>
          <w:szCs w:val="32"/>
        </w:rPr>
        <w:t>。单位自聘人员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eastAsia="仿宋_GB2312"/>
          <w:kern w:val="0"/>
          <w:sz w:val="32"/>
          <w:szCs w:val="32"/>
        </w:rPr>
        <w:t>人</w:t>
      </w:r>
      <w:r>
        <w:rPr>
          <w:rFonts w:hint="eastAsia" w:eastAsia="仿宋_GB2312"/>
          <w:kern w:val="0"/>
          <w:sz w:val="32"/>
          <w:szCs w:val="32"/>
          <w:lang w:eastAsia="zh-CN"/>
        </w:rPr>
        <w:t>，本年新进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5人，离职3人。</w:t>
      </w:r>
    </w:p>
    <w:p w14:paraId="413E6556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二、部门财政资金收支情况</w:t>
      </w:r>
    </w:p>
    <w:p w14:paraId="1B24EE72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  <w:lang w:val="zh-CN"/>
        </w:rPr>
        <w:t>（一）部门财政资金收入</w:t>
      </w:r>
      <w:r>
        <w:rPr>
          <w:rFonts w:hint="eastAsia"/>
          <w:color w:val="000000"/>
          <w:kern w:val="0"/>
          <w:szCs w:val="32"/>
          <w:shd w:val="clear" w:color="auto" w:fill="FFFFFF"/>
          <w:lang w:val="en-US" w:eastAsia="zh-CN"/>
        </w:rPr>
        <w:t>支出</w:t>
      </w:r>
      <w:r>
        <w:rPr>
          <w:color w:val="000000"/>
          <w:kern w:val="0"/>
          <w:szCs w:val="32"/>
          <w:shd w:val="clear" w:color="auto" w:fill="FFFFFF"/>
          <w:lang w:val="zh-CN"/>
        </w:rPr>
        <w:t>情况。</w:t>
      </w:r>
    </w:p>
    <w:p w14:paraId="7C4CAF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80" w:lineRule="exact"/>
        <w:ind w:firstLine="640" w:firstLineChars="200"/>
        <w:rPr>
          <w:rFonts w:hint="default"/>
          <w:color w:val="000000"/>
          <w:kern w:val="0"/>
          <w:szCs w:val="32"/>
          <w:shd w:val="clear" w:color="auto" w:fill="FFFFFF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预算收入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23317.3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实际执行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16996.2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执行率为72.9%。其中：上级资金年初预算9783.44万元，实际执行6971万元，执行率71.25%。区级资金年初预算13533.86万元，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实际执行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10025.2万元，执行率74.07%。</w:t>
      </w:r>
      <w:bookmarkStart w:id="0" w:name="_GoBack"/>
      <w:bookmarkEnd w:id="0"/>
    </w:p>
    <w:p w14:paraId="26A3C554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三、部门预算整体绩效管理情况</w:t>
      </w:r>
    </w:p>
    <w:p w14:paraId="7BF3C31A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（一）绩效管理。</w:t>
      </w:r>
    </w:p>
    <w:p w14:paraId="65B47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东区卫生健康局整体支出、部门通用项目和专业项目均按要求编制了预算绩效目标，实行了绩效目标管理，从项目完成、项目增益、满意度指标、其他绩效指标等方面设置了绩效指标，综合反映项目预期完成的数量、成本、时效、质量，预期达到的社会效益、经济效益等情况。</w:t>
      </w:r>
    </w:p>
    <w:p w14:paraId="401C3242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（二）绩效结果应用情况。</w:t>
      </w:r>
    </w:p>
    <w:p w14:paraId="15AE33C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0" w:firstLineChars="200"/>
        <w:contextualSpacing/>
        <w:jc w:val="left"/>
        <w:textAlignment w:val="auto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对绩效评价发现的问题进行认真整改，应用绩效评价结果，提升部门管理服务效能，及时公开公示绩效评价情况。</w:t>
      </w:r>
    </w:p>
    <w:p w14:paraId="0F28CE2D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（三）绩效自评质量。</w:t>
      </w:r>
    </w:p>
    <w:p w14:paraId="3F5F4352">
      <w:pPr>
        <w:widowControl/>
        <w:adjustRightInd w:val="0"/>
        <w:snapToGrid w:val="0"/>
        <w:spacing w:line="580" w:lineRule="exact"/>
        <w:contextualSpacing/>
        <w:jc w:val="left"/>
        <w:rPr>
          <w:color w:val="000000"/>
          <w:kern w:val="0"/>
          <w:szCs w:val="32"/>
          <w:shd w:val="clear" w:color="auto" w:fill="FFFFFF"/>
        </w:rPr>
      </w:pPr>
      <w:r>
        <w:rPr>
          <w:color w:val="000000"/>
          <w:kern w:val="0"/>
          <w:szCs w:val="32"/>
          <w:shd w:val="clear" w:color="auto" w:fill="FFFFFF"/>
        </w:rPr>
        <w:t xml:space="preserve">    部门整体支出自评准确</w:t>
      </w:r>
      <w:r>
        <w:rPr>
          <w:rFonts w:hint="eastAsia"/>
          <w:color w:val="000000"/>
          <w:kern w:val="0"/>
          <w:szCs w:val="32"/>
          <w:shd w:val="clear" w:color="auto" w:fill="FFFFFF"/>
          <w:lang w:val="en-US" w:eastAsia="zh-CN"/>
        </w:rPr>
        <w:t>性较高，质量不断提升</w:t>
      </w:r>
      <w:r>
        <w:rPr>
          <w:color w:val="000000"/>
          <w:kern w:val="0"/>
          <w:szCs w:val="32"/>
          <w:shd w:val="clear" w:color="auto" w:fill="FFFFFF"/>
        </w:rPr>
        <w:t>。</w:t>
      </w:r>
    </w:p>
    <w:p w14:paraId="7E5EFBA9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eastAsia" w:eastAsia="黑体"/>
          <w:color w:val="000000"/>
          <w:kern w:val="0"/>
          <w:szCs w:val="32"/>
          <w:shd w:val="clear" w:color="auto" w:fill="FFFFFF"/>
          <w:lang w:eastAsia="zh-CN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</w:t>
      </w:r>
    </w:p>
    <w:p w14:paraId="7FC00039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1.圆满完成202</w:t>
      </w:r>
      <w:r>
        <w:rPr>
          <w:rFonts w:hint="eastAsia" w:ascii="Times New Roman" w:hAnsi="Times New Roman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年各项目标任务，在财务管理、决算组织、编报、审核等方面精心组织，按时保质的完成决算的上报和送审等工作。</w:t>
      </w:r>
    </w:p>
    <w:p w14:paraId="502A1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53" w:lineRule="auto"/>
        <w:ind w:firstLine="640" w:firstLineChars="200"/>
        <w:textAlignment w:val="auto"/>
        <w:rPr>
          <w:rFonts w:hint="eastAsia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2.严格按照区财政对本单位的批复，规范开展工作。加强培训、指导、监督检查等日常管理工作，不断提高区卫生健康系统所有项目资金使用绩效，严防发生违反财经管理规定的情形。</w:t>
      </w:r>
    </w:p>
    <w:p w14:paraId="4B8EF1A2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eastAsia" w:ascii="楷体_GB2312" w:hAns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</w:p>
    <w:sectPr>
      <w:headerReference r:id="rId3" w:type="default"/>
      <w:footerReference r:id="rId4" w:type="even"/>
      <w:pgSz w:w="11906" w:h="16838"/>
      <w:pgMar w:top="907" w:right="1361" w:bottom="851" w:left="1361" w:header="851" w:footer="992" w:gutter="0"/>
      <w:pgNumType w:fmt="numberInDash" w:start="12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30831518"/>
    </w:sdtPr>
    <w:sdtContent>
      <w:p w14:paraId="57050CE5">
        <w:pPr>
          <w:pStyle w:val="5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 w14:paraId="7A7A38D5">
    <w:pPr>
      <w:pStyle w:val="5"/>
      <w:tabs>
        <w:tab w:val="right" w:pos="9184"/>
        <w:tab w:val="clear" w:pos="4153"/>
        <w:tab w:val="clear" w:pos="8306"/>
      </w:tabs>
      <w:rPr>
        <w:rFonts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658EC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63873F"/>
    <w:multiLevelType w:val="singleLevel"/>
    <w:tmpl w:val="0063873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18F4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3FA9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30B6"/>
    <w:rsid w:val="002C59D0"/>
    <w:rsid w:val="002D1A18"/>
    <w:rsid w:val="002D6C79"/>
    <w:rsid w:val="002E09F1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1D7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102F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664F1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4463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961DA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503AD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3387B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42B49"/>
    <w:rsid w:val="00C53721"/>
    <w:rsid w:val="00C64D2E"/>
    <w:rsid w:val="00C70F97"/>
    <w:rsid w:val="00C7497C"/>
    <w:rsid w:val="00C757A2"/>
    <w:rsid w:val="00C75966"/>
    <w:rsid w:val="00C76577"/>
    <w:rsid w:val="00C765A0"/>
    <w:rsid w:val="00C80225"/>
    <w:rsid w:val="00C80B66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96DD4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0FA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DC31556"/>
    <w:rsid w:val="0FF74907"/>
    <w:rsid w:val="1A3D6143"/>
    <w:rsid w:val="1C013801"/>
    <w:rsid w:val="1D284053"/>
    <w:rsid w:val="2A8A2314"/>
    <w:rsid w:val="2BA96E6D"/>
    <w:rsid w:val="2C3A38C6"/>
    <w:rsid w:val="2D527252"/>
    <w:rsid w:val="2EAE55F2"/>
    <w:rsid w:val="2EDF4302"/>
    <w:rsid w:val="394728C3"/>
    <w:rsid w:val="396A789D"/>
    <w:rsid w:val="42051E29"/>
    <w:rsid w:val="47550EBA"/>
    <w:rsid w:val="51FF4AE6"/>
    <w:rsid w:val="56F968D3"/>
    <w:rsid w:val="59184546"/>
    <w:rsid w:val="5BB62D86"/>
    <w:rsid w:val="5C757D4C"/>
    <w:rsid w:val="612E684E"/>
    <w:rsid w:val="6636451A"/>
    <w:rsid w:val="6A0D287D"/>
    <w:rsid w:val="6A245BA2"/>
    <w:rsid w:val="6ED3703B"/>
    <w:rsid w:val="6EF65E9C"/>
    <w:rsid w:val="71397E03"/>
    <w:rsid w:val="77FFA8F9"/>
    <w:rsid w:val="7A9314AC"/>
    <w:rsid w:val="7AA94B13"/>
    <w:rsid w:val="7C631402"/>
    <w:rsid w:val="7E140770"/>
    <w:rsid w:val="7FEFB5DD"/>
    <w:rsid w:val="B5F66F24"/>
    <w:rsid w:val="C5B3F496"/>
    <w:rsid w:val="DDD7453A"/>
    <w:rsid w:val="DFE75A3D"/>
    <w:rsid w:val="DFEF594B"/>
    <w:rsid w:val="F1F9A9B5"/>
    <w:rsid w:val="FABF7411"/>
    <w:rsid w:val="FEFD95B3"/>
    <w:rsid w:val="FF2E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3"/>
    <w:qFormat/>
    <w:uiPriority w:val="0"/>
    <w:rPr>
      <w:rFonts w:ascii="宋体" w:eastAsia="宋体"/>
      <w:sz w:val="18"/>
      <w:szCs w:val="18"/>
    </w:rPr>
  </w:style>
  <w:style w:type="paragraph" w:styleId="3">
    <w:name w:val="Body Text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四号正文"/>
    <w:basedOn w:val="1"/>
    <w:link w:val="12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2">
    <w:name w:val="四号正文 Char"/>
    <w:basedOn w:val="9"/>
    <w:link w:val="11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13">
    <w:name w:val="文档结构图 字符"/>
    <w:basedOn w:val="9"/>
    <w:link w:val="2"/>
    <w:qFormat/>
    <w:uiPriority w:val="0"/>
    <w:rPr>
      <w:rFonts w:ascii="宋体"/>
      <w:kern w:val="2"/>
      <w:sz w:val="18"/>
      <w:szCs w:val="18"/>
    </w:rPr>
  </w:style>
  <w:style w:type="paragraph" w:customStyle="1" w:styleId="14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5">
    <w:name w:val="页脚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6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4</Pages>
  <Words>313</Words>
  <Characters>316</Characters>
  <Lines>2</Lines>
  <Paragraphs>1</Paragraphs>
  <TotalTime>1</TotalTime>
  <ScaleCrop>false</ScaleCrop>
  <LinksUpToDate>false</LinksUpToDate>
  <CharactersWithSpaces>320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2019-05-16T11:06:00Z</dcterms:created>
  <dc:creator>陈萍</dc:creator>
  <cp:lastModifiedBy>张栗宁</cp:lastModifiedBy>
  <cp:lastPrinted>2023-04-07T02:36:00Z</cp:lastPrinted>
  <dcterms:modified xsi:type="dcterms:W3CDTF">2026-03-12T09:46:50Z</dcterms:modified>
  <dc:title>区域性就业培训基地建设项目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83CB796F42FB46F881865F91D6A07C99</vt:lpwstr>
  </property>
  <property fmtid="{D5CDD505-2E9C-101B-9397-08002B2CF9AE}" pid="4" name="KSOTemplateDocerSaveRecord">
    <vt:lpwstr>eyJoZGlkIjoiZGZlNTIzYWZiZGRkOWZjZWJjYTM2OGFhZjM3YmM5YjkiLCJ1c2VySWQiOiIyMzE0MTEzNDMifQ==</vt:lpwstr>
  </property>
</Properties>
</file>