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方正小标宋_GBK" w:cs="Times New Roman"/>
          <w:b/>
          <w:bCs/>
          <w:kern w:val="0"/>
          <w:sz w:val="44"/>
          <w:szCs w:val="44"/>
          <w:lang w:val="en-US" w:eastAsia="zh-CN"/>
        </w:rPr>
      </w:pPr>
      <w:bookmarkStart w:id="0" w:name="_GoBack"/>
      <w:bookmarkEnd w:id="0"/>
      <w:r>
        <w:rPr>
          <w:rFonts w:hint="default" w:ascii="Times New Roman" w:hAnsi="Times New Roman" w:eastAsia="方正小标宋_GBK" w:cs="Times New Roman"/>
          <w:b/>
          <w:bCs/>
          <w:kern w:val="0"/>
          <w:sz w:val="44"/>
          <w:szCs w:val="44"/>
          <w:lang w:val="en-US" w:eastAsia="zh-CN"/>
        </w:rPr>
        <w:t>攀枝花市东区2025年度预算绩效管理工作</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方正小标宋_GBK" w:cs="Times New Roman"/>
          <w:b/>
          <w:bCs/>
          <w:kern w:val="0"/>
          <w:sz w:val="44"/>
          <w:szCs w:val="44"/>
          <w:lang w:val="en-US" w:eastAsia="zh-CN"/>
        </w:rPr>
      </w:pPr>
      <w:r>
        <w:rPr>
          <w:rFonts w:hint="default" w:ascii="Times New Roman" w:hAnsi="Times New Roman" w:eastAsia="方正小标宋_GBK" w:cs="Times New Roman"/>
          <w:b/>
          <w:bCs/>
          <w:kern w:val="0"/>
          <w:sz w:val="44"/>
          <w:szCs w:val="44"/>
          <w:lang w:val="en-US" w:eastAsia="zh-CN"/>
        </w:rPr>
        <w:t>情况说明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80" w:firstLineChars="200"/>
        <w:jc w:val="left"/>
        <w:rPr>
          <w:rFonts w:hint="default" w:ascii="Times New Roman" w:hAnsi="Times New Roman" w:eastAsia="方正仿宋_GBK" w:cs="Times New Roman"/>
          <w:b w:val="0"/>
          <w:bCs w:val="0"/>
          <w:snapToGrid w:val="0"/>
          <w:spacing w:val="10"/>
          <w:kern w:val="2"/>
          <w:sz w:val="32"/>
          <w:szCs w:val="32"/>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left="0" w:right="0" w:firstLine="680" w:firstLineChars="200"/>
        <w:jc w:val="both"/>
        <w:textAlignment w:val="auto"/>
        <w:rPr>
          <w:rFonts w:hint="default" w:ascii="Times New Roman" w:hAnsi="Times New Roman" w:eastAsia="方正仿宋_GBK" w:cs="Times New Roman"/>
          <w:b w:val="0"/>
          <w:bCs w:val="0"/>
          <w:snapToGrid w:val="0"/>
          <w:spacing w:val="10"/>
          <w:kern w:val="2"/>
          <w:sz w:val="32"/>
          <w:szCs w:val="32"/>
          <w:lang w:val="en-US" w:eastAsia="zh-CN" w:bidi="ar-SA"/>
        </w:rPr>
      </w:pPr>
      <w:r>
        <w:rPr>
          <w:rFonts w:hint="default" w:ascii="Times New Roman" w:hAnsi="Times New Roman" w:eastAsia="方正仿宋_GBK" w:cs="Times New Roman"/>
          <w:b w:val="0"/>
          <w:bCs w:val="0"/>
          <w:snapToGrid w:val="0"/>
          <w:spacing w:val="10"/>
          <w:kern w:val="2"/>
          <w:sz w:val="32"/>
          <w:szCs w:val="32"/>
          <w:lang w:val="en-US" w:eastAsia="zh-CN" w:bidi="ar-SA"/>
        </w:rPr>
        <w:t>2025年，攀枝花市东区紧扣预算绩效管理全流程，扎实推进事前评估、目标编制、运行监控、绩效评价各项工作，强化结果应用、信息公开与考核约束，健全制度体系、聚焦重点领域、强化技术支撑、狠抓问题整改，全面构建“预算决策有评估、预算编制有目标、预算执行有监控、预算完成有评价、评价结果有应用”的预算绩效管理机制，财政资源配置效率与资金使用效益持续提升。</w:t>
      </w:r>
    </w:p>
    <w:p>
      <w:pPr>
        <w:keepNext w:val="0"/>
        <w:keepLines w:val="0"/>
        <w:pageBreakBefore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方正仿宋_GBK" w:cs="Times New Roman"/>
          <w:b w:val="0"/>
          <w:bCs w:val="0"/>
          <w:snapToGrid w:val="0"/>
          <w:spacing w:val="10"/>
          <w:kern w:val="2"/>
          <w:sz w:val="32"/>
          <w:szCs w:val="32"/>
          <w:lang w:val="en-US" w:eastAsia="zh-CN" w:bidi="ar-SA"/>
        </w:rPr>
      </w:pPr>
      <w:r>
        <w:rPr>
          <w:rFonts w:hint="eastAsia" w:ascii="Times New Roman" w:hAnsi="Times New Roman" w:eastAsia="方正黑体_GBK" w:cs="Times New Roman"/>
          <w:snapToGrid w:val="0"/>
          <w:kern w:val="0"/>
          <w:sz w:val="32"/>
          <w:szCs w:val="32"/>
          <w:lang w:val="en-US" w:eastAsia="zh-CN"/>
        </w:rPr>
        <w:t>一、</w:t>
      </w:r>
      <w:r>
        <w:rPr>
          <w:rFonts w:hint="default" w:ascii="Times New Roman" w:hAnsi="Times New Roman" w:eastAsia="方正黑体_GBK" w:cs="Times New Roman"/>
          <w:snapToGrid w:val="0"/>
          <w:kern w:val="0"/>
          <w:sz w:val="32"/>
          <w:szCs w:val="32"/>
          <w:lang w:val="en-US" w:eastAsia="zh-CN"/>
        </w:rPr>
        <w:t>聚焦全程管控，规范预算绩效管理全链条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left="0" w:right="0" w:firstLine="683" w:firstLineChars="200"/>
        <w:jc w:val="both"/>
        <w:textAlignment w:val="auto"/>
        <w:rPr>
          <w:rFonts w:hint="eastAsia" w:ascii="方正楷体_GBK" w:hAnsi="方正楷体_GBK" w:eastAsia="方正楷体_GBK" w:cs="方正楷体_GBK"/>
          <w:b/>
          <w:bCs/>
          <w:snapToGrid w:val="0"/>
          <w:spacing w:val="10"/>
          <w:kern w:val="0"/>
          <w:sz w:val="32"/>
          <w:szCs w:val="32"/>
          <w:lang w:val="en-US" w:eastAsia="zh-CN" w:bidi="ar"/>
        </w:rPr>
      </w:pPr>
      <w:r>
        <w:rPr>
          <w:rFonts w:hint="eastAsia" w:ascii="方正楷体_GBK" w:hAnsi="方正楷体_GBK" w:eastAsia="方正楷体_GBK" w:cs="方正楷体_GBK"/>
          <w:b/>
          <w:bCs/>
          <w:snapToGrid w:val="0"/>
          <w:spacing w:val="10"/>
          <w:kern w:val="0"/>
          <w:sz w:val="32"/>
          <w:szCs w:val="32"/>
          <w:lang w:val="en-US" w:eastAsia="zh-CN" w:bidi="ar"/>
        </w:rPr>
        <w:t>（一）</w:t>
      </w:r>
      <w:r>
        <w:rPr>
          <w:rFonts w:hint="default" w:ascii="方正楷体_GBK" w:hAnsi="方正楷体_GBK" w:eastAsia="方正楷体_GBK" w:cs="方正楷体_GBK"/>
          <w:b/>
          <w:bCs/>
          <w:snapToGrid w:val="0"/>
          <w:spacing w:val="10"/>
          <w:kern w:val="0"/>
          <w:sz w:val="32"/>
          <w:szCs w:val="32"/>
          <w:lang w:val="en-US" w:eastAsia="zh-CN" w:bidi="ar"/>
        </w:rPr>
        <w:t>充分重视预算事前绩效评估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left="0" w:right="0" w:firstLine="680" w:firstLineChars="200"/>
        <w:jc w:val="both"/>
        <w:textAlignment w:val="auto"/>
        <w:rPr>
          <w:rFonts w:hint="default" w:ascii="Times New Roman" w:hAnsi="Times New Roman" w:eastAsia="方正仿宋_GBK" w:cs="Times New Roman"/>
          <w:b w:val="0"/>
          <w:bCs w:val="0"/>
          <w:snapToGrid w:val="0"/>
          <w:spacing w:val="10"/>
          <w:kern w:val="2"/>
          <w:sz w:val="32"/>
          <w:szCs w:val="32"/>
          <w:lang w:val="en-US" w:eastAsia="zh-CN" w:bidi="ar-SA"/>
        </w:rPr>
      </w:pPr>
      <w:r>
        <w:rPr>
          <w:rFonts w:hint="default" w:ascii="Times New Roman" w:hAnsi="Times New Roman" w:eastAsia="方正仿宋_GBK" w:cs="Times New Roman"/>
          <w:b w:val="0"/>
          <w:bCs w:val="0"/>
          <w:snapToGrid w:val="0"/>
          <w:spacing w:val="10"/>
          <w:kern w:val="2"/>
          <w:sz w:val="32"/>
          <w:szCs w:val="32"/>
          <w:lang w:val="en-US" w:eastAsia="zh-CN" w:bidi="ar-SA"/>
        </w:rPr>
        <w:t>在202</w:t>
      </w:r>
      <w:r>
        <w:rPr>
          <w:rFonts w:hint="eastAsia" w:ascii="Times New Roman" w:hAnsi="Times New Roman" w:eastAsia="方正仿宋_GBK" w:cs="Times New Roman"/>
          <w:b w:val="0"/>
          <w:bCs w:val="0"/>
          <w:snapToGrid w:val="0"/>
          <w:spacing w:val="10"/>
          <w:kern w:val="2"/>
          <w:sz w:val="32"/>
          <w:szCs w:val="32"/>
          <w:lang w:val="en-US" w:eastAsia="zh-CN" w:bidi="ar-SA"/>
        </w:rPr>
        <w:t>5</w:t>
      </w:r>
      <w:r>
        <w:rPr>
          <w:rFonts w:hint="default" w:ascii="Times New Roman" w:hAnsi="Times New Roman" w:eastAsia="方正仿宋_GBK" w:cs="Times New Roman"/>
          <w:b w:val="0"/>
          <w:bCs w:val="0"/>
          <w:snapToGrid w:val="0"/>
          <w:spacing w:val="10"/>
          <w:kern w:val="2"/>
          <w:sz w:val="32"/>
          <w:szCs w:val="32"/>
          <w:lang w:val="en-US" w:eastAsia="zh-CN" w:bidi="ar-SA"/>
        </w:rPr>
        <w:t>年预算编制前，按照“谁申请预算，谁负责评估”的原则，区财政局组织区级部门对区级财政资金安排预算的拟新设立的重大项目和政策、因实施内容（标准）等发生较大调整、拟申请新增区级财政资金的既有重大支出项目和政策、到期申请延续执行的重大项目和政策等事项开展预算事前绩效评估</w:t>
      </w:r>
      <w:r>
        <w:rPr>
          <w:rFonts w:hint="eastAsia" w:ascii="Times New Roman" w:hAnsi="Times New Roman" w:eastAsia="方正仿宋_GBK" w:cs="Times New Roman"/>
          <w:b w:val="0"/>
          <w:bCs w:val="0"/>
          <w:snapToGrid w:val="0"/>
          <w:spacing w:val="10"/>
          <w:kern w:val="2"/>
          <w:sz w:val="32"/>
          <w:szCs w:val="32"/>
          <w:lang w:val="en-US" w:eastAsia="zh-CN" w:bidi="ar-SA"/>
        </w:rPr>
        <w:t>，</w:t>
      </w:r>
      <w:r>
        <w:rPr>
          <w:rFonts w:hint="default" w:ascii="Times New Roman" w:hAnsi="Times New Roman" w:eastAsia="方正仿宋_GBK" w:cs="Times New Roman"/>
          <w:b w:val="0"/>
          <w:bCs w:val="0"/>
          <w:snapToGrid w:val="0"/>
          <w:spacing w:val="10"/>
          <w:kern w:val="2"/>
          <w:sz w:val="32"/>
          <w:szCs w:val="32"/>
          <w:lang w:val="en-US" w:eastAsia="zh-CN" w:bidi="ar-SA"/>
        </w:rPr>
        <w:t>对非必要项目和工作内容可压尽压、应压尽压，做到客观、绩效、精准，有效提高财政资源配置效率和财政资金使用效益。</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leftChars="200" w:right="0" w:rightChars="0"/>
        <w:jc w:val="both"/>
        <w:textAlignment w:val="auto"/>
        <w:rPr>
          <w:rFonts w:hint="eastAsia" w:ascii="方正楷体_GBK" w:hAnsi="方正楷体_GBK" w:eastAsia="方正楷体_GBK" w:cs="方正楷体_GBK"/>
          <w:b/>
          <w:bCs/>
          <w:snapToGrid w:val="0"/>
          <w:spacing w:val="10"/>
          <w:kern w:val="0"/>
          <w:sz w:val="32"/>
          <w:szCs w:val="32"/>
          <w:lang w:val="en-US" w:eastAsia="zh-CN" w:bidi="ar"/>
        </w:rPr>
      </w:pPr>
      <w:r>
        <w:rPr>
          <w:rFonts w:hint="eastAsia" w:ascii="方正楷体_GBK" w:hAnsi="方正楷体_GBK" w:eastAsia="方正楷体_GBK" w:cs="方正楷体_GBK"/>
          <w:b/>
          <w:bCs/>
          <w:snapToGrid w:val="0"/>
          <w:spacing w:val="10"/>
          <w:kern w:val="0"/>
          <w:sz w:val="32"/>
          <w:szCs w:val="32"/>
          <w:lang w:val="en-US" w:eastAsia="zh-CN" w:bidi="ar"/>
        </w:rPr>
        <w:t>（二）</w:t>
      </w:r>
      <w:r>
        <w:rPr>
          <w:rFonts w:hint="default" w:ascii="方正楷体_GBK" w:hAnsi="方正楷体_GBK" w:eastAsia="方正楷体_GBK" w:cs="方正楷体_GBK"/>
          <w:b/>
          <w:bCs/>
          <w:snapToGrid w:val="0"/>
          <w:spacing w:val="10"/>
          <w:kern w:val="0"/>
          <w:sz w:val="32"/>
          <w:szCs w:val="32"/>
          <w:lang w:val="en-US" w:eastAsia="zh-CN" w:bidi="ar"/>
        </w:rPr>
        <w:t>全面实施绩效目标编制</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right="0" w:rightChars="0" w:firstLine="680" w:firstLineChars="200"/>
        <w:jc w:val="both"/>
        <w:textAlignment w:val="auto"/>
        <w:rPr>
          <w:rFonts w:hint="default" w:ascii="Times New Roman" w:hAnsi="Times New Roman" w:eastAsia="方正仿宋_GBK" w:cs="Times New Roman"/>
          <w:b w:val="0"/>
          <w:bCs w:val="0"/>
          <w:snapToGrid w:val="0"/>
          <w:spacing w:val="10"/>
          <w:kern w:val="2"/>
          <w:sz w:val="32"/>
          <w:szCs w:val="32"/>
          <w:lang w:val="en-US" w:eastAsia="zh-CN" w:bidi="ar-SA"/>
        </w:rPr>
      </w:pPr>
      <w:r>
        <w:rPr>
          <w:rFonts w:hint="default" w:ascii="Times New Roman" w:hAnsi="Times New Roman" w:eastAsia="方正仿宋_GBK" w:cs="Times New Roman"/>
          <w:b w:val="0"/>
          <w:bCs w:val="0"/>
          <w:snapToGrid w:val="0"/>
          <w:spacing w:val="10"/>
          <w:kern w:val="2"/>
          <w:sz w:val="32"/>
          <w:szCs w:val="32"/>
          <w:lang w:val="en-US" w:eastAsia="zh-CN" w:bidi="ar-SA"/>
        </w:rPr>
        <w:t>强化预算绩效目标编制管理，在202</w:t>
      </w:r>
      <w:r>
        <w:rPr>
          <w:rFonts w:hint="eastAsia" w:ascii="Times New Roman" w:hAnsi="Times New Roman" w:eastAsia="方正仿宋_GBK" w:cs="Times New Roman"/>
          <w:b w:val="0"/>
          <w:bCs w:val="0"/>
          <w:snapToGrid w:val="0"/>
          <w:spacing w:val="10"/>
          <w:kern w:val="2"/>
          <w:sz w:val="32"/>
          <w:szCs w:val="32"/>
          <w:lang w:val="en-US" w:eastAsia="zh-CN" w:bidi="ar-SA"/>
        </w:rPr>
        <w:t>5</w:t>
      </w:r>
      <w:r>
        <w:rPr>
          <w:rFonts w:hint="default" w:ascii="Times New Roman" w:hAnsi="Times New Roman" w:eastAsia="方正仿宋_GBK" w:cs="Times New Roman"/>
          <w:b w:val="0"/>
          <w:bCs w:val="0"/>
          <w:snapToGrid w:val="0"/>
          <w:spacing w:val="10"/>
          <w:kern w:val="2"/>
          <w:sz w:val="32"/>
          <w:szCs w:val="32"/>
          <w:lang w:val="en-US" w:eastAsia="zh-CN" w:bidi="ar-SA"/>
        </w:rPr>
        <w:t>年部门预算编制阶段，区财政局内部按照“支出管理股室初审-预算绩效股终审”流程进行绩效目标分级审核，对全区8</w:t>
      </w:r>
      <w:r>
        <w:rPr>
          <w:rFonts w:hint="eastAsia" w:ascii="Times New Roman" w:hAnsi="Times New Roman" w:eastAsia="方正仿宋_GBK" w:cs="Times New Roman"/>
          <w:b w:val="0"/>
          <w:bCs w:val="0"/>
          <w:snapToGrid w:val="0"/>
          <w:spacing w:val="10"/>
          <w:kern w:val="2"/>
          <w:sz w:val="32"/>
          <w:szCs w:val="32"/>
          <w:lang w:val="en-US" w:eastAsia="zh-CN" w:bidi="ar-SA"/>
        </w:rPr>
        <w:t>6</w:t>
      </w:r>
      <w:r>
        <w:rPr>
          <w:rFonts w:hint="default" w:ascii="Times New Roman" w:hAnsi="Times New Roman" w:eastAsia="方正仿宋_GBK" w:cs="Times New Roman"/>
          <w:b w:val="0"/>
          <w:bCs w:val="0"/>
          <w:snapToGrid w:val="0"/>
          <w:spacing w:val="10"/>
          <w:kern w:val="2"/>
          <w:sz w:val="32"/>
          <w:szCs w:val="32"/>
          <w:lang w:val="en-US" w:eastAsia="zh-CN" w:bidi="ar-SA"/>
        </w:rPr>
        <w:t>个预算单位预算单位绩效目标的科学性、完整性、可衡量性等进行审核修改，全区8</w:t>
      </w:r>
      <w:r>
        <w:rPr>
          <w:rFonts w:hint="eastAsia" w:ascii="Times New Roman" w:hAnsi="Times New Roman" w:eastAsia="方正仿宋_GBK" w:cs="Times New Roman"/>
          <w:b w:val="0"/>
          <w:bCs w:val="0"/>
          <w:snapToGrid w:val="0"/>
          <w:spacing w:val="10"/>
          <w:kern w:val="2"/>
          <w:sz w:val="32"/>
          <w:szCs w:val="32"/>
          <w:lang w:val="en-US" w:eastAsia="zh-CN" w:bidi="ar-SA"/>
        </w:rPr>
        <w:t>6</w:t>
      </w:r>
      <w:r>
        <w:rPr>
          <w:rFonts w:hint="default" w:ascii="Times New Roman" w:hAnsi="Times New Roman" w:eastAsia="方正仿宋_GBK" w:cs="Times New Roman"/>
          <w:b w:val="0"/>
          <w:bCs w:val="0"/>
          <w:snapToGrid w:val="0"/>
          <w:spacing w:val="10"/>
          <w:kern w:val="2"/>
          <w:sz w:val="32"/>
          <w:szCs w:val="32"/>
          <w:lang w:val="en-US" w:eastAsia="zh-CN" w:bidi="ar-SA"/>
        </w:rPr>
        <w:t>个预算单位均按要求编制了部门整体支出绩效目标、项目支出绩效目标以及专项资金绩效目标，实现了预算绩效目标与部门预算编制“编审同步、上会同步、批复同步、公开同步”。</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right="0" w:rightChars="0" w:firstLine="683" w:firstLineChars="200"/>
        <w:jc w:val="both"/>
        <w:textAlignment w:val="auto"/>
        <w:rPr>
          <w:rFonts w:hint="default" w:ascii="方正楷体_GBK" w:hAnsi="方正楷体_GBK" w:eastAsia="方正楷体_GBK" w:cs="方正楷体_GBK"/>
          <w:b/>
          <w:bCs/>
          <w:snapToGrid w:val="0"/>
          <w:spacing w:val="10"/>
          <w:kern w:val="0"/>
          <w:sz w:val="32"/>
          <w:szCs w:val="32"/>
          <w:lang w:val="en-US" w:eastAsia="zh-CN" w:bidi="ar"/>
        </w:rPr>
      </w:pPr>
      <w:r>
        <w:rPr>
          <w:rFonts w:hint="eastAsia" w:ascii="方正楷体_GBK" w:hAnsi="方正楷体_GBK" w:eastAsia="方正楷体_GBK" w:cs="方正楷体_GBK"/>
          <w:b/>
          <w:bCs/>
          <w:snapToGrid w:val="0"/>
          <w:spacing w:val="10"/>
          <w:kern w:val="0"/>
          <w:sz w:val="32"/>
          <w:szCs w:val="32"/>
          <w:lang w:val="en-US" w:eastAsia="zh-CN" w:bidi="ar"/>
        </w:rPr>
        <w:t>（三）</w:t>
      </w:r>
      <w:r>
        <w:rPr>
          <w:rFonts w:hint="default" w:ascii="方正楷体_GBK" w:hAnsi="方正楷体_GBK" w:eastAsia="方正楷体_GBK" w:cs="方正楷体_GBK"/>
          <w:b/>
          <w:bCs/>
          <w:snapToGrid w:val="0"/>
          <w:spacing w:val="10"/>
          <w:kern w:val="0"/>
          <w:sz w:val="32"/>
          <w:szCs w:val="32"/>
          <w:lang w:val="en-US" w:eastAsia="zh-CN" w:bidi="ar"/>
        </w:rPr>
        <w:t>有力实施预算绩效监控</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right="0" w:rightChars="0" w:firstLine="680" w:firstLineChars="200"/>
        <w:jc w:val="both"/>
        <w:textAlignment w:val="auto"/>
        <w:rPr>
          <w:rFonts w:hint="default" w:ascii="方正楷体_GBK" w:hAnsi="方正楷体_GBK" w:eastAsia="方正楷体_GBK" w:cs="方正楷体_GBK"/>
          <w:b/>
          <w:bCs/>
          <w:snapToGrid w:val="0"/>
          <w:spacing w:val="10"/>
          <w:kern w:val="0"/>
          <w:sz w:val="32"/>
          <w:szCs w:val="32"/>
          <w:lang w:val="en-US" w:eastAsia="zh-CN" w:bidi="ar"/>
        </w:rPr>
      </w:pPr>
      <w:r>
        <w:rPr>
          <w:rFonts w:hint="default" w:ascii="Times New Roman" w:hAnsi="Times New Roman" w:eastAsia="方正仿宋_GBK" w:cs="Times New Roman"/>
          <w:b w:val="0"/>
          <w:bCs w:val="0"/>
          <w:snapToGrid w:val="0"/>
          <w:spacing w:val="10"/>
          <w:kern w:val="2"/>
          <w:sz w:val="32"/>
          <w:szCs w:val="32"/>
          <w:lang w:val="en-US" w:eastAsia="zh-CN" w:bidi="ar-SA"/>
        </w:rPr>
        <w:t>2025年度，部门预算绩效目标随预算资金拨付下达后，由项目资金主管部门同步监控绩效目标指标的动态变化。同时，区财政对区级86个预算单位2025年度部门预算绩效目标实现程度和预算执行进度实行“双监控”，及时掌握部门项目实施进展、资金拨付进度和绩效目标完成情况，对绩效目标偏离较大、执行进度缓慢的项目，及时发出预警提示，提出整改要求，避免资金闲置沉淀。</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leftChars="200" w:right="0" w:rightChars="0"/>
        <w:jc w:val="both"/>
        <w:textAlignment w:val="auto"/>
        <w:rPr>
          <w:rFonts w:hint="eastAsia" w:ascii="方正楷体_GBK" w:hAnsi="方正楷体_GBK" w:eastAsia="方正楷体_GBK" w:cs="方正楷体_GBK"/>
          <w:b/>
          <w:bCs/>
          <w:snapToGrid w:val="0"/>
          <w:spacing w:val="10"/>
          <w:kern w:val="0"/>
          <w:sz w:val="32"/>
          <w:szCs w:val="32"/>
          <w:lang w:val="en-US" w:eastAsia="zh-CN" w:bidi="ar"/>
        </w:rPr>
      </w:pPr>
      <w:r>
        <w:rPr>
          <w:rFonts w:hint="eastAsia" w:ascii="方正楷体_GBK" w:hAnsi="方正楷体_GBK" w:eastAsia="方正楷体_GBK" w:cs="方正楷体_GBK"/>
          <w:b/>
          <w:bCs/>
          <w:snapToGrid w:val="0"/>
          <w:spacing w:val="10"/>
          <w:kern w:val="0"/>
          <w:sz w:val="32"/>
          <w:szCs w:val="32"/>
          <w:lang w:val="en-US" w:eastAsia="zh-CN" w:bidi="ar"/>
        </w:rPr>
        <w:t>（四）</w:t>
      </w:r>
      <w:r>
        <w:rPr>
          <w:rFonts w:hint="default" w:ascii="方正楷体_GBK" w:hAnsi="方正楷体_GBK" w:eastAsia="方正楷体_GBK" w:cs="方正楷体_GBK"/>
          <w:b/>
          <w:bCs/>
          <w:snapToGrid w:val="0"/>
          <w:spacing w:val="10"/>
          <w:kern w:val="0"/>
          <w:sz w:val="32"/>
          <w:szCs w:val="32"/>
          <w:lang w:val="en-US" w:eastAsia="zh-CN" w:bidi="ar"/>
        </w:rPr>
        <w:t>推进落实预算绩效评价</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right="0" w:rightChars="0" w:firstLine="680" w:firstLineChars="200"/>
        <w:jc w:val="both"/>
        <w:textAlignment w:val="auto"/>
        <w:rPr>
          <w:rFonts w:hint="default" w:ascii="Times New Roman" w:hAnsi="Times New Roman" w:eastAsia="方正仿宋_GBK" w:cs="Times New Roman"/>
          <w:b w:val="0"/>
          <w:bCs w:val="0"/>
          <w:snapToGrid w:val="0"/>
          <w:spacing w:val="10"/>
          <w:kern w:val="2"/>
          <w:sz w:val="32"/>
          <w:szCs w:val="32"/>
          <w:lang w:val="en-US" w:eastAsia="zh-CN" w:bidi="ar-SA"/>
        </w:rPr>
      </w:pPr>
      <w:r>
        <w:rPr>
          <w:rFonts w:hint="default" w:ascii="Times New Roman" w:hAnsi="Times New Roman" w:eastAsia="方正仿宋_GBK" w:cs="Times New Roman"/>
          <w:b w:val="0"/>
          <w:bCs w:val="0"/>
          <w:snapToGrid w:val="0"/>
          <w:spacing w:val="10"/>
          <w:kern w:val="2"/>
          <w:sz w:val="32"/>
          <w:szCs w:val="32"/>
          <w:lang w:val="en-US" w:eastAsia="zh-CN" w:bidi="ar-SA"/>
        </w:rPr>
        <w:t>2025年，实现对2024年“三本”预算、预算部门整体、政策和项目绩效自我评价全覆盖，组织全区86个预算单位开展了绩效自评，涉及中央对地方转移支付项目95个（资金量9.66亿元）、部门整体支出85个、省市及区级项目555个。按照财政资金“谁使用，谁自评”的原则，全面强化转移支付与区级财政资金绩效自评，组织各预算单位公开自评结果，主动接受社会监督。区财政局在单位自评基础上，围绕共同富裕、民生保障、经济发展等区委、区政府重大决策部署，聚焦环保、救助、教育、医疗、购买服务等重点领域，选择10个预算单位、20个预算项目开展重点评价，涉及财政资金40,036万元，其中部门预算整体支出3.16亿元、项目支出0.84亿元，评价对象较上年增长25%、评价金额增长86%，重点绩效评价覆盖范围进一步扩大。</w:t>
      </w:r>
    </w:p>
    <w:p>
      <w:pPr>
        <w:keepNext w:val="0"/>
        <w:keepLines w:val="0"/>
        <w:pageBreakBefore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方正黑体_GBK" w:cs="Times New Roman"/>
          <w:snapToGrid w:val="0"/>
          <w:kern w:val="0"/>
          <w:sz w:val="32"/>
          <w:szCs w:val="32"/>
          <w:lang w:val="en-US" w:eastAsia="zh-CN"/>
        </w:rPr>
      </w:pPr>
      <w:r>
        <w:rPr>
          <w:rFonts w:hint="default" w:ascii="Times New Roman" w:hAnsi="Times New Roman" w:eastAsia="方正黑体_GBK" w:cs="Times New Roman"/>
          <w:snapToGrid w:val="0"/>
          <w:kern w:val="0"/>
          <w:sz w:val="32"/>
          <w:szCs w:val="32"/>
          <w:lang w:val="en-US" w:eastAsia="zh-CN"/>
        </w:rPr>
        <w:t>二</w:t>
      </w:r>
      <w:r>
        <w:rPr>
          <w:rFonts w:hint="eastAsia" w:ascii="Times New Roman" w:hAnsi="Times New Roman" w:eastAsia="方正黑体_GBK" w:cs="Times New Roman"/>
          <w:snapToGrid w:val="0"/>
          <w:kern w:val="0"/>
          <w:sz w:val="32"/>
          <w:szCs w:val="32"/>
          <w:lang w:val="en-US" w:eastAsia="zh-CN"/>
        </w:rPr>
        <w:t>、</w:t>
      </w:r>
      <w:r>
        <w:rPr>
          <w:rFonts w:hint="default" w:ascii="Times New Roman" w:hAnsi="Times New Roman" w:eastAsia="方正黑体_GBK" w:cs="Times New Roman"/>
          <w:snapToGrid w:val="0"/>
          <w:kern w:val="0"/>
          <w:sz w:val="32"/>
          <w:szCs w:val="32"/>
          <w:lang w:val="en-US" w:eastAsia="zh-CN"/>
        </w:rPr>
        <w:t>注重结果运用，强化绩效评价刚性约束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left="0" w:right="0" w:firstLine="683" w:firstLineChars="200"/>
        <w:jc w:val="both"/>
        <w:textAlignment w:val="auto"/>
        <w:rPr>
          <w:rFonts w:hint="default" w:ascii="Times New Roman" w:hAnsi="Times New Roman" w:eastAsia="方正仿宋_GBK" w:cs="Times New Roman"/>
          <w:b w:val="0"/>
          <w:bCs w:val="0"/>
          <w:snapToGrid w:val="0"/>
          <w:spacing w:val="10"/>
          <w:kern w:val="2"/>
          <w:sz w:val="32"/>
          <w:szCs w:val="32"/>
          <w:lang w:val="en-US" w:eastAsia="zh-CN" w:bidi="ar-SA"/>
        </w:rPr>
      </w:pPr>
      <w:r>
        <w:rPr>
          <w:rFonts w:hint="default" w:ascii="Times New Roman" w:hAnsi="Times New Roman" w:eastAsia="方正仿宋_GBK" w:cs="Times New Roman"/>
          <w:b/>
          <w:bCs/>
          <w:snapToGrid w:val="0"/>
          <w:spacing w:val="10"/>
          <w:kern w:val="2"/>
          <w:sz w:val="32"/>
          <w:szCs w:val="32"/>
          <w:lang w:val="en-US" w:eastAsia="zh-CN" w:bidi="ar-SA"/>
        </w:rPr>
        <w:t>一是</w:t>
      </w:r>
      <w:r>
        <w:rPr>
          <w:rFonts w:hint="default" w:ascii="Times New Roman" w:hAnsi="Times New Roman" w:eastAsia="方正仿宋_GBK" w:cs="Times New Roman"/>
          <w:b w:val="0"/>
          <w:bCs w:val="0"/>
          <w:snapToGrid w:val="0"/>
          <w:spacing w:val="10"/>
          <w:kern w:val="2"/>
          <w:sz w:val="32"/>
          <w:szCs w:val="32"/>
          <w:lang w:val="en-US" w:eastAsia="zh-CN" w:bidi="ar-SA"/>
        </w:rPr>
        <w:t>依据事前绩效评估结果，形成评估</w:t>
      </w:r>
      <w:r>
        <w:rPr>
          <w:rFonts w:hint="eastAsia" w:ascii="Times New Roman" w:hAnsi="Times New Roman" w:eastAsia="方正仿宋_GBK" w:cs="Times New Roman"/>
          <w:b w:val="0"/>
          <w:bCs w:val="0"/>
          <w:snapToGrid w:val="0"/>
          <w:spacing w:val="10"/>
          <w:kern w:val="2"/>
          <w:sz w:val="32"/>
          <w:szCs w:val="32"/>
          <w:lang w:val="en-US" w:eastAsia="zh-CN" w:bidi="ar-SA"/>
        </w:rPr>
        <w:t>建议</w:t>
      </w:r>
      <w:r>
        <w:rPr>
          <w:rFonts w:hint="default" w:ascii="Times New Roman" w:hAnsi="Times New Roman" w:eastAsia="方正仿宋_GBK" w:cs="Times New Roman"/>
          <w:b w:val="0"/>
          <w:bCs w:val="0"/>
          <w:snapToGrid w:val="0"/>
          <w:spacing w:val="10"/>
          <w:kern w:val="2"/>
          <w:sz w:val="32"/>
          <w:szCs w:val="32"/>
          <w:lang w:val="en-US" w:eastAsia="zh-CN" w:bidi="ar-SA"/>
        </w:rPr>
        <w:t>反馈业务股室，应用于调整预算项目、资金规模、支出方向，完善管理办法等，为202</w:t>
      </w:r>
      <w:r>
        <w:rPr>
          <w:rFonts w:hint="eastAsia" w:ascii="Times New Roman" w:hAnsi="Times New Roman" w:eastAsia="方正仿宋_GBK" w:cs="Times New Roman"/>
          <w:b w:val="0"/>
          <w:bCs w:val="0"/>
          <w:snapToGrid w:val="0"/>
          <w:spacing w:val="10"/>
          <w:kern w:val="2"/>
          <w:sz w:val="32"/>
          <w:szCs w:val="32"/>
          <w:lang w:val="en-US" w:eastAsia="zh-CN" w:bidi="ar-SA"/>
        </w:rPr>
        <w:t>5</w:t>
      </w:r>
      <w:r>
        <w:rPr>
          <w:rFonts w:hint="default" w:ascii="Times New Roman" w:hAnsi="Times New Roman" w:eastAsia="方正仿宋_GBK" w:cs="Times New Roman"/>
          <w:b w:val="0"/>
          <w:bCs w:val="0"/>
          <w:snapToGrid w:val="0"/>
          <w:spacing w:val="10"/>
          <w:kern w:val="2"/>
          <w:sz w:val="32"/>
          <w:szCs w:val="32"/>
          <w:lang w:val="en-US" w:eastAsia="zh-CN" w:bidi="ar-SA"/>
        </w:rPr>
        <w:t>年预算安排提供参考。</w:t>
      </w:r>
      <w:r>
        <w:rPr>
          <w:rFonts w:hint="default" w:ascii="Times New Roman" w:hAnsi="Times New Roman" w:eastAsia="方正仿宋_GBK" w:cs="Times New Roman"/>
          <w:b/>
          <w:bCs/>
          <w:snapToGrid w:val="0"/>
          <w:spacing w:val="10"/>
          <w:kern w:val="2"/>
          <w:sz w:val="32"/>
          <w:szCs w:val="32"/>
          <w:lang w:val="en-US" w:eastAsia="zh-CN" w:bidi="ar-SA"/>
        </w:rPr>
        <w:t>二是</w:t>
      </w:r>
      <w:r>
        <w:rPr>
          <w:rFonts w:hint="default" w:ascii="Times New Roman" w:hAnsi="Times New Roman" w:eastAsia="方正仿宋_GBK" w:cs="Times New Roman"/>
          <w:b w:val="0"/>
          <w:bCs w:val="0"/>
          <w:snapToGrid w:val="0"/>
          <w:spacing w:val="10"/>
          <w:kern w:val="2"/>
          <w:sz w:val="32"/>
          <w:szCs w:val="32"/>
          <w:lang w:val="en-US" w:eastAsia="zh-CN" w:bidi="ar-SA"/>
        </w:rPr>
        <w:t>东区各预算单位202</w:t>
      </w:r>
      <w:r>
        <w:rPr>
          <w:rFonts w:hint="eastAsia" w:ascii="Times New Roman" w:hAnsi="Times New Roman" w:eastAsia="方正仿宋_GBK" w:cs="Times New Roman"/>
          <w:b w:val="0"/>
          <w:bCs w:val="0"/>
          <w:snapToGrid w:val="0"/>
          <w:spacing w:val="10"/>
          <w:kern w:val="2"/>
          <w:sz w:val="32"/>
          <w:szCs w:val="32"/>
          <w:lang w:val="en-US" w:eastAsia="zh-CN" w:bidi="ar-SA"/>
        </w:rPr>
        <w:t>5</w:t>
      </w:r>
      <w:r>
        <w:rPr>
          <w:rFonts w:hint="default" w:ascii="Times New Roman" w:hAnsi="Times New Roman" w:eastAsia="方正仿宋_GBK" w:cs="Times New Roman"/>
          <w:b w:val="0"/>
          <w:bCs w:val="0"/>
          <w:snapToGrid w:val="0"/>
          <w:spacing w:val="10"/>
          <w:kern w:val="2"/>
          <w:sz w:val="32"/>
          <w:szCs w:val="32"/>
          <w:lang w:val="en-US" w:eastAsia="zh-CN" w:bidi="ar-SA"/>
        </w:rPr>
        <w:t>年预算绩效目标审核与年初部门预算审核同步进行，审核结果应用于项目可否入库、可否纳入年度预算编审流程，以及预算资金分配额度的确定，将绩效目标编制质量作为预算安排参考依据。</w:t>
      </w:r>
      <w:r>
        <w:rPr>
          <w:rFonts w:hint="default" w:ascii="Times New Roman" w:hAnsi="Times New Roman" w:eastAsia="方正仿宋_GBK" w:cs="Times New Roman"/>
          <w:b/>
          <w:bCs/>
          <w:snapToGrid w:val="0"/>
          <w:spacing w:val="10"/>
          <w:kern w:val="2"/>
          <w:sz w:val="32"/>
          <w:szCs w:val="32"/>
          <w:lang w:val="en-US" w:eastAsia="zh-CN" w:bidi="ar-SA"/>
        </w:rPr>
        <w:t>三是</w:t>
      </w:r>
      <w:r>
        <w:rPr>
          <w:rFonts w:hint="default" w:ascii="Times New Roman" w:hAnsi="Times New Roman" w:eastAsia="方正仿宋_GBK" w:cs="Times New Roman"/>
          <w:b w:val="0"/>
          <w:bCs w:val="0"/>
          <w:snapToGrid w:val="0"/>
          <w:spacing w:val="10"/>
          <w:kern w:val="2"/>
          <w:sz w:val="32"/>
          <w:szCs w:val="32"/>
          <w:lang w:val="en-US" w:eastAsia="zh-CN" w:bidi="ar-SA"/>
        </w:rPr>
        <w:t>依据绩效监控情况，形成结果运用意见及时反馈相关业务股室，并督促相关单位立即整改问题，对本年度不能完成的项目资金及时收回区财政统筹调剂使用。</w:t>
      </w:r>
      <w:r>
        <w:rPr>
          <w:rFonts w:hint="default" w:ascii="Times New Roman" w:hAnsi="Times New Roman" w:eastAsia="方正仿宋_GBK" w:cs="Times New Roman"/>
          <w:b/>
          <w:bCs/>
          <w:snapToGrid w:val="0"/>
          <w:spacing w:val="10"/>
          <w:kern w:val="2"/>
          <w:sz w:val="32"/>
          <w:szCs w:val="32"/>
          <w:lang w:val="en-US" w:eastAsia="zh-CN" w:bidi="ar-SA"/>
        </w:rPr>
        <w:t>四是</w:t>
      </w:r>
      <w:r>
        <w:rPr>
          <w:rFonts w:hint="default" w:ascii="Times New Roman" w:hAnsi="Times New Roman" w:eastAsia="方正仿宋_GBK" w:cs="Times New Roman"/>
          <w:b w:val="0"/>
          <w:bCs w:val="0"/>
          <w:snapToGrid w:val="0"/>
          <w:spacing w:val="10"/>
          <w:kern w:val="2"/>
          <w:sz w:val="32"/>
          <w:szCs w:val="32"/>
          <w:lang w:val="en-US" w:eastAsia="zh-CN" w:bidi="ar-SA"/>
        </w:rPr>
        <w:t>根据绩效评价结果，区财政局汇总全年单位自评和财政重点评价结果，形成《东区2025年度绩效评价工作情况的报告（送审稿）》报区政府常务会议审议，将2025年重点绩效评价结果与2026年部门预算安排严格挂钩，对2026年部门整体预算规模调增1%—5%的单位1个、继续给予支持的单位7个、调减1%—5%的单位2个；2026年项目预算规模予以优先支持的项目10个、予以继续支持的项目6个、按照不低于10%的比例压减次年预算（剔除刚性支出）的项目3个、按照不低于20%的比例压减次年预算（剔除刚性支出）的项目1个。</w:t>
      </w:r>
    </w:p>
    <w:p>
      <w:pPr>
        <w:keepNext w:val="0"/>
        <w:keepLines w:val="0"/>
        <w:pageBreakBefore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方正黑体_GBK" w:cs="Times New Roman"/>
          <w:snapToGrid w:val="0"/>
          <w:kern w:val="0"/>
          <w:sz w:val="32"/>
          <w:szCs w:val="32"/>
          <w:lang w:val="en-US" w:eastAsia="zh-CN"/>
        </w:rPr>
      </w:pPr>
      <w:r>
        <w:rPr>
          <w:rFonts w:hint="default" w:ascii="Times New Roman" w:hAnsi="Times New Roman" w:eastAsia="方正黑体_GBK" w:cs="Times New Roman"/>
          <w:snapToGrid w:val="0"/>
          <w:kern w:val="0"/>
          <w:sz w:val="32"/>
          <w:szCs w:val="32"/>
          <w:lang w:val="en-US" w:eastAsia="zh-CN"/>
        </w:rPr>
        <w:t>三</w:t>
      </w:r>
      <w:r>
        <w:rPr>
          <w:rFonts w:hint="eastAsia" w:ascii="Times New Roman" w:hAnsi="Times New Roman" w:eastAsia="方正黑体_GBK" w:cs="Times New Roman"/>
          <w:snapToGrid w:val="0"/>
          <w:kern w:val="0"/>
          <w:sz w:val="32"/>
          <w:szCs w:val="32"/>
          <w:lang w:val="en-US" w:eastAsia="zh-CN"/>
        </w:rPr>
        <w:t>、</w:t>
      </w:r>
      <w:r>
        <w:rPr>
          <w:rFonts w:hint="default" w:ascii="Times New Roman" w:hAnsi="Times New Roman" w:eastAsia="方正黑体_GBK" w:cs="Times New Roman"/>
          <w:snapToGrid w:val="0"/>
          <w:kern w:val="0"/>
          <w:sz w:val="32"/>
          <w:szCs w:val="32"/>
          <w:lang w:val="en-US" w:eastAsia="zh-CN"/>
        </w:rPr>
        <w:t>强化监督公开，提升绩效管理透明度</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right="0" w:rightChars="0" w:firstLine="683" w:firstLineChars="200"/>
        <w:jc w:val="both"/>
        <w:textAlignment w:val="auto"/>
        <w:rPr>
          <w:rFonts w:hint="default" w:ascii="Times New Roman" w:hAnsi="Times New Roman" w:eastAsia="方正仿宋_GBK" w:cs="Times New Roman"/>
          <w:b w:val="0"/>
          <w:bCs w:val="0"/>
          <w:snapToGrid w:val="0"/>
          <w:spacing w:val="10"/>
          <w:kern w:val="2"/>
          <w:sz w:val="32"/>
          <w:szCs w:val="32"/>
          <w:lang w:val="en-US" w:eastAsia="zh-CN" w:bidi="ar-SA"/>
        </w:rPr>
      </w:pPr>
      <w:r>
        <w:rPr>
          <w:rFonts w:hint="default" w:ascii="Times New Roman" w:hAnsi="Times New Roman" w:eastAsia="方正仿宋_GBK" w:cs="Times New Roman"/>
          <w:b/>
          <w:bCs/>
          <w:snapToGrid w:val="0"/>
          <w:spacing w:val="10"/>
          <w:kern w:val="2"/>
          <w:sz w:val="32"/>
          <w:szCs w:val="32"/>
          <w:lang w:val="en-US" w:eastAsia="zh-CN" w:bidi="ar-SA"/>
        </w:rPr>
        <w:t>一是</w:t>
      </w:r>
      <w:r>
        <w:rPr>
          <w:rFonts w:hint="default" w:ascii="Times New Roman" w:hAnsi="Times New Roman" w:eastAsia="方正仿宋_GBK" w:cs="Times New Roman"/>
          <w:b w:val="0"/>
          <w:bCs w:val="0"/>
          <w:snapToGrid w:val="0"/>
          <w:spacing w:val="10"/>
          <w:kern w:val="2"/>
          <w:sz w:val="32"/>
          <w:szCs w:val="32"/>
          <w:lang w:val="en-US" w:eastAsia="zh-CN" w:bidi="ar-SA"/>
        </w:rPr>
        <w:t>区级绩效管理工作随区级预决算、预算执行情况等同步向区人大报告，并在攀枝花市东区人民政府网站上公开。</w:t>
      </w:r>
      <w:r>
        <w:rPr>
          <w:rFonts w:hint="default" w:ascii="Times New Roman" w:hAnsi="Times New Roman" w:eastAsia="方正仿宋_GBK" w:cs="Times New Roman"/>
          <w:b/>
          <w:bCs/>
          <w:snapToGrid w:val="0"/>
          <w:spacing w:val="10"/>
          <w:kern w:val="2"/>
          <w:sz w:val="32"/>
          <w:szCs w:val="32"/>
          <w:lang w:val="en-US" w:eastAsia="zh-CN" w:bidi="ar-SA"/>
        </w:rPr>
        <w:t>二是</w:t>
      </w:r>
      <w:r>
        <w:rPr>
          <w:rFonts w:hint="default" w:ascii="Times New Roman" w:hAnsi="Times New Roman" w:eastAsia="方正仿宋_GBK" w:cs="Times New Roman"/>
          <w:b w:val="0"/>
          <w:bCs w:val="0"/>
          <w:snapToGrid w:val="0"/>
          <w:spacing w:val="10"/>
          <w:kern w:val="2"/>
          <w:sz w:val="32"/>
          <w:szCs w:val="32"/>
          <w:lang w:val="en-US" w:eastAsia="zh-CN" w:bidi="ar-SA"/>
        </w:rPr>
        <w:t>区级所有预算单位的2025年预算绩效目标批复后，在规定时限内随同部门预算一起通过政府门户网站对外进行了公开。</w:t>
      </w:r>
      <w:r>
        <w:rPr>
          <w:rFonts w:hint="default" w:ascii="Times New Roman" w:hAnsi="Times New Roman" w:eastAsia="方正仿宋_GBK" w:cs="Times New Roman"/>
          <w:b/>
          <w:bCs/>
          <w:snapToGrid w:val="0"/>
          <w:spacing w:val="10"/>
          <w:kern w:val="2"/>
          <w:sz w:val="32"/>
          <w:szCs w:val="32"/>
          <w:lang w:val="en-US" w:eastAsia="zh-CN" w:bidi="ar-SA"/>
        </w:rPr>
        <w:t>三是</w:t>
      </w:r>
      <w:r>
        <w:rPr>
          <w:rFonts w:hint="default" w:ascii="Times New Roman" w:hAnsi="Times New Roman" w:eastAsia="方正仿宋_GBK" w:cs="Times New Roman"/>
          <w:b w:val="0"/>
          <w:bCs w:val="0"/>
          <w:snapToGrid w:val="0"/>
          <w:spacing w:val="10"/>
          <w:kern w:val="2"/>
          <w:sz w:val="32"/>
          <w:szCs w:val="32"/>
          <w:lang w:val="en-US" w:eastAsia="zh-CN" w:bidi="ar-SA"/>
        </w:rPr>
        <w:t>区级所有预算单位在完成2024年预算绩效自评后，及时在政府门户网站上公开自评结果，接受广大人民群众的监督。</w:t>
      </w:r>
      <w:r>
        <w:rPr>
          <w:rFonts w:hint="default" w:ascii="Times New Roman" w:hAnsi="Times New Roman" w:eastAsia="方正仿宋_GBK" w:cs="Times New Roman"/>
          <w:b/>
          <w:bCs/>
          <w:snapToGrid w:val="0"/>
          <w:spacing w:val="10"/>
          <w:kern w:val="2"/>
          <w:sz w:val="32"/>
          <w:szCs w:val="32"/>
          <w:lang w:val="en-US" w:eastAsia="zh-CN" w:bidi="ar-SA"/>
        </w:rPr>
        <w:t>四是</w:t>
      </w:r>
      <w:r>
        <w:rPr>
          <w:rFonts w:hint="default" w:ascii="Times New Roman" w:hAnsi="Times New Roman" w:eastAsia="方正仿宋_GBK" w:cs="Times New Roman"/>
          <w:b w:val="0"/>
          <w:bCs w:val="0"/>
          <w:snapToGrid w:val="0"/>
          <w:spacing w:val="10"/>
          <w:kern w:val="2"/>
          <w:sz w:val="32"/>
          <w:szCs w:val="32"/>
          <w:lang w:val="en-US" w:eastAsia="zh-CN" w:bidi="ar-SA"/>
        </w:rPr>
        <w:t>完成区级10个部门、20个（政策）项目重点评价后，及时在攀枝花市东区人民政府网站上公开。评价结果及时公开，接受群众监督，形成点面结合、自我约束和外部监管相互促进的管理模式，提升财政资金使用质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方正黑体_GBK" w:cs="Times New Roman"/>
          <w:b w:val="0"/>
          <w:bCs w:val="0"/>
          <w:snapToGrid w:val="0"/>
          <w:kern w:val="0"/>
          <w:sz w:val="32"/>
          <w:szCs w:val="32"/>
          <w:lang w:val="en-US" w:eastAsia="zh-CN" w:bidi="ar-SA"/>
        </w:rPr>
      </w:pPr>
      <w:r>
        <w:rPr>
          <w:rFonts w:hint="default" w:ascii="Times New Roman" w:hAnsi="Times New Roman" w:eastAsia="方正黑体_GBK" w:cs="Times New Roman"/>
          <w:b w:val="0"/>
          <w:bCs w:val="0"/>
          <w:snapToGrid w:val="0"/>
          <w:kern w:val="0"/>
          <w:sz w:val="32"/>
          <w:szCs w:val="32"/>
          <w:lang w:val="en-US" w:eastAsia="zh-CN" w:bidi="ar-SA"/>
        </w:rPr>
        <w:t>四</w:t>
      </w:r>
      <w:r>
        <w:rPr>
          <w:rFonts w:hint="eastAsia" w:ascii="Times New Roman" w:hAnsi="Times New Roman" w:eastAsia="方正黑体_GBK" w:cs="Times New Roman"/>
          <w:b w:val="0"/>
          <w:bCs w:val="0"/>
          <w:snapToGrid w:val="0"/>
          <w:kern w:val="0"/>
          <w:sz w:val="32"/>
          <w:szCs w:val="32"/>
          <w:lang w:val="en-US" w:eastAsia="zh-CN" w:bidi="ar-SA"/>
        </w:rPr>
        <w:t>、</w:t>
      </w:r>
      <w:r>
        <w:rPr>
          <w:rFonts w:hint="default" w:ascii="Times New Roman" w:hAnsi="Times New Roman" w:eastAsia="方正黑体_GBK" w:cs="Times New Roman"/>
          <w:b w:val="0"/>
          <w:bCs w:val="0"/>
          <w:snapToGrid w:val="0"/>
          <w:kern w:val="0"/>
          <w:sz w:val="32"/>
          <w:szCs w:val="32"/>
          <w:lang w:val="en-US" w:eastAsia="zh-CN" w:bidi="ar-SA"/>
        </w:rPr>
        <w:t>严格考核管理，压实绩效管理工作责任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left="0" w:right="0" w:firstLine="680" w:firstLineChars="200"/>
        <w:jc w:val="both"/>
        <w:textAlignment w:val="auto"/>
        <w:rPr>
          <w:rFonts w:hint="default" w:ascii="Times New Roman" w:hAnsi="Times New Roman" w:eastAsia="方正仿宋_GBK" w:cs="Times New Roman"/>
          <w:b w:val="0"/>
          <w:bCs w:val="0"/>
          <w:snapToGrid w:val="0"/>
          <w:spacing w:val="10"/>
          <w:kern w:val="2"/>
          <w:sz w:val="32"/>
          <w:szCs w:val="32"/>
          <w:lang w:val="en-US" w:eastAsia="zh-CN" w:bidi="ar-SA"/>
        </w:rPr>
      </w:pPr>
      <w:r>
        <w:rPr>
          <w:rFonts w:hint="default" w:ascii="Times New Roman" w:hAnsi="Times New Roman" w:eastAsia="方正仿宋_GBK" w:cs="Times New Roman"/>
          <w:b w:val="0"/>
          <w:bCs w:val="0"/>
          <w:snapToGrid w:val="0"/>
          <w:spacing w:val="10"/>
          <w:kern w:val="2"/>
          <w:sz w:val="32"/>
          <w:szCs w:val="32"/>
          <w:lang w:val="en-US" w:eastAsia="zh-CN" w:bidi="ar-SA"/>
        </w:rPr>
        <w:t>东区将2025年预算绩效目标管理、绩效运行监控、绩效评价管理等工作开展情况、质量时效及督导情况纳入年度目标绩效管理工作考核并印发相关文件，同时，积极推行绩效目标绩效评价结果与预算安排挂钩机制，并将考核结果纳入区委、区政府目标考核体系，充分调动部门的积极性、主动性。</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方正黑体_GBK" w:cs="Times New Roman"/>
          <w:b w:val="0"/>
          <w:bCs w:val="0"/>
          <w:snapToGrid w:val="0"/>
          <w:kern w:val="0"/>
          <w:sz w:val="32"/>
          <w:szCs w:val="32"/>
          <w:lang w:val="en-US" w:eastAsia="zh-CN" w:bidi="ar-SA"/>
        </w:rPr>
      </w:pPr>
      <w:r>
        <w:rPr>
          <w:rFonts w:hint="default" w:ascii="Times New Roman" w:hAnsi="Times New Roman" w:eastAsia="方正黑体_GBK" w:cs="Times New Roman"/>
          <w:b w:val="0"/>
          <w:bCs w:val="0"/>
          <w:snapToGrid w:val="0"/>
          <w:kern w:val="0"/>
          <w:sz w:val="32"/>
          <w:szCs w:val="32"/>
          <w:lang w:val="en-US" w:eastAsia="zh-CN" w:bidi="ar-SA"/>
        </w:rPr>
        <w:t>五</w:t>
      </w:r>
      <w:r>
        <w:rPr>
          <w:rFonts w:hint="eastAsia" w:ascii="Times New Roman" w:hAnsi="Times New Roman" w:eastAsia="方正黑体_GBK" w:cs="Times New Roman"/>
          <w:b w:val="0"/>
          <w:bCs w:val="0"/>
          <w:snapToGrid w:val="0"/>
          <w:kern w:val="0"/>
          <w:sz w:val="32"/>
          <w:szCs w:val="32"/>
          <w:lang w:val="en-US" w:eastAsia="zh-CN" w:bidi="ar-SA"/>
        </w:rPr>
        <w:t>、</w:t>
      </w:r>
      <w:r>
        <w:rPr>
          <w:rFonts w:hint="default" w:ascii="Times New Roman" w:hAnsi="Times New Roman" w:eastAsia="方正黑体_GBK" w:cs="Times New Roman"/>
          <w:b w:val="0"/>
          <w:bCs w:val="0"/>
          <w:snapToGrid w:val="0"/>
          <w:kern w:val="0"/>
          <w:sz w:val="32"/>
          <w:szCs w:val="32"/>
          <w:lang w:val="en-US" w:eastAsia="zh-CN" w:bidi="ar-SA"/>
        </w:rPr>
        <w:t>健全制度支撑，夯实绩效管理工作基础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left="0" w:right="0" w:firstLine="680" w:firstLineChars="200"/>
        <w:jc w:val="both"/>
        <w:textAlignment w:val="auto"/>
        <w:rPr>
          <w:rFonts w:hint="default" w:ascii="Times New Roman" w:hAnsi="Times New Roman" w:eastAsia="方正仿宋_GBK" w:cs="Times New Roman"/>
          <w:b w:val="0"/>
          <w:bCs w:val="0"/>
          <w:snapToGrid w:val="0"/>
          <w:spacing w:val="10"/>
          <w:kern w:val="2"/>
          <w:sz w:val="32"/>
          <w:szCs w:val="32"/>
          <w:lang w:val="en-US" w:eastAsia="zh-CN" w:bidi="ar-SA"/>
        </w:rPr>
      </w:pPr>
      <w:r>
        <w:rPr>
          <w:rFonts w:hint="default" w:ascii="Times New Roman" w:hAnsi="Times New Roman" w:eastAsia="方正仿宋_GBK" w:cs="Times New Roman"/>
          <w:b w:val="0"/>
          <w:bCs w:val="0"/>
          <w:snapToGrid w:val="0"/>
          <w:spacing w:val="10"/>
          <w:kern w:val="2"/>
          <w:sz w:val="32"/>
          <w:szCs w:val="32"/>
          <w:lang w:val="en-US" w:eastAsia="zh-CN" w:bidi="ar-SA"/>
        </w:rPr>
        <w:t>为进一步强化绩效管理责任，根据中央、省、市年度预算绩效管理重点工作安排和东区实际，印发《东区2025年预算绩效管理工作要点》，明确年度主要任务。为全面提升预算绩效管理水平，印发《东区财政绩效监督“三管三必须”实施细则》，进一步明确单位、主管部门、财政部门职责，为区级各预算单位开展绩效管理工作提供规范化、标准化操作指南；修订完善《攀枝花市东区区级预算事前绩效评估管理办法》《攀枝花市东区区级预算绩效目标管理办法》，规范事前绩效评估和绩效目标管理工作，推动绩效评价程序规范、标准科学、方法合理、结果可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方正黑体_GBK" w:cs="Times New Roman"/>
          <w:b w:val="0"/>
          <w:bCs w:val="0"/>
          <w:snapToGrid w:val="0"/>
          <w:kern w:val="0"/>
          <w:sz w:val="32"/>
          <w:szCs w:val="32"/>
          <w:lang w:val="en-US" w:eastAsia="zh-CN" w:bidi="ar-SA"/>
        </w:rPr>
      </w:pPr>
      <w:r>
        <w:rPr>
          <w:rFonts w:hint="default" w:ascii="Times New Roman" w:hAnsi="Times New Roman" w:eastAsia="方正黑体_GBK" w:cs="Times New Roman"/>
          <w:b w:val="0"/>
          <w:bCs w:val="0"/>
          <w:snapToGrid w:val="0"/>
          <w:kern w:val="0"/>
          <w:sz w:val="32"/>
          <w:szCs w:val="32"/>
          <w:lang w:val="en-US" w:eastAsia="zh-CN" w:bidi="ar-SA"/>
        </w:rPr>
        <w:t>六</w:t>
      </w:r>
      <w:r>
        <w:rPr>
          <w:rFonts w:hint="eastAsia" w:ascii="Times New Roman" w:hAnsi="Times New Roman" w:eastAsia="方正黑体_GBK" w:cs="Times New Roman"/>
          <w:b w:val="0"/>
          <w:bCs w:val="0"/>
          <w:snapToGrid w:val="0"/>
          <w:kern w:val="0"/>
          <w:sz w:val="32"/>
          <w:szCs w:val="32"/>
          <w:lang w:val="en-US" w:eastAsia="zh-CN" w:bidi="ar-SA"/>
        </w:rPr>
        <w:t>、</w:t>
      </w:r>
      <w:r>
        <w:rPr>
          <w:rFonts w:hint="default" w:ascii="Times New Roman" w:hAnsi="Times New Roman" w:eastAsia="方正黑体_GBK" w:cs="Times New Roman"/>
          <w:b w:val="0"/>
          <w:bCs w:val="0"/>
          <w:snapToGrid w:val="0"/>
          <w:kern w:val="0"/>
          <w:sz w:val="32"/>
          <w:szCs w:val="32"/>
          <w:lang w:val="en-US" w:eastAsia="zh-CN" w:bidi="ar-SA"/>
        </w:rPr>
        <w:t>强化技术保障，狠抓问题整改落实</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80" w:lineRule="exact"/>
        <w:ind w:left="0" w:right="0" w:firstLine="680" w:firstLineChars="200"/>
        <w:jc w:val="both"/>
        <w:textAlignment w:val="auto"/>
        <w:rPr>
          <w:rFonts w:hint="default" w:ascii="Times New Roman" w:hAnsi="Times New Roman" w:eastAsia="方正仿宋_GBK" w:cs="Times New Roman"/>
          <w:b w:val="0"/>
          <w:bCs w:val="0"/>
          <w:snapToGrid w:val="0"/>
          <w:spacing w:val="10"/>
          <w:kern w:val="2"/>
          <w:sz w:val="32"/>
          <w:szCs w:val="32"/>
          <w:lang w:val="en-US" w:eastAsia="zh-CN" w:bidi="ar-SA"/>
        </w:rPr>
      </w:pPr>
      <w:r>
        <w:rPr>
          <w:rFonts w:hint="default" w:ascii="Times New Roman" w:hAnsi="Times New Roman" w:eastAsia="方正仿宋_GBK" w:cs="Times New Roman"/>
          <w:b w:val="0"/>
          <w:bCs w:val="0"/>
          <w:snapToGrid w:val="0"/>
          <w:spacing w:val="10"/>
          <w:kern w:val="2"/>
          <w:sz w:val="32"/>
          <w:szCs w:val="32"/>
          <w:lang w:val="en-US" w:eastAsia="zh-CN" w:bidi="ar-SA"/>
        </w:rPr>
        <w:t>为切实提高绩效评价客观性和公正性，委托第三方专业机构深入现场实地踏勘，全面掌握资金使用实际绩效情况；成立绩效评价监督小组随机开展现场抽查、监督评价纪律，确保数据真实、程序规范。针对历年及本年度</w:t>
      </w:r>
      <w:r>
        <w:rPr>
          <w:rFonts w:hint="eastAsia" w:ascii="Times New Roman" w:hAnsi="Times New Roman" w:eastAsia="方正仿宋_GBK" w:cs="Times New Roman"/>
          <w:b w:val="0"/>
          <w:bCs w:val="0"/>
          <w:snapToGrid w:val="0"/>
          <w:spacing w:val="10"/>
          <w:kern w:val="2"/>
          <w:sz w:val="32"/>
          <w:szCs w:val="32"/>
          <w:lang w:val="en-US" w:eastAsia="zh-CN" w:bidi="ar-SA"/>
        </w:rPr>
        <w:t>区级</w:t>
      </w:r>
      <w:r>
        <w:rPr>
          <w:rFonts w:hint="default" w:ascii="Times New Roman" w:hAnsi="Times New Roman" w:eastAsia="方正仿宋_GBK" w:cs="Times New Roman"/>
          <w:b w:val="0"/>
          <w:bCs w:val="0"/>
          <w:snapToGrid w:val="0"/>
          <w:spacing w:val="10"/>
          <w:kern w:val="2"/>
          <w:sz w:val="32"/>
          <w:szCs w:val="32"/>
          <w:lang w:val="en-US" w:eastAsia="zh-CN" w:bidi="ar-SA"/>
        </w:rPr>
        <w:t>重点评价发现问题，印发通报文件督促整改，按照“清单制+责任制+销号制”要求全面整改到位，并将整改情况、结果运用情况</w:t>
      </w:r>
      <w:r>
        <w:rPr>
          <w:rFonts w:hint="eastAsia" w:ascii="Times New Roman" w:hAnsi="Times New Roman" w:eastAsia="方正仿宋_GBK" w:cs="Times New Roman"/>
          <w:b w:val="0"/>
          <w:bCs w:val="0"/>
          <w:snapToGrid w:val="0"/>
          <w:spacing w:val="10"/>
          <w:kern w:val="2"/>
          <w:sz w:val="32"/>
          <w:szCs w:val="32"/>
          <w:lang w:val="en-US" w:eastAsia="zh-CN" w:bidi="ar-SA"/>
        </w:rPr>
        <w:t>相关资料</w:t>
      </w:r>
      <w:r>
        <w:rPr>
          <w:rFonts w:hint="default" w:ascii="Times New Roman" w:hAnsi="Times New Roman" w:eastAsia="方正仿宋_GBK" w:cs="Times New Roman"/>
          <w:b w:val="0"/>
          <w:bCs w:val="0"/>
          <w:snapToGrid w:val="0"/>
          <w:spacing w:val="10"/>
          <w:kern w:val="2"/>
          <w:sz w:val="32"/>
          <w:szCs w:val="32"/>
          <w:lang w:val="en-US" w:eastAsia="zh-CN" w:bidi="ar-SA"/>
        </w:rPr>
        <w:t>报送区财政局</w:t>
      </w:r>
      <w:r>
        <w:rPr>
          <w:rFonts w:hint="eastAsia" w:ascii="Times New Roman" w:hAnsi="Times New Roman" w:eastAsia="方正仿宋_GBK" w:cs="Times New Roman"/>
          <w:b w:val="0"/>
          <w:bCs w:val="0"/>
          <w:snapToGrid w:val="0"/>
          <w:spacing w:val="10"/>
          <w:kern w:val="2"/>
          <w:sz w:val="32"/>
          <w:szCs w:val="32"/>
          <w:lang w:val="en-US" w:eastAsia="zh-CN" w:bidi="ar-SA"/>
        </w:rPr>
        <w:t>，同时做好上级</w:t>
      </w:r>
      <w:r>
        <w:rPr>
          <w:rFonts w:hint="default" w:ascii="Times New Roman" w:hAnsi="Times New Roman" w:eastAsia="方正仿宋_GBK" w:cs="Times New Roman"/>
          <w:b w:val="0"/>
          <w:bCs w:val="0"/>
          <w:snapToGrid w:val="0"/>
          <w:spacing w:val="10"/>
          <w:kern w:val="2"/>
          <w:sz w:val="32"/>
          <w:szCs w:val="32"/>
          <w:lang w:val="en-US" w:eastAsia="zh-CN" w:bidi="ar-SA"/>
        </w:rPr>
        <w:t>重点评价发现问题</w:t>
      </w:r>
      <w:r>
        <w:rPr>
          <w:rFonts w:hint="eastAsia" w:ascii="Times New Roman" w:hAnsi="Times New Roman" w:eastAsia="方正仿宋_GBK" w:cs="Times New Roman"/>
          <w:b w:val="0"/>
          <w:bCs w:val="0"/>
          <w:snapToGrid w:val="0"/>
          <w:spacing w:val="10"/>
          <w:kern w:val="2"/>
          <w:sz w:val="32"/>
          <w:szCs w:val="32"/>
          <w:lang w:val="en-US" w:eastAsia="zh-CN" w:bidi="ar-SA"/>
        </w:rPr>
        <w:t>整改</w:t>
      </w:r>
      <w:r>
        <w:rPr>
          <w:rFonts w:hint="default" w:ascii="Times New Roman" w:hAnsi="Times New Roman" w:eastAsia="方正仿宋_GBK" w:cs="Times New Roman"/>
          <w:b w:val="0"/>
          <w:bCs w:val="0"/>
          <w:snapToGrid w:val="0"/>
          <w:spacing w:val="10"/>
          <w:kern w:val="2"/>
          <w:sz w:val="32"/>
          <w:szCs w:val="32"/>
          <w:lang w:val="en-US" w:eastAsia="zh-CN" w:bidi="ar-SA"/>
        </w:rPr>
        <w:t>工作</w:t>
      </w:r>
      <w:r>
        <w:rPr>
          <w:rFonts w:hint="eastAsia" w:ascii="Times New Roman" w:hAnsi="Times New Roman" w:eastAsia="方正仿宋_GBK" w:cs="Times New Roman"/>
          <w:b w:val="0"/>
          <w:bCs w:val="0"/>
          <w:snapToGrid w:val="0"/>
          <w:spacing w:val="10"/>
          <w:kern w:val="2"/>
          <w:sz w:val="32"/>
          <w:szCs w:val="32"/>
          <w:lang w:val="en-US" w:eastAsia="zh-CN" w:bidi="ar-SA"/>
        </w:rPr>
        <w:t>，及时将整改资料报送上级部门</w:t>
      </w:r>
      <w:r>
        <w:rPr>
          <w:rFonts w:hint="default" w:ascii="Times New Roman" w:hAnsi="Times New Roman" w:eastAsia="方正仿宋_GBK" w:cs="Times New Roman"/>
          <w:b w:val="0"/>
          <w:bCs w:val="0"/>
          <w:snapToGrid w:val="0"/>
          <w:spacing w:val="10"/>
          <w:kern w:val="2"/>
          <w:sz w:val="32"/>
          <w:szCs w:val="32"/>
          <w:lang w:val="en-US" w:eastAsia="zh-CN" w:bidi="ar-SA"/>
        </w:rPr>
        <w:t>。</w:t>
      </w:r>
    </w:p>
    <w:p/>
    <w:sectPr>
      <w:footerReference r:id="rId3" w:type="default"/>
      <w:pgSz w:w="11906" w:h="16838"/>
      <w:pgMar w:top="2098" w:right="1474" w:bottom="1984"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7"/>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7F1AEC"/>
    <w:rsid w:val="19C23D25"/>
    <w:rsid w:val="31D82880"/>
    <w:rsid w:val="422864AF"/>
    <w:rsid w:val="4AED1797"/>
    <w:rsid w:val="57881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rPr>
      <w:sz w:val="30"/>
      <w:szCs w:val="24"/>
    </w:rPr>
  </w:style>
  <w:style w:type="paragraph" w:styleId="3">
    <w:name w:val="Body Text Indent"/>
    <w:basedOn w:val="1"/>
    <w:qFormat/>
    <w:uiPriority w:val="0"/>
    <w:pPr>
      <w:spacing w:after="120"/>
      <w:ind w:left="420" w:leftChars="200"/>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19</TotalTime>
  <ScaleCrop>false</ScaleCrop>
  <LinksUpToDate>false</LinksUpToDate>
  <CharactersWithSpaces>0</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2026-04-01T03:27:00Z</dcterms:created>
  <dc:creator>Administrator</dc:creator>
  <cp:lastModifiedBy>Administrator</cp:lastModifiedBy>
  <dcterms:modified xsi:type="dcterms:W3CDTF">2026-04-01T07:38:34Z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KSOTemplateDocerSaveRecord">
    <vt:lpwstr>eyJoZGlkIjoiMGJlYjI4NjZkMjQ5ZmZiNmE2ZjM5MmU3OTg1NjViNTEiLCJ1c2VySWQiOiIxNjIxMDkxNzg1In0=</vt:lpwstr>
  </property>
  <property fmtid="{D5CDD505-2E9C-101B-9397-08002B2CF9AE}" pid="4" name="ICV">
    <vt:lpwstr>C4DC27B92403465FBD1228EC86369D58_12</vt:lpwstr>
  </property>
</Properties>
</file>