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FFF117">
      <w:pPr>
        <w:wordWrap w:val="0"/>
        <w:ind w:firstLine="640"/>
        <w:jc w:val="righ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055363E">
      <w:pPr>
        <w:spacing w:line="240" w:lineRule="atLeast"/>
        <w:ind w:right="435"/>
        <w:jc w:val="left"/>
        <w:rPr>
          <w:rFonts w:hint="eastAsia" w:ascii="方正黑体_GBK" w:hAnsi="方正黑体_GBK" w:eastAsia="方正黑体_GBK" w:cs="方正黑体_GBK"/>
          <w:spacing w:val="0"/>
          <w:sz w:val="32"/>
          <w:szCs w:val="32"/>
          <w:lang w:eastAsia="zh-CN"/>
        </w:rPr>
      </w:pPr>
    </w:p>
    <w:p w14:paraId="4F566099">
      <w:pPr>
        <w:spacing w:line="240" w:lineRule="atLeast"/>
        <w:ind w:right="435"/>
        <w:jc w:val="left"/>
        <w:rPr>
          <w:rFonts w:hint="eastAsia" w:ascii="方正黑体_GBK" w:hAnsi="方正黑体_GBK" w:eastAsia="方正黑体_GBK" w:cs="方正黑体_GBK"/>
          <w:spacing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pacing w:val="0"/>
          <w:sz w:val="32"/>
          <w:szCs w:val="32"/>
          <w:lang w:eastAsia="zh-CN"/>
        </w:rPr>
        <w:t>附件</w:t>
      </w:r>
    </w:p>
    <w:p w14:paraId="7BE77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eastAsia="zh-CN"/>
        </w:rPr>
        <w:t>攀枝花市东区市场监督管理局</w:t>
      </w:r>
    </w:p>
    <w:p w14:paraId="43016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pacing w:val="0"/>
          <w:w w:val="95"/>
          <w:sz w:val="44"/>
          <w:szCs w:val="44"/>
          <w:lang w:val="en-US" w:eastAsia="zh-CN"/>
        </w:rPr>
      </w:pPr>
      <w:bookmarkStart w:id="0" w:name="OLE_LINK2"/>
      <w:r>
        <w:rPr>
          <w:rFonts w:hint="eastAsia" w:ascii="方正小标宋_GBK" w:hAnsi="方正小标宋_GBK" w:eastAsia="方正小标宋_GBK" w:cs="方正小标宋_GBK"/>
          <w:b/>
          <w:bCs/>
          <w:spacing w:val="0"/>
          <w:w w:val="95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b/>
          <w:bCs/>
          <w:spacing w:val="0"/>
          <w:w w:val="95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/>
          <w:bCs/>
          <w:spacing w:val="0"/>
          <w:w w:val="95"/>
          <w:sz w:val="44"/>
          <w:szCs w:val="44"/>
        </w:rPr>
        <w:t>年食品安全快速检测试纸试剂采购</w:t>
      </w:r>
      <w:r>
        <w:rPr>
          <w:rFonts w:hint="eastAsia" w:ascii="方正小标宋_GBK" w:hAnsi="方正小标宋_GBK" w:eastAsia="方正小标宋_GBK" w:cs="方正小标宋_GBK"/>
          <w:b/>
          <w:bCs/>
          <w:spacing w:val="0"/>
          <w:w w:val="95"/>
          <w:sz w:val="44"/>
          <w:szCs w:val="44"/>
          <w:lang w:val="en-US" w:eastAsia="zh-CN"/>
        </w:rPr>
        <w:t>清单</w:t>
      </w:r>
      <w:bookmarkEnd w:id="0"/>
    </w:p>
    <w:p w14:paraId="1A18B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right="435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pacing w:val="0"/>
          <w:w w:val="95"/>
          <w:sz w:val="32"/>
          <w:szCs w:val="32"/>
          <w:lang w:eastAsia="zh-CN"/>
        </w:rPr>
      </w:pPr>
    </w:p>
    <w:tbl>
      <w:tblPr>
        <w:tblStyle w:val="4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2854"/>
        <w:gridCol w:w="1701"/>
        <w:gridCol w:w="1738"/>
        <w:gridCol w:w="6957"/>
      </w:tblGrid>
      <w:tr w14:paraId="4D1BE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0A06D30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b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pacing w:val="-20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492CF91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b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pacing w:val="-20"/>
                <w:sz w:val="32"/>
                <w:szCs w:val="32"/>
                <w:vertAlign w:val="baseline"/>
                <w:lang w:eastAsia="zh-CN"/>
              </w:rPr>
              <w:t>检测项目</w:t>
            </w:r>
          </w:p>
        </w:tc>
        <w:tc>
          <w:tcPr>
            <w:tcW w:w="600" w:type="pct"/>
            <w:shd w:val="clear" w:color="auto" w:fill="auto"/>
            <w:vAlign w:val="center"/>
          </w:tcPr>
          <w:p w14:paraId="13E56C3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b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pacing w:val="-20"/>
                <w:sz w:val="32"/>
                <w:szCs w:val="32"/>
                <w:vertAlign w:val="baseline"/>
                <w:lang w:eastAsia="zh-CN"/>
              </w:rPr>
              <w:t>规格</w:t>
            </w:r>
            <w:bookmarkStart w:id="2" w:name="_GoBack"/>
            <w:bookmarkEnd w:id="2"/>
          </w:p>
        </w:tc>
        <w:tc>
          <w:tcPr>
            <w:tcW w:w="613" w:type="pct"/>
            <w:shd w:val="clear" w:color="auto" w:fill="auto"/>
            <w:vAlign w:val="center"/>
          </w:tcPr>
          <w:p w14:paraId="6D6AEBD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b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pacing w:val="-20"/>
                <w:sz w:val="32"/>
                <w:szCs w:val="32"/>
                <w:vertAlign w:val="baseline"/>
                <w:lang w:eastAsia="zh-CN"/>
              </w:rPr>
              <w:t>数量</w:t>
            </w:r>
            <w:r>
              <w:rPr>
                <w:rFonts w:hint="eastAsia" w:ascii="Times New Roman" w:hAnsi="Times New Roman" w:eastAsia="方正仿宋_GBK" w:cs="Times New Roman"/>
                <w:b/>
                <w:spacing w:val="-20"/>
                <w:sz w:val="32"/>
                <w:szCs w:val="32"/>
                <w:vertAlign w:val="baseline"/>
                <w:lang w:eastAsia="zh-CN"/>
              </w:rPr>
              <w:t>（盒</w:t>
            </w:r>
            <w:r>
              <w:rPr>
                <w:rFonts w:hint="eastAsia" w:ascii="Times New Roman" w:hAnsi="Times New Roman" w:eastAsia="方正仿宋_GBK" w:cs="Times New Roman"/>
                <w:b/>
                <w:spacing w:val="-20"/>
                <w:sz w:val="32"/>
                <w:szCs w:val="32"/>
                <w:vertAlign w:val="baseline"/>
                <w:lang w:val="en-US" w:eastAsia="zh-CN"/>
              </w:rPr>
              <w:t>/套</w:t>
            </w:r>
            <w:r>
              <w:rPr>
                <w:rFonts w:hint="eastAsia" w:ascii="Times New Roman" w:hAnsi="Times New Roman" w:eastAsia="方正仿宋_GBK" w:cs="Times New Roman"/>
                <w:b/>
                <w:spacing w:val="-20"/>
                <w:sz w:val="32"/>
                <w:szCs w:val="32"/>
                <w:vertAlign w:val="baseline"/>
                <w:lang w:eastAsia="zh-CN"/>
              </w:rPr>
              <w:t>）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42030D2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b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pacing w:val="-20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52176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39AF33A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5E654A8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农药残毒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600" w:type="pct"/>
            <w:shd w:val="clear" w:color="auto" w:fill="auto"/>
            <w:vAlign w:val="center"/>
          </w:tcPr>
          <w:p w14:paraId="1A2E96F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200次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7EBF0A8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315873C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可不依赖相关设备开展检测；需配套相关检测消耗品。</w:t>
            </w:r>
          </w:p>
        </w:tc>
      </w:tr>
      <w:tr w14:paraId="1D402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76DC669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57700D6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食品甲醛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600" w:type="pct"/>
            <w:shd w:val="clear" w:color="auto" w:fill="auto"/>
            <w:vAlign w:val="center"/>
          </w:tcPr>
          <w:p w14:paraId="50A61C1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100次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564DA42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651F21E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0C47B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0DB5529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0FC931E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食品二氧化硫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600" w:type="pct"/>
            <w:shd w:val="clear" w:color="auto" w:fill="auto"/>
            <w:vAlign w:val="center"/>
          </w:tcPr>
          <w:p w14:paraId="7A4F90E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100次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3C8CBF5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6EF153D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4E78B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79CFAAC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65B4E88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食品吊白块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600" w:type="pct"/>
            <w:shd w:val="clear" w:color="auto" w:fill="auto"/>
            <w:vAlign w:val="center"/>
          </w:tcPr>
          <w:p w14:paraId="4191E53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100次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4E3B73E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2141CF8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bookmarkStart w:id="1" w:name="OLE_LINK1"/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  <w:bookmarkEnd w:id="1"/>
          </w:p>
        </w:tc>
      </w:tr>
      <w:tr w14:paraId="2B508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34DD3ED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2EBE695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食品亚硝酸盐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600" w:type="pct"/>
            <w:shd w:val="clear" w:color="auto" w:fill="auto"/>
            <w:vAlign w:val="center"/>
          </w:tcPr>
          <w:p w14:paraId="7EB3D05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100次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0803B16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448C181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55244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28CF360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21B4AC9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食用油脂酸价和过氧化值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600" w:type="pct"/>
            <w:shd w:val="clear" w:color="auto" w:fill="auto"/>
            <w:vAlign w:val="center"/>
          </w:tcPr>
          <w:p w14:paraId="7A9146E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各10次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27BBF3E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7E84BB3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6BB87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6453CFB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6155585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肉类水分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600" w:type="pct"/>
            <w:shd w:val="clear" w:color="auto" w:fill="auto"/>
            <w:vAlign w:val="center"/>
          </w:tcPr>
          <w:p w14:paraId="35D2CCF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100次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26B1B38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2BF4BC6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4DAEB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175ABD0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54683E8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酒中甜蜜素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600" w:type="pct"/>
            <w:shd w:val="clear" w:color="auto" w:fill="auto"/>
            <w:vAlign w:val="center"/>
          </w:tcPr>
          <w:p w14:paraId="3424CD8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100次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741D606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02B586C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1FD2C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0BFAF9F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4EB2E68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酒中甲醇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600" w:type="pct"/>
            <w:shd w:val="clear" w:color="auto" w:fill="auto"/>
            <w:vAlign w:val="center"/>
          </w:tcPr>
          <w:p w14:paraId="646B8E5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50次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1E68D98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7EA3BCF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65920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277DDA9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14FE1A4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罂粟壳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600" w:type="pct"/>
            <w:shd w:val="clear" w:color="auto" w:fill="auto"/>
            <w:vAlign w:val="center"/>
          </w:tcPr>
          <w:p w14:paraId="4E0F837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20次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5E02344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17A2A33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02434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5CCB5D6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3244BC6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恩诺沙星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600" w:type="pct"/>
            <w:shd w:val="clear" w:color="auto" w:fill="auto"/>
            <w:vAlign w:val="center"/>
          </w:tcPr>
          <w:p w14:paraId="2B5297E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10次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13B8663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51DCC96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37935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3060F57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757643E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食品双氧水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600" w:type="pct"/>
            <w:shd w:val="clear" w:color="auto" w:fill="auto"/>
            <w:vAlign w:val="center"/>
          </w:tcPr>
          <w:p w14:paraId="77CA35E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100次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7A68247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1395B73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60D85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1DE6CE3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1FF4DEF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病害肉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600" w:type="pct"/>
            <w:shd w:val="clear" w:color="auto" w:fill="auto"/>
            <w:vAlign w:val="center"/>
          </w:tcPr>
          <w:p w14:paraId="60E90A4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50次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31F1D93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1E54B2B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1324D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5D9ED4C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789B525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沙门氏菌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600" w:type="pct"/>
            <w:shd w:val="clear" w:color="auto" w:fill="auto"/>
            <w:vAlign w:val="center"/>
          </w:tcPr>
          <w:p w14:paraId="70FF44A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份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579A54E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6F8F5A7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718D9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15FF5AC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425BE04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金黄色葡萄球菌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600" w:type="pct"/>
            <w:shd w:val="clear" w:color="auto" w:fill="auto"/>
            <w:vAlign w:val="center"/>
          </w:tcPr>
          <w:p w14:paraId="0ED0B2C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份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4BA2610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2B441D3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42B70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05A2C5C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4637F96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蓝矾（硫酸铜）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600" w:type="pct"/>
            <w:shd w:val="clear" w:color="auto" w:fill="auto"/>
            <w:vAlign w:val="center"/>
          </w:tcPr>
          <w:p w14:paraId="78A995F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100次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269F322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483341C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74CAC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4BFE233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03F6BC2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28"/>
                <w:szCs w:val="28"/>
                <w:vertAlign w:val="baseline"/>
                <w:lang w:val="en-US" w:eastAsia="zh-CN"/>
              </w:rPr>
              <w:t>食品安全检测箱</w:t>
            </w:r>
          </w:p>
        </w:tc>
        <w:tc>
          <w:tcPr>
            <w:tcW w:w="600" w:type="pct"/>
            <w:shd w:val="clear" w:color="auto" w:fill="auto"/>
            <w:vAlign w:val="center"/>
          </w:tcPr>
          <w:p w14:paraId="241E72F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按需配置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20272BA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73B65EC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可不依赖相关设备开展检测；需配套相关检测消耗品；快检项目应包括但不限于：农药残毒速测、食品二氧化硫快速检测、食品亚硝酸盐快速检测、食品双氧水快速检测、食用油脂酸价和过氧化值速测、黄曲霉素速测、甜蜜素快速检测、瘦肉精速测、恩诺沙星速测、罂粟壳速测、病害肉快速检测、呋喃唑酮快速检测、阴离子洗涤剂快检、肉类水分速测试剂、餐饮具与食物加工器具洁净度速测、磺胺快速检测，包含检测次数应满足单售基础规格；检测箱尺寸不超过55cm×40cm×20cm。</w:t>
            </w:r>
          </w:p>
        </w:tc>
      </w:tr>
    </w:tbl>
    <w:p w14:paraId="54FFE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right="0" w:firstLine="640" w:firstLineChars="200"/>
        <w:jc w:val="left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34524"/>
    <w:rsid w:val="015D4508"/>
    <w:rsid w:val="09D10852"/>
    <w:rsid w:val="1395271B"/>
    <w:rsid w:val="212826F4"/>
    <w:rsid w:val="278E7950"/>
    <w:rsid w:val="387C2F5A"/>
    <w:rsid w:val="3B7D5DAE"/>
    <w:rsid w:val="3C0635D6"/>
    <w:rsid w:val="3D8548CE"/>
    <w:rsid w:val="41F34785"/>
    <w:rsid w:val="47CD6D2B"/>
    <w:rsid w:val="49B54DF0"/>
    <w:rsid w:val="4B3C0882"/>
    <w:rsid w:val="621619FB"/>
    <w:rsid w:val="7B4F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496</Words>
  <Characters>643</Characters>
  <Lines>0</Lines>
  <Paragraphs>0</Paragraphs>
  <TotalTime>35</TotalTime>
  <ScaleCrop>false</ScaleCrop>
  <LinksUpToDate>false</LinksUpToDate>
  <CharactersWithSpaces>668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2026-09-01T02:52:00Z</dcterms:created>
  <dc:creator>Administrator</dc:creator>
  <cp:lastModifiedBy>Administrator</cp:lastModifiedBy>
  <dcterms:modified xsi:type="dcterms:W3CDTF">2026-09-01T09:35:10Z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KSOTemplateDocerSaveRecord">
    <vt:lpwstr>eyJoZGlkIjoiMzdiM2JjM2Y3YmZlMzI1YTA0ZWQ4OWNiYmY3ZTJjMTMiLCJ1c2VySWQiOiI0MjQ4ODE3OTgifQ==</vt:lpwstr>
  </property>
  <property fmtid="{D5CDD505-2E9C-101B-9397-08002B2CF9AE}" pid="4" name="ICV">
    <vt:lpwstr>2E929AEAC88B490C85153990B16333A2_13</vt:lpwstr>
  </property>
</Properties>
</file>