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93"/>
        <w:jc w:val="center"/>
        <w:rPr>
          <w:rFonts w:ascii="方正小标宋简体" w:hAnsi="宋体" w:eastAsia="方正小标宋简体"/>
          <w:sz w:val="36"/>
          <w:szCs w:val="36"/>
        </w:rPr>
      </w:pPr>
    </w:p>
    <w:p>
      <w:pPr>
        <w:pStyle w:val="12"/>
        <w:spacing w:before="93"/>
        <w:jc w:val="center"/>
        <w:rPr>
          <w:rFonts w:ascii="方正小标宋简体" w:hAnsi="宋体" w:eastAsia="方正小标宋简体"/>
          <w:sz w:val="36"/>
          <w:szCs w:val="36"/>
        </w:rPr>
      </w:pPr>
    </w:p>
    <w:p>
      <w:pPr>
        <w:pStyle w:val="12"/>
        <w:spacing w:before="93"/>
        <w:jc w:val="center"/>
        <w:rPr>
          <w:rFonts w:ascii="方正小标宋简体" w:hAnsi="宋体" w:eastAsia="方正小标宋简体"/>
          <w:sz w:val="36"/>
          <w:szCs w:val="36"/>
        </w:rPr>
      </w:pPr>
    </w:p>
    <w:p>
      <w:pPr>
        <w:pStyle w:val="12"/>
        <w:spacing w:before="93"/>
        <w:jc w:val="center"/>
        <w:rPr>
          <w:rFonts w:ascii="方正小标宋简体" w:hAnsi="宋体" w:eastAsia="方正小标宋简体"/>
          <w:sz w:val="36"/>
          <w:szCs w:val="36"/>
        </w:rPr>
      </w:pPr>
    </w:p>
    <w:p>
      <w:pPr>
        <w:pStyle w:val="12"/>
        <w:spacing w:before="93"/>
        <w:jc w:val="center"/>
        <w:rPr>
          <w:rFonts w:ascii="方正小标宋简体" w:hAnsi="宋体" w:eastAsia="方正小标宋简体"/>
          <w:sz w:val="36"/>
          <w:szCs w:val="36"/>
        </w:rPr>
      </w:pPr>
    </w:p>
    <w:p>
      <w:pPr>
        <w:pStyle w:val="12"/>
        <w:spacing w:before="93"/>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2024年度</w:t>
      </w:r>
      <w:bookmarkStart w:id="0" w:name="_Toc15378442"/>
      <w:bookmarkStart w:id="1" w:name="_Toc15396476"/>
      <w:bookmarkStart w:id="2" w:name="_Toc15377426"/>
      <w:bookmarkStart w:id="3" w:name="_Toc15396598"/>
      <w:bookmarkStart w:id="4" w:name="_Toc15377194"/>
    </w:p>
    <w:p>
      <w:pPr>
        <w:pStyle w:val="12"/>
        <w:spacing w:before="93"/>
        <w:jc w:val="center"/>
        <w:rPr>
          <w:rFonts w:ascii="方正小标宋简体" w:hAnsi="宋体" w:eastAsia="方正小标宋简体"/>
          <w:sz w:val="44"/>
          <w:szCs w:val="44"/>
        </w:rPr>
      </w:pPr>
      <w:bookmarkStart w:id="5" w:name="_Toc15306268"/>
      <w:r>
        <w:rPr>
          <w:rFonts w:hint="eastAsia" w:ascii="方正小标宋简体" w:hAnsi="宋体" w:eastAsia="方正小标宋简体"/>
          <w:sz w:val="44"/>
          <w:szCs w:val="44"/>
        </w:rPr>
        <w:t>攀枝花市东区人民代表大会常务委员会</w:t>
      </w:r>
    </w:p>
    <w:p>
      <w:pPr>
        <w:pStyle w:val="12"/>
        <w:spacing w:before="93"/>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单位</w:t>
      </w:r>
      <w:r>
        <w:rPr>
          <w:rFonts w:hint="eastAsia" w:ascii="方正小标宋简体" w:hAnsi="宋体" w:eastAsia="方正小标宋简体"/>
          <w:sz w:val="44"/>
          <w:szCs w:val="44"/>
        </w:rPr>
        <w:t>决算</w:t>
      </w:r>
      <w:bookmarkEnd w:id="0"/>
      <w:bookmarkEnd w:id="1"/>
      <w:bookmarkEnd w:id="2"/>
      <w:bookmarkEnd w:id="3"/>
      <w:bookmarkEnd w:id="4"/>
      <w:bookmarkEnd w:id="5"/>
      <w:r>
        <w:rPr>
          <w:rFonts w:hint="eastAsia" w:ascii="方正小标宋简体" w:hAnsi="宋体" w:eastAsia="方正小标宋简体"/>
          <w:sz w:val="44"/>
          <w:szCs w:val="44"/>
        </w:rPr>
        <w:t>公开编制说明</w:t>
      </w:r>
    </w:p>
    <w:p>
      <w:pPr>
        <w:spacing w:line="600" w:lineRule="exact"/>
        <w:jc w:val="center"/>
        <w:outlineLvl w:val="0"/>
        <w:rPr>
          <w:rFonts w:eastAsia="方正小标宋简体"/>
          <w:sz w:val="44"/>
          <w:szCs w:val="44"/>
        </w:rPr>
      </w:pPr>
    </w:p>
    <w:p>
      <w:pPr>
        <w:pStyle w:val="48"/>
        <w:rPr>
          <w:rFonts w:ascii="Times New Roman" w:hAnsi="Times New Roman"/>
        </w:rPr>
        <w:sectPr>
          <w:footerReference r:id="rId3" w:type="default"/>
          <w:pgSz w:w="11906" w:h="16838"/>
          <w:pgMar w:top="1440" w:right="1800" w:bottom="1440" w:left="1800" w:header="851" w:footer="992" w:gutter="0"/>
          <w:pgNumType w:fmt="decimal" w:start="1"/>
          <w:cols w:space="425" w:num="1"/>
          <w:titlePg/>
          <w:docGrid w:type="lines" w:linePitch="312" w:charSpace="0"/>
        </w:sectPr>
      </w:pPr>
    </w:p>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6"/>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公开时间：2025年10月2</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日</w:t>
      </w:r>
    </w:p>
    <w:p/>
    <w:p>
      <w:pPr>
        <w:pStyle w:val="16"/>
        <w:adjustRightInd w:val="0"/>
        <w:snapToGrid w:val="0"/>
        <w:spacing w:before="0"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ascii="Times New Roman" w:hAnsi="Times New Roman" w:eastAsia="黑体" w:cs="黑体"/>
          <w:sz w:val="32"/>
          <w:szCs w:val="32"/>
        </w:rPr>
        <w:t>…………………………………………</w:t>
      </w:r>
      <w:r>
        <w:rPr>
          <w:rFonts w:hint="eastAsia" w:ascii="Times New Roman" w:hAnsi="Times New Roman" w:eastAsia="黑体" w:cs="黑体"/>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一、部门职责</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二、机构设置</w:t>
      </w:r>
      <w:r>
        <w:rPr>
          <w:rFonts w:eastAsia="仿宋_GB2312" w:cs="仿宋_GB2312"/>
          <w:sz w:val="32"/>
          <w:szCs w:val="32"/>
        </w:rPr>
        <w:t>……………………………………………</w:t>
      </w:r>
    </w:p>
    <w:p>
      <w:pPr>
        <w:pStyle w:val="16"/>
        <w:adjustRightInd w:val="0"/>
        <w:snapToGrid w:val="0"/>
        <w:spacing w:before="0"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ascii="Times New Roman" w:hAnsi="Times New Roman" w:eastAsia="黑体" w:cs="黑体"/>
          <w:sz w:val="32"/>
          <w:szCs w:val="32"/>
        </w:rPr>
        <w:t>……………………</w:t>
      </w:r>
      <w:r>
        <w:rPr>
          <w:rFonts w:hint="eastAsia" w:ascii="Times New Roman" w:hAnsi="Times New Roman" w:eastAsia="黑体" w:cs="黑体"/>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一、收入支出决算总体情况说明</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二、收入决算情况说明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三、支出决算情况说明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四、财政拨款收入支出决算总体情况说明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五、一般公共预算财政拨款支出决算情况说明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六、一般公共预算财政拨款基本支出决算情况说明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七、财政拨款“三公”经费支出决算情况说明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八、政府性基金预算支出决算情况说明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九、国有资本经营预算支出决算情况说明</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十、其他重要事项的情况说明</w:t>
      </w:r>
      <w:r>
        <w:rPr>
          <w:rFonts w:eastAsia="仿宋_GB2312" w:cs="仿宋_GB2312"/>
          <w:sz w:val="32"/>
          <w:szCs w:val="32"/>
        </w:rPr>
        <w:t>…………………………</w:t>
      </w:r>
      <w:r>
        <w:rPr>
          <w:rFonts w:hint="eastAsia" w:eastAsia="仿宋_GB2312" w:cs="仿宋_GB2312"/>
          <w:sz w:val="32"/>
          <w:szCs w:val="32"/>
        </w:rPr>
        <w:t>.</w:t>
      </w:r>
    </w:p>
    <w:p>
      <w:pPr>
        <w:pStyle w:val="16"/>
        <w:adjustRightInd w:val="0"/>
        <w:snapToGrid w:val="0"/>
        <w:spacing w:before="0"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第三部分 名词解释</w:t>
      </w:r>
      <w:r>
        <w:rPr>
          <w:rFonts w:ascii="Times New Roman" w:hAnsi="Times New Roman" w:eastAsia="黑体" w:cs="黑体"/>
          <w:sz w:val="32"/>
          <w:szCs w:val="32"/>
        </w:rPr>
        <w:t>…………………………………………</w:t>
      </w:r>
      <w:r>
        <w:rPr>
          <w:rFonts w:hint="eastAsia" w:ascii="Times New Roman" w:hAnsi="Times New Roman" w:eastAsia="黑体" w:cs="黑体"/>
          <w:sz w:val="32"/>
          <w:szCs w:val="32"/>
        </w:rPr>
        <w:t>..</w:t>
      </w:r>
    </w:p>
    <w:p>
      <w:pPr>
        <w:pStyle w:val="16"/>
        <w:adjustRightInd w:val="0"/>
        <w:snapToGrid w:val="0"/>
        <w:spacing w:before="0"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第四部分 附件</w:t>
      </w:r>
      <w:r>
        <w:rPr>
          <w:rFonts w:ascii="Times New Roman" w:hAnsi="Times New Roman" w:eastAsia="黑体" w:cs="黑体"/>
          <w:sz w:val="32"/>
          <w:szCs w:val="32"/>
        </w:rPr>
        <w:t>………………………………………………</w:t>
      </w:r>
      <w:r>
        <w:rPr>
          <w:rFonts w:hint="eastAsia" w:ascii="Times New Roman" w:hAnsi="Times New Roman" w:eastAsia="黑体" w:cs="黑体"/>
          <w:sz w:val="32"/>
          <w:szCs w:val="32"/>
        </w:rPr>
        <w:t>..</w:t>
      </w:r>
    </w:p>
    <w:p>
      <w:pPr>
        <w:pStyle w:val="16"/>
        <w:adjustRightInd w:val="0"/>
        <w:snapToGrid w:val="0"/>
        <w:spacing w:before="0"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第五部分 附表</w:t>
      </w:r>
      <w:r>
        <w:rPr>
          <w:rFonts w:ascii="Times New Roman" w:hAnsi="Times New Roman" w:eastAsia="黑体" w:cs="黑体"/>
          <w:sz w:val="32"/>
          <w:szCs w:val="32"/>
        </w:rPr>
        <w:t>………………………………………………</w:t>
      </w:r>
      <w:r>
        <w:rPr>
          <w:rFonts w:hint="eastAsia" w:ascii="Times New Roman" w:hAnsi="Times New Roman" w:eastAsia="黑体" w:cs="黑体"/>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一、收入支出决算总表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二、收入决算表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三、支出决算表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sectPr>
          <w:footerReference r:id="rId5" w:type="first"/>
          <w:footerReference r:id="rId4" w:type="default"/>
          <w:pgSz w:w="11906" w:h="16838"/>
          <w:pgMar w:top="1440" w:right="1800" w:bottom="1440" w:left="1800" w:header="851" w:footer="992" w:gutter="0"/>
          <w:pgNumType w:fmt="decimal" w:start="1"/>
          <w:cols w:space="425" w:num="1"/>
          <w:titlePg/>
          <w:docGrid w:type="lines" w:linePitch="312" w:charSpace="0"/>
        </w:sectPr>
      </w:pP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四、财政拨款收入支出决算总表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五、财政拨款支出决算明细表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六、一般公共预算财政拨款支出决算表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七、一般公共预算财政拨款支出决算明细表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八、一般公共预算财政拨款基本支出决算明细表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九、一般公共预算财政拨款项目支出决算表</w:t>
      </w:r>
      <w:r>
        <w:rPr>
          <w:rFonts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十、政府性基金预算财政拨款收入支出决算表</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十一、国有资本经营预算财政拨款收入支出决算表</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十二、国有资本经营预算财政拨款支出决算表</w:t>
      </w:r>
      <w:r>
        <w:rPr>
          <w:rFonts w:eastAsia="仿宋_GB2312" w:cs="仿宋_GB2312"/>
          <w:sz w:val="32"/>
          <w:szCs w:val="32"/>
        </w:rPr>
        <w:t>………</w:t>
      </w:r>
      <w:r>
        <w:rPr>
          <w:rFonts w:hint="eastAsia" w:eastAsia="仿宋_GB2312" w:cs="仿宋_GB2312"/>
          <w:sz w:val="32"/>
          <w:szCs w:val="32"/>
        </w:rPr>
        <w:t>..</w:t>
      </w:r>
    </w:p>
    <w:p>
      <w:pPr>
        <w:pStyle w:val="18"/>
        <w:adjustRightInd w:val="0"/>
        <w:snapToGrid w:val="0"/>
        <w:spacing w:line="560" w:lineRule="exact"/>
        <w:ind w:left="0" w:leftChars="0" w:firstLine="640" w:firstLineChars="200"/>
        <w:jc w:val="left"/>
        <w:rPr>
          <w:rFonts w:hint="eastAsia" w:eastAsia="仿宋_GB2312" w:cs="仿宋_GB2312"/>
          <w:sz w:val="32"/>
          <w:szCs w:val="32"/>
        </w:rPr>
      </w:pPr>
      <w:r>
        <w:rPr>
          <w:rFonts w:hint="eastAsia" w:eastAsia="仿宋_GB2312" w:cs="仿宋_GB2312"/>
          <w:sz w:val="32"/>
          <w:szCs w:val="32"/>
        </w:rPr>
        <w:t>十三、财政拨款“三公”经费支出决算表</w:t>
      </w:r>
      <w:r>
        <w:rPr>
          <w:rFonts w:eastAsia="仿宋_GB2312" w:cs="仿宋_GB2312"/>
          <w:sz w:val="32"/>
          <w:szCs w:val="32"/>
        </w:rPr>
        <w:t>……………</w:t>
      </w:r>
      <w:r>
        <w:rPr>
          <w:rFonts w:hint="eastAsia" w:eastAsia="仿宋_GB2312" w:cs="仿宋_GB2312"/>
          <w:sz w:val="32"/>
          <w:szCs w:val="32"/>
        </w:rPr>
        <w:t>..</w:t>
      </w:r>
    </w:p>
    <w:p>
      <w:pPr>
        <w:pStyle w:val="3"/>
        <w:jc w:val="center"/>
        <w:rPr>
          <w:rFonts w:hint="eastAsia" w:eastAsia="方正小标宋简体" w:cs="方正小标宋简体"/>
          <w:color w:val="000000" w:themeColor="text1"/>
          <w14:textFill>
            <w14:solidFill>
              <w14:schemeClr w14:val="tx1"/>
            </w14:solidFill>
          </w14:textFill>
        </w:rPr>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pPr>
      <w:bookmarkStart w:id="6" w:name="_Toc15396599"/>
      <w:bookmarkStart w:id="7" w:name="_Toc15377196"/>
    </w:p>
    <w:p>
      <w:pPr>
        <w:pStyle w:val="3"/>
        <w:jc w:val="center"/>
        <w:rPr>
          <w:rStyle w:val="25"/>
          <w:rFonts w:eastAsia="方正小标宋简体" w:cs="方正小标宋简体"/>
          <w:b/>
          <w:color w:val="000000" w:themeColor="text1"/>
          <w14:textFill>
            <w14:solidFill>
              <w14:schemeClr w14:val="tx1"/>
            </w14:solidFill>
          </w14:textFill>
        </w:rPr>
      </w:pPr>
      <w:r>
        <w:rPr>
          <w:rFonts w:hint="eastAsia" w:eastAsia="方正小标宋简体" w:cs="方正小标宋简体"/>
          <w:color w:val="000000" w:themeColor="text1"/>
          <w14:textFill>
            <w14:solidFill>
              <w14:schemeClr w14:val="tx1"/>
            </w14:solidFill>
          </w14:textFill>
        </w:rPr>
        <w:t xml:space="preserve">第一部分  </w:t>
      </w:r>
      <w:r>
        <w:rPr>
          <w:rStyle w:val="25"/>
          <w:rFonts w:hint="eastAsia" w:eastAsia="方正小标宋简体" w:cs="方正小标宋简体"/>
          <w:color w:val="000000" w:themeColor="text1"/>
          <w14:textFill>
            <w14:solidFill>
              <w14:schemeClr w14:val="tx1"/>
            </w14:solidFill>
          </w14:textFill>
        </w:rPr>
        <w:t>部门概况</w:t>
      </w:r>
      <w:bookmarkEnd w:id="6"/>
      <w:bookmarkEnd w:id="7"/>
    </w:p>
    <w:p>
      <w:pPr>
        <w:pStyle w:val="4"/>
        <w:numPr>
          <w:ilvl w:val="0"/>
          <w:numId w:val="1"/>
        </w:numPr>
        <w:tabs>
          <w:tab w:val="left" w:pos="360"/>
        </w:tabs>
        <w:ind w:left="0" w:firstLine="0"/>
        <w:rPr>
          <w:rFonts w:ascii="Times New Roman" w:hAnsi="Times New Roman" w:eastAsia="黑体"/>
          <w:b/>
          <w:color w:val="000000" w:themeColor="text1"/>
          <w14:textFill>
            <w14:solidFill>
              <w14:schemeClr w14:val="tx1"/>
            </w14:solidFill>
          </w14:textFill>
        </w:rPr>
      </w:pPr>
      <w:r>
        <w:rPr>
          <w:rFonts w:hint="eastAsia" w:ascii="Times New Roman" w:hAnsi="Times New Roman" w:eastAsia="黑体"/>
          <w:color w:val="000000" w:themeColor="text1"/>
          <w14:textFill>
            <w14:solidFill>
              <w14:schemeClr w14:val="tx1"/>
            </w14:solidFill>
          </w14:textFill>
        </w:rPr>
        <w:t>部门职责</w:t>
      </w:r>
    </w:p>
    <w:p>
      <w:pPr>
        <w:rPr>
          <w:rFonts w:hint="eastAsia" w:eastAsia="仿宋_GB2312" w:cs="仿宋_GB2312"/>
          <w:sz w:val="32"/>
          <w:szCs w:val="32"/>
        </w:rPr>
      </w:pPr>
      <w:r>
        <w:rPr>
          <w:rFonts w:hint="eastAsia" w:eastAsia="仿宋_GB2312" w:cs="仿宋_GB2312"/>
          <w:sz w:val="32"/>
          <w:szCs w:val="32"/>
        </w:rPr>
        <w:t>（一）主要职能。</w:t>
      </w:r>
    </w:p>
    <w:p>
      <w:pPr>
        <w:snapToGrid w:val="0"/>
        <w:spacing w:line="353" w:lineRule="auto"/>
        <w:contextualSpacing/>
        <w:rPr>
          <w:rFonts w:eastAsia="仿宋_GB2312" w:cs="仿宋_GB2312"/>
          <w:sz w:val="32"/>
          <w:szCs w:val="32"/>
        </w:rPr>
      </w:pPr>
      <w:r>
        <w:rPr>
          <w:rFonts w:eastAsia="仿宋_GB2312" w:cs="仿宋_GB2312"/>
          <w:sz w:val="32"/>
          <w:szCs w:val="32"/>
        </w:rPr>
        <w:t>1.负责区人代会会议、常委会会议、以常委会名义召开的其他会议的筹备和会务工作；</w:t>
      </w:r>
    </w:p>
    <w:p>
      <w:pPr>
        <w:snapToGrid w:val="0"/>
        <w:spacing w:line="353" w:lineRule="auto"/>
        <w:contextualSpacing/>
        <w:rPr>
          <w:rFonts w:eastAsia="仿宋_GB2312" w:cs="仿宋_GB2312"/>
          <w:sz w:val="32"/>
          <w:szCs w:val="32"/>
        </w:rPr>
      </w:pPr>
      <w:r>
        <w:rPr>
          <w:rFonts w:eastAsia="仿宋_GB2312" w:cs="仿宋_GB2312"/>
          <w:sz w:val="32"/>
          <w:szCs w:val="32"/>
        </w:rPr>
        <w:t>2.负责区人大选举和区人大常委会任免的具体工作；</w:t>
      </w:r>
    </w:p>
    <w:p>
      <w:pPr>
        <w:snapToGrid w:val="0"/>
        <w:spacing w:line="353" w:lineRule="auto"/>
        <w:contextualSpacing/>
        <w:rPr>
          <w:rFonts w:eastAsia="仿宋_GB2312" w:cs="仿宋_GB2312"/>
          <w:sz w:val="32"/>
          <w:szCs w:val="32"/>
        </w:rPr>
      </w:pPr>
      <w:r>
        <w:rPr>
          <w:rFonts w:eastAsia="仿宋_GB2312" w:cs="仿宋_GB2312"/>
          <w:sz w:val="32"/>
          <w:szCs w:val="32"/>
        </w:rPr>
        <w:t>3.负责人大代表提出的议案、建议、批评和意见交办、督办工作；</w:t>
      </w:r>
    </w:p>
    <w:p>
      <w:pPr>
        <w:snapToGrid w:val="0"/>
        <w:spacing w:line="353" w:lineRule="auto"/>
        <w:contextualSpacing/>
        <w:rPr>
          <w:rFonts w:eastAsia="仿宋_GB2312" w:cs="仿宋_GB2312"/>
          <w:sz w:val="32"/>
          <w:szCs w:val="32"/>
        </w:rPr>
      </w:pPr>
      <w:r>
        <w:rPr>
          <w:rFonts w:eastAsia="仿宋_GB2312" w:cs="仿宋_GB2312"/>
          <w:sz w:val="32"/>
          <w:szCs w:val="32"/>
        </w:rPr>
        <w:t>4.做好代表视察等活动的安排，受理人大代表的来信来访和申述，维护代表的权利；</w:t>
      </w:r>
    </w:p>
    <w:p>
      <w:pPr>
        <w:snapToGrid w:val="0"/>
        <w:spacing w:line="353" w:lineRule="auto"/>
        <w:contextualSpacing/>
        <w:rPr>
          <w:rFonts w:eastAsia="仿宋_GB2312" w:cs="仿宋_GB2312"/>
          <w:sz w:val="32"/>
          <w:szCs w:val="32"/>
        </w:rPr>
      </w:pPr>
      <w:r>
        <w:rPr>
          <w:rFonts w:eastAsia="仿宋_GB2312" w:cs="仿宋_GB2312"/>
          <w:sz w:val="32"/>
          <w:szCs w:val="32"/>
        </w:rPr>
        <w:t>5.组织对司法、经济、城建环保和教科文卫部门进行执法检查、视察、调查和工作评议，开展法律监督和工作监督；</w:t>
      </w:r>
    </w:p>
    <w:p>
      <w:pPr>
        <w:snapToGrid w:val="0"/>
        <w:spacing w:line="353" w:lineRule="auto"/>
        <w:contextualSpacing/>
        <w:rPr>
          <w:rFonts w:eastAsia="仿宋_GB2312" w:cs="仿宋_GB2312"/>
          <w:sz w:val="32"/>
          <w:szCs w:val="32"/>
        </w:rPr>
      </w:pPr>
      <w:r>
        <w:rPr>
          <w:rFonts w:eastAsia="仿宋_GB2312" w:cs="仿宋_GB2312"/>
          <w:sz w:val="32"/>
          <w:szCs w:val="32"/>
        </w:rPr>
        <w:t>6.负责了解国民经济和社会发展计划、财政预算的编制和执行情况及重要的经济动态，对国民经济重大问题进行调查研究。</w:t>
      </w:r>
      <w:bookmarkStart w:id="8" w:name="_Toc15396601"/>
      <w:bookmarkStart w:id="9" w:name="_Toc15377200"/>
    </w:p>
    <w:p>
      <w:pPr>
        <w:snapToGrid w:val="0"/>
        <w:spacing w:line="353" w:lineRule="auto"/>
        <w:contextualSpacing/>
        <w:rPr>
          <w:rStyle w:val="26"/>
          <w:rFonts w:ascii="仿宋" w:hAnsi="仿宋" w:eastAsia="仿宋" w:cs="Times New Roman"/>
          <w:color w:val="000000" w:themeColor="text1"/>
          <w14:textFill>
            <w14:solidFill>
              <w14:schemeClr w14:val="tx1"/>
            </w14:solidFill>
          </w14:textFill>
        </w:rPr>
      </w:pPr>
      <w:r>
        <w:rPr>
          <w:rStyle w:val="26"/>
          <w:rFonts w:hint="eastAsia" w:ascii="Times New Roman" w:hAnsi="Times New Roman" w:eastAsia="黑体"/>
          <w:color w:val="000000" w:themeColor="text1"/>
          <w14:textFill>
            <w14:solidFill>
              <w14:schemeClr w14:val="tx1"/>
            </w14:solidFill>
          </w14:textFill>
        </w:rPr>
        <w:t>二、机</w:t>
      </w:r>
      <w:r>
        <w:rPr>
          <w:rStyle w:val="26"/>
          <w:rFonts w:hint="eastAsia" w:eastAsia="黑体"/>
          <w:color w:val="000000" w:themeColor="text1"/>
          <w14:textFill>
            <w14:solidFill>
              <w14:schemeClr w14:val="tx1"/>
            </w14:solidFill>
          </w14:textFill>
        </w:rPr>
        <w:t>构设置</w:t>
      </w:r>
      <w:bookmarkEnd w:id="8"/>
      <w:bookmarkEnd w:id="9"/>
    </w:p>
    <w:p>
      <w:pPr>
        <w:snapToGrid w:val="0"/>
        <w:spacing w:line="353" w:lineRule="auto"/>
        <w:ind w:firstLine="640" w:firstLineChars="200"/>
        <w:contextualSpacing/>
        <w:rPr>
          <w:rFonts w:eastAsia="仿宋_GB2312" w:cs="仿宋_GB2312"/>
          <w:sz w:val="32"/>
          <w:szCs w:val="32"/>
        </w:rPr>
      </w:pPr>
      <w:bookmarkStart w:id="10" w:name="_Toc15377204"/>
      <w:bookmarkStart w:id="11" w:name="_Toc15396602"/>
      <w:r>
        <w:rPr>
          <w:rFonts w:eastAsia="仿宋_GB2312" w:cs="仿宋_GB2312"/>
          <w:sz w:val="32"/>
          <w:szCs w:val="32"/>
        </w:rPr>
        <w:t>攀枝花市东区人民代表大会常务委员会</w:t>
      </w:r>
      <w:r>
        <w:rPr>
          <w:rFonts w:hint="eastAsia" w:eastAsia="仿宋_GB2312" w:cs="仿宋_GB2312"/>
          <w:sz w:val="32"/>
          <w:szCs w:val="32"/>
        </w:rPr>
        <w:t>属于一级预算部门，下属二级预算单位0个，其中行政单位1个，参照公务员法管理的事业单位0个，其他事业单位0个。</w:t>
      </w:r>
    </w:p>
    <w:p>
      <w:pPr>
        <w:snapToGrid w:val="0"/>
        <w:spacing w:line="353" w:lineRule="auto"/>
        <w:ind w:firstLine="640" w:firstLineChars="200"/>
        <w:contextualSpacing/>
        <w:rPr>
          <w:rFonts w:hint="eastAsia" w:eastAsia="仿宋_GB2312" w:cs="仿宋_GB2312"/>
          <w:sz w:val="32"/>
          <w:szCs w:val="32"/>
        </w:rPr>
      </w:pPr>
      <w:r>
        <w:rPr>
          <w:rFonts w:hint="eastAsia" w:eastAsia="仿宋_GB2312" w:cs="仿宋_GB2312"/>
          <w:sz w:val="32"/>
          <w:szCs w:val="32"/>
        </w:rPr>
        <w:t>纳入东区人大2024年度部门决算编制范围的预算单位包括：1.</w:t>
      </w:r>
      <w:r>
        <w:rPr>
          <w:rFonts w:eastAsia="仿宋_GB2312" w:cs="仿宋_GB2312"/>
          <w:sz w:val="32"/>
          <w:szCs w:val="32"/>
        </w:rPr>
        <w:t xml:space="preserve"> 攀枝花市东区人民代表大会常务委员会</w:t>
      </w:r>
      <w:r>
        <w:rPr>
          <w:rFonts w:hint="eastAsia" w:eastAsia="仿宋_GB2312" w:cs="仿宋_GB2312"/>
          <w:sz w:val="32"/>
          <w:szCs w:val="32"/>
        </w:rPr>
        <w:t>（本级）</w:t>
      </w:r>
    </w:p>
    <w:p>
      <w:pPr>
        <w:pStyle w:val="3"/>
        <w:suppressAutoHyphens/>
        <w:spacing w:before="340" w:after="330" w:line="578" w:lineRule="auto"/>
        <w:ind w:right="440"/>
        <w:jc w:val="center"/>
        <w:rPr>
          <w:rFonts w:ascii="黑体" w:hAnsi="黑体" w:eastAsia="黑体" w:cs="Times New Roman"/>
          <w:bCs/>
          <w:color w:val="auto"/>
          <w:kern w:val="44"/>
          <w:sz w:val="44"/>
          <w:szCs w:val="44"/>
        </w:rPr>
      </w:pPr>
      <w:r>
        <w:rPr>
          <w:rFonts w:ascii="Times New Roman" w:hAnsi="Times New Roman" w:eastAsia="仿宋_GB2312" w:cs="仿宋_GB2312"/>
          <w:color w:val="auto"/>
          <w:sz w:val="32"/>
          <w:szCs w:val="32"/>
        </w:rPr>
        <w:br w:type="page"/>
      </w:r>
      <w:r>
        <w:rPr>
          <w:rFonts w:hint="eastAsia" w:ascii="黑体" w:hAnsi="黑体" w:eastAsia="黑体" w:cs="Times New Roman"/>
          <w:bCs/>
          <w:color w:val="auto"/>
          <w:kern w:val="44"/>
          <w:sz w:val="44"/>
          <w:szCs w:val="44"/>
        </w:rPr>
        <w:t>第二部分  2024年度部门决算情况说明</w:t>
      </w:r>
      <w:bookmarkEnd w:id="10"/>
      <w:bookmarkEnd w:id="11"/>
    </w:p>
    <w:p>
      <w:pPr>
        <w:rPr>
          <w:color w:val="000000" w:themeColor="text1"/>
          <w14:textFill>
            <w14:solidFill>
              <w14:schemeClr w14:val="tx1"/>
            </w14:solidFill>
          </w14:textFill>
        </w:rPr>
      </w:pPr>
    </w:p>
    <w:p>
      <w:pPr>
        <w:spacing w:line="600" w:lineRule="exact"/>
        <w:outlineLvl w:val="1"/>
        <w:rPr>
          <w:rStyle w:val="26"/>
          <w:rFonts w:eastAsia="黑体"/>
          <w:b/>
          <w:color w:val="000000" w:themeColor="text1"/>
          <w14:textFill>
            <w14:solidFill>
              <w14:schemeClr w14:val="tx1"/>
            </w14:solidFill>
          </w14:textFill>
        </w:rPr>
      </w:pPr>
      <w:bookmarkStart w:id="12" w:name="_Toc15377205"/>
      <w:bookmarkStart w:id="13" w:name="_Toc15396603"/>
      <w:r>
        <w:rPr>
          <w:rFonts w:hint="eastAsia" w:eastAsia="黑体"/>
          <w:color w:val="000000" w:themeColor="text1"/>
          <w:sz w:val="32"/>
          <w:szCs w:val="32"/>
          <w14:textFill>
            <w14:solidFill>
              <w14:schemeClr w14:val="tx1"/>
            </w14:solidFill>
          </w14:textFill>
        </w:rPr>
        <w:t>一、收</w:t>
      </w:r>
      <w:r>
        <w:rPr>
          <w:rStyle w:val="26"/>
          <w:rFonts w:hint="eastAsia" w:eastAsia="黑体"/>
          <w:color w:val="000000" w:themeColor="text1"/>
          <w14:textFill>
            <w14:solidFill>
              <w14:schemeClr w14:val="tx1"/>
            </w14:solidFill>
          </w14:textFill>
        </w:rPr>
        <w:t>入支出决算总体情况说明</w:t>
      </w:r>
      <w:bookmarkEnd w:id="12"/>
      <w:bookmarkEnd w:id="13"/>
    </w:p>
    <w:p>
      <w:pPr>
        <w:spacing w:line="600" w:lineRule="exact"/>
        <w:ind w:firstLine="640" w:firstLineChars="200"/>
        <w:outlineLvl w:val="1"/>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708.77</w:t>
      </w:r>
      <w:r>
        <w:rPr>
          <w:rFonts w:hint="eastAsia" w:eastAsia="仿宋_GB2312" w:cs="仿宋_GB2312"/>
          <w:sz w:val="32"/>
          <w:szCs w:val="32"/>
        </w:rPr>
        <w:t>万元。与2023年度相比，收入、支出总计各减少104.56万元，下降12.86%。主要变动原因是财政拨款项目资金减少。</w:t>
      </w:r>
    </w:p>
    <w:p>
      <w:pPr>
        <w:ind w:firstLine="420" w:firstLineChars="200"/>
        <w:rPr>
          <w:rFonts w:eastAsia="仿宋_GB2312" w:cs="仿宋_GB2312"/>
          <w:sz w:val="32"/>
          <w:szCs w:val="32"/>
        </w:rPr>
      </w:pPr>
      <w:r>
        <w:rPr>
          <w14:ligatures w14:val="standardContextual"/>
        </w:rPr>
        <w:drawing>
          <wp:inline distT="0" distB="0" distL="0" distR="0">
            <wp:extent cx="4739640" cy="2819400"/>
            <wp:effectExtent l="0" t="0" r="3810" b="0"/>
            <wp:docPr id="180703498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spacing w:line="600" w:lineRule="exact"/>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pPr>
        <w:spacing w:line="600" w:lineRule="exact"/>
        <w:ind w:firstLine="640" w:firstLineChars="20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w:t>
      </w:r>
      <w:bookmarkStart w:id="16" w:name="OLE_LINK4"/>
      <w:r>
        <w:rPr>
          <w:rFonts w:hint="eastAsia" w:ascii="仿宋_GB2312" w:hAnsi="仿宋_GB2312" w:eastAsia="仿宋_GB2312" w:cs="仿宋_GB2312"/>
          <w:sz w:val="32"/>
          <w:szCs w:val="32"/>
        </w:rPr>
        <w:t>708.77</w:t>
      </w:r>
      <w:bookmarkEnd w:id="16"/>
      <w:r>
        <w:rPr>
          <w:rFonts w:hint="eastAsia" w:ascii="仿宋_GB2312" w:hAnsi="仿宋_GB2312" w:eastAsia="仿宋_GB2312" w:cs="仿宋_GB2312"/>
          <w:sz w:val="32"/>
          <w:szCs w:val="32"/>
        </w:rPr>
        <w:t>万元，其中：一般公共预算财政拨款收入708.77万元，占100%；政府性基金预算财政拨款收入0万元，占0%%；国有资本经营预算财政拨款收入0万元，占0%；上级补助收入0万元，占0%；事业收入0万元，占0%；经营收入0万元，占0%；附属单位上缴收入0万元，占0%；其他收入0万元，占0%。</w:t>
      </w:r>
    </w:p>
    <w:p>
      <w:pPr>
        <w:ind w:firstLine="525" w:firstLineChars="250"/>
        <w:rPr>
          <w:rFonts w:eastAsia="仿宋_GB2312" w:cs="仿宋_GB2312"/>
          <w:sz w:val="32"/>
          <w:szCs w:val="32"/>
        </w:rPr>
      </w:pPr>
      <w:r>
        <w:rPr>
          <w14:ligatures w14:val="standardContextual"/>
        </w:rPr>
        <w:drawing>
          <wp:inline distT="0" distB="0" distL="0" distR="0">
            <wp:extent cx="4572000" cy="2628900"/>
            <wp:effectExtent l="0" t="0" r="0" b="0"/>
            <wp:docPr id="6162327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outlineLvl w:val="1"/>
        <w:rPr>
          <w:rStyle w:val="26"/>
          <w:rFonts w:eastAsia="黑体"/>
          <w:b/>
          <w:color w:val="000000" w:themeColor="text1"/>
          <w14:textFill>
            <w14:solidFill>
              <w14:schemeClr w14:val="tx1"/>
            </w14:solidFill>
          </w14:textFill>
        </w:rPr>
      </w:pPr>
      <w:bookmarkStart w:id="17" w:name="_Toc15396605"/>
      <w:bookmarkStart w:id="18" w:name="_Toc15377207"/>
      <w:r>
        <w:rPr>
          <w:rFonts w:hint="eastAsia" w:eastAsia="黑体"/>
          <w:color w:val="000000" w:themeColor="text1"/>
          <w:sz w:val="32"/>
          <w:szCs w:val="32"/>
          <w14:textFill>
            <w14:solidFill>
              <w14:schemeClr w14:val="tx1"/>
            </w14:solidFill>
          </w14:textFill>
        </w:rPr>
        <w:t>三、支</w:t>
      </w:r>
      <w:r>
        <w:rPr>
          <w:rStyle w:val="26"/>
          <w:rFonts w:hint="eastAsia" w:eastAsia="黑体"/>
          <w:color w:val="000000" w:themeColor="text1"/>
          <w14:textFill>
            <w14:solidFill>
              <w14:schemeClr w14:val="tx1"/>
            </w14:solidFill>
          </w14:textFill>
        </w:rPr>
        <w:t>出决算情况说明</w:t>
      </w:r>
      <w:bookmarkEnd w:id="17"/>
      <w:bookmarkEnd w:id="18"/>
    </w:p>
    <w:p>
      <w:pPr>
        <w:spacing w:line="600" w:lineRule="exact"/>
        <w:ind w:firstLine="640" w:firstLineChars="20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2024年度本年支出合计708.77万元，其中：基本支出</w:t>
      </w:r>
      <w:bookmarkStart w:id="19" w:name="OLE_LINK5"/>
      <w:r>
        <w:rPr>
          <w:rFonts w:hint="eastAsia" w:ascii="仿宋_GB2312" w:hAnsi="仿宋_GB2312" w:eastAsia="仿宋_GB2312" w:cs="仿宋_GB2312"/>
          <w:sz w:val="32"/>
          <w:szCs w:val="32"/>
        </w:rPr>
        <w:t>593.46</w:t>
      </w:r>
      <w:bookmarkEnd w:id="19"/>
      <w:r>
        <w:rPr>
          <w:rFonts w:hint="eastAsia" w:ascii="仿宋_GB2312" w:hAnsi="仿宋_GB2312" w:eastAsia="仿宋_GB2312" w:cs="仿宋_GB2312"/>
          <w:sz w:val="32"/>
          <w:szCs w:val="32"/>
        </w:rPr>
        <w:t>万元，占83.73%；项目支出</w:t>
      </w:r>
      <w:bookmarkStart w:id="20" w:name="OLE_LINK6"/>
      <w:r>
        <w:rPr>
          <w:rFonts w:hint="eastAsia" w:ascii="仿宋_GB2312" w:hAnsi="仿宋_GB2312" w:eastAsia="仿宋_GB2312" w:cs="仿宋_GB2312"/>
          <w:sz w:val="32"/>
          <w:szCs w:val="32"/>
        </w:rPr>
        <w:t>115.31</w:t>
      </w:r>
      <w:bookmarkEnd w:id="20"/>
      <w:r>
        <w:rPr>
          <w:rFonts w:hint="eastAsia" w:ascii="仿宋_GB2312" w:hAnsi="仿宋_GB2312" w:eastAsia="仿宋_GB2312" w:cs="仿宋_GB2312"/>
          <w:sz w:val="32"/>
          <w:szCs w:val="32"/>
        </w:rPr>
        <w:t>万元，占16.26%；上缴上级支出0万元，占0%；经营支出0万元，占0%；对附属单位补助支出0万元，占0%%</w:t>
      </w:r>
    </w:p>
    <w:p>
      <w:pPr>
        <w:pStyle w:val="2"/>
      </w:pPr>
    </w:p>
    <w:p>
      <w:pPr>
        <w:pStyle w:val="2"/>
        <w:rPr>
          <w14:ligatures w14:val="standardContextual"/>
        </w:rPr>
      </w:pPr>
    </w:p>
    <w:p>
      <w:pPr>
        <w:pStyle w:val="2"/>
        <w:rPr>
          <w14:ligatures w14:val="standardContextual"/>
        </w:rPr>
      </w:pPr>
    </w:p>
    <w:p>
      <w:pPr>
        <w:pStyle w:val="2"/>
        <w:rPr>
          <w14:ligatures w14:val="standardContextual"/>
        </w:rPr>
      </w:pPr>
      <w:r>
        <w:rPr>
          <w14:ligatures w14:val="standardContextual"/>
        </w:rPr>
        <w:drawing>
          <wp:inline distT="0" distB="0" distL="0" distR="0">
            <wp:extent cx="4892040" cy="2461260"/>
            <wp:effectExtent l="0" t="0" r="3810" b="15240"/>
            <wp:docPr id="13181045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rFonts w:hint="eastAsia"/>
        </w:rPr>
      </w:pP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pStyle w:val="2"/>
        <w:rPr>
          <w:rFonts w:hint="eastAsia"/>
        </w:rPr>
      </w:pPr>
    </w:p>
    <w:p>
      <w:pPr>
        <w:spacing w:line="600" w:lineRule="exact"/>
        <w:ind w:firstLine="640" w:firstLineChars="200"/>
        <w:outlineLvl w:val="1"/>
        <w:rPr>
          <w:rStyle w:val="26"/>
          <w:rFonts w:eastAsia="黑体"/>
          <w:b/>
          <w:color w:val="000000" w:themeColor="text1"/>
          <w14:textFill>
            <w14:solidFill>
              <w14:schemeClr w14:val="tx1"/>
            </w14:solidFill>
          </w14:textFill>
        </w:rPr>
      </w:pPr>
      <w:bookmarkStart w:id="21" w:name="_Toc15396606"/>
      <w:bookmarkStart w:id="22" w:name="_Toc15377208"/>
      <w:r>
        <w:rPr>
          <w:rFonts w:hint="eastAsia" w:eastAsia="黑体"/>
          <w:color w:val="000000" w:themeColor="text1"/>
          <w:sz w:val="32"/>
          <w:szCs w:val="32"/>
          <w14:textFill>
            <w14:solidFill>
              <w14:schemeClr w14:val="tx1"/>
            </w14:solidFill>
          </w14:textFill>
        </w:rPr>
        <w:t>四、财</w:t>
      </w:r>
      <w:r>
        <w:rPr>
          <w:rStyle w:val="26"/>
          <w:rFonts w:hint="eastAsia" w:eastAsia="黑体"/>
          <w:color w:val="000000" w:themeColor="text1"/>
          <w14:textFill>
            <w14:solidFill>
              <w14:schemeClr w14:val="tx1"/>
            </w14:solidFill>
          </w14:textFill>
        </w:rPr>
        <w:t>政拨款收入支出决算总体情况说明</w:t>
      </w:r>
      <w:bookmarkEnd w:id="21"/>
      <w:bookmarkEnd w:id="22"/>
    </w:p>
    <w:p>
      <w:pPr>
        <w:spacing w:line="600" w:lineRule="exact"/>
        <w:ind w:firstLine="640" w:firstLineChars="200"/>
        <w:outlineLvl w:val="1"/>
        <w:rPr>
          <w:rFonts w:eastAsia="仿宋_GB2312" w:cs="仿宋_GB2312"/>
          <w:sz w:val="32"/>
          <w:szCs w:val="32"/>
        </w:rPr>
      </w:pPr>
      <w:r>
        <w:rPr>
          <w:rFonts w:hint="eastAsia" w:eastAsia="仿宋_GB2312" w:cs="仿宋_GB2312"/>
          <w:sz w:val="32"/>
          <w:szCs w:val="32"/>
        </w:rPr>
        <w:t>2024年度财政拨款收入、支出总计均为</w:t>
      </w:r>
      <w:bookmarkStart w:id="23" w:name="OLE_LINK8"/>
      <w:r>
        <w:rPr>
          <w:rFonts w:hint="eastAsia" w:ascii="仿宋_GB2312" w:hAnsi="仿宋_GB2312" w:eastAsia="仿宋_GB2312" w:cs="仿宋_GB2312"/>
          <w:sz w:val="32"/>
          <w:szCs w:val="32"/>
        </w:rPr>
        <w:t>708.77</w:t>
      </w:r>
      <w:bookmarkEnd w:id="23"/>
      <w:r>
        <w:rPr>
          <w:rFonts w:hint="eastAsia" w:eastAsia="仿宋_GB2312" w:cs="仿宋_GB2312"/>
          <w:sz w:val="32"/>
          <w:szCs w:val="32"/>
        </w:rPr>
        <w:t>万元。与2023年度相比，财政拨款收入总计、支出总计各减少104.56万元，下降12.86%。</w:t>
      </w:r>
      <w:bookmarkStart w:id="24" w:name="OLE_LINK9"/>
      <w:r>
        <w:rPr>
          <w:rFonts w:hint="eastAsia" w:eastAsia="仿宋_GB2312" w:cs="仿宋_GB2312"/>
          <w:sz w:val="32"/>
          <w:szCs w:val="32"/>
        </w:rPr>
        <w:t>主要变动原因是财政拨款项目资金减少。</w:t>
      </w:r>
    </w:p>
    <w:bookmarkEnd w:id="24"/>
    <w:p>
      <w:pPr>
        <w:spacing w:line="600" w:lineRule="exact"/>
        <w:ind w:firstLine="640"/>
        <w:rPr>
          <w:rFonts w:eastAsia="仿宋_GB2312" w:cs="仿宋_GB2312"/>
          <w:sz w:val="32"/>
          <w:szCs w:val="32"/>
        </w:rPr>
      </w:pPr>
    </w:p>
    <w:p>
      <w:pPr>
        <w:pStyle w:val="2"/>
      </w:pPr>
      <w:r>
        <w:rPr>
          <w14:ligatures w14:val="standardContextual"/>
        </w:rPr>
        <w:drawing>
          <wp:inline distT="0" distB="0" distL="0" distR="0">
            <wp:extent cx="5074920" cy="3078480"/>
            <wp:effectExtent l="0" t="0" r="11430" b="7620"/>
            <wp:docPr id="15566526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pPr>
    </w:p>
    <w:p>
      <w:pPr>
        <w:spacing w:line="600" w:lineRule="exact"/>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rPr>
          <w:rFonts w:eastAsia="仿宋_GB2312" w:cs="仿宋_GB2312"/>
          <w:sz w:val="32"/>
          <w:szCs w:val="32"/>
        </w:rPr>
      </w:pPr>
    </w:p>
    <w:p>
      <w:pPr>
        <w:spacing w:line="600" w:lineRule="exact"/>
        <w:ind w:firstLine="640" w:firstLineChars="200"/>
        <w:outlineLvl w:val="1"/>
        <w:rPr>
          <w:rStyle w:val="26"/>
          <w:rFonts w:eastAsia="黑体"/>
          <w:b/>
          <w:color w:val="000000" w:themeColor="text1"/>
          <w14:textFill>
            <w14:solidFill>
              <w14:schemeClr w14:val="tx1"/>
            </w14:solidFill>
          </w14:textFill>
        </w:rPr>
      </w:pPr>
      <w:bookmarkStart w:id="25" w:name="_Toc15377209"/>
      <w:bookmarkStart w:id="26" w:name="_Toc15396607"/>
      <w:r>
        <w:rPr>
          <w:rFonts w:hint="eastAsia" w:eastAsia="黑体"/>
          <w:color w:val="000000" w:themeColor="text1"/>
          <w:sz w:val="32"/>
          <w:szCs w:val="32"/>
          <w14:textFill>
            <w14:solidFill>
              <w14:schemeClr w14:val="tx1"/>
            </w14:solidFill>
          </w14:textFill>
        </w:rPr>
        <w:t>五、</w:t>
      </w:r>
      <w:r>
        <w:rPr>
          <w:rFonts w:hint="eastAsia" w:eastAsia="黑体"/>
          <w:b/>
          <w:color w:val="000000" w:themeColor="text1"/>
          <w:sz w:val="32"/>
          <w:szCs w:val="32"/>
          <w14:textFill>
            <w14:solidFill>
              <w14:schemeClr w14:val="tx1"/>
            </w14:solidFill>
          </w14:textFill>
        </w:rPr>
        <w:t>一</w:t>
      </w:r>
      <w:r>
        <w:rPr>
          <w:rStyle w:val="26"/>
          <w:rFonts w:hint="eastAsia" w:eastAsia="黑体"/>
          <w:color w:val="000000" w:themeColor="text1"/>
          <w14:textFill>
            <w14:solidFill>
              <w14:schemeClr w14:val="tx1"/>
            </w14:solidFill>
          </w14:textFill>
        </w:rPr>
        <w:t>般公共预算财政拨款支出决算情况说明</w:t>
      </w:r>
      <w:bookmarkEnd w:id="25"/>
      <w:bookmarkEnd w:id="26"/>
    </w:p>
    <w:p>
      <w:pPr>
        <w:spacing w:line="600" w:lineRule="exact"/>
        <w:ind w:firstLine="643" w:firstLineChars="200"/>
        <w:outlineLvl w:val="2"/>
        <w:rPr>
          <w:rFonts w:eastAsia="楷体_GB2312" w:cs="楷体_GB2312"/>
          <w:b/>
          <w:sz w:val="32"/>
          <w:szCs w:val="32"/>
        </w:rPr>
      </w:pPr>
      <w:bookmarkStart w:id="27" w:name="_Toc15377210"/>
      <w:r>
        <w:rPr>
          <w:rFonts w:hint="eastAsia" w:eastAsia="楷体_GB2312" w:cs="楷体_GB2312"/>
          <w:b/>
          <w:sz w:val="32"/>
          <w:szCs w:val="32"/>
        </w:rPr>
        <w:t>（一）一般公共预算财政拨款支出决算总体情况</w:t>
      </w:r>
      <w:bookmarkEnd w:id="27"/>
    </w:p>
    <w:p>
      <w:pPr>
        <w:spacing w:line="600" w:lineRule="exact"/>
        <w:ind w:firstLine="640" w:firstLineChars="200"/>
        <w:outlineLvl w:val="1"/>
        <w:rPr>
          <w:rFonts w:eastAsia="仿宋_GB2312" w:cs="仿宋_GB2312"/>
          <w:sz w:val="32"/>
          <w:szCs w:val="32"/>
        </w:rPr>
      </w:pPr>
      <w:r>
        <w:rPr>
          <w:rFonts w:hint="eastAsia" w:ascii="仿宋_GB2312" w:hAnsi="仿宋_GB2312" w:eastAsia="仿宋_GB2312" w:cs="仿宋_GB2312"/>
          <w:sz w:val="32"/>
          <w:szCs w:val="32"/>
        </w:rPr>
        <w:t>2024年度一般公共预算财政拨款支出708.77万元，占本年支出合计的100%。与2023年度相比，一般公共预算财政拨款支出减少104.56万元，下降12.86%。</w:t>
      </w:r>
      <w:r>
        <w:rPr>
          <w:rFonts w:hint="eastAsia" w:eastAsia="仿宋_GB2312" w:cs="仿宋_GB2312"/>
          <w:sz w:val="32"/>
          <w:szCs w:val="32"/>
        </w:rPr>
        <w:t>主要变动原因是财政拨款项目资金减少</w:t>
      </w:r>
      <w:bookmarkStart w:id="28" w:name="OLE_LINK10"/>
      <w:r>
        <w:rPr>
          <w:rFonts w:hint="eastAsia" w:eastAsia="仿宋_GB2312" w:cs="仿宋_GB2312"/>
          <w:sz w:val="32"/>
          <w:szCs w:val="32"/>
        </w:rPr>
        <w:t>。</w:t>
      </w:r>
      <w:bookmarkEnd w:id="28"/>
    </w:p>
    <w:p>
      <w:pPr>
        <w:pStyle w:val="2"/>
      </w:pPr>
    </w:p>
    <w:p>
      <w:pPr>
        <w:pStyle w:val="2"/>
      </w:pPr>
    </w:p>
    <w:p>
      <w:pPr>
        <w:pStyle w:val="2"/>
      </w:pPr>
    </w:p>
    <w:p>
      <w:pPr>
        <w:pStyle w:val="2"/>
      </w:pPr>
      <w:r>
        <w:rPr>
          <w14:ligatures w14:val="standardContextual"/>
        </w:rPr>
        <w:drawing>
          <wp:inline distT="0" distB="0" distL="0" distR="0">
            <wp:extent cx="5684520" cy="2583180"/>
            <wp:effectExtent l="0" t="0" r="11430" b="7620"/>
            <wp:docPr id="164788323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bookmarkStart w:id="29" w:name="_Toc15377211"/>
      <w:r>
        <w:rPr>
          <w:rFonts w:hint="eastAsia" w:eastAsia="楷体_GB2312" w:cs="楷体_GB2312"/>
          <w:b/>
          <w:sz w:val="32"/>
          <w:szCs w:val="32"/>
        </w:rPr>
        <w:t>（二）一般公共预算财政拨款支出决算结构情况</w:t>
      </w:r>
      <w:bookmarkEnd w:id="29"/>
    </w:p>
    <w:p>
      <w:pPr>
        <w:spacing w:line="600" w:lineRule="exact"/>
        <w:ind w:firstLine="640"/>
        <w:rPr>
          <w:rFonts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708.77万元</w:t>
      </w:r>
      <w:r>
        <w:rPr>
          <w:rFonts w:hint="eastAsia" w:eastAsia="仿宋_GB2312" w:cs="仿宋_GB2312"/>
          <w:sz w:val="32"/>
          <w:szCs w:val="32"/>
        </w:rPr>
        <w:t>，主要用于以下方面：一般公共服务支出</w:t>
      </w:r>
      <w:r>
        <w:rPr>
          <w:rFonts w:eastAsia="仿宋_GB2312" w:cs="仿宋_GB2312"/>
          <w:sz w:val="32"/>
          <w:szCs w:val="32"/>
        </w:rPr>
        <w:t>467.87</w:t>
      </w:r>
      <w:r>
        <w:rPr>
          <w:rFonts w:hint="eastAsia" w:eastAsia="仿宋_GB2312" w:cs="仿宋_GB2312"/>
          <w:sz w:val="32"/>
          <w:szCs w:val="32"/>
        </w:rPr>
        <w:t>万元，占66.01%；社会保障和就业支出</w:t>
      </w:r>
      <w:r>
        <w:rPr>
          <w:rFonts w:eastAsia="仿宋_GB2312" w:cs="仿宋_GB2312"/>
          <w:sz w:val="32"/>
          <w:szCs w:val="32"/>
        </w:rPr>
        <w:t>176.67</w:t>
      </w:r>
      <w:r>
        <w:rPr>
          <w:rFonts w:hint="eastAsia" w:eastAsia="仿宋_GB2312" w:cs="仿宋_GB2312"/>
          <w:sz w:val="32"/>
          <w:szCs w:val="32"/>
        </w:rPr>
        <w:t>万元，占24.93%；卫生健康支出</w:t>
      </w:r>
      <w:r>
        <w:rPr>
          <w:rFonts w:eastAsia="仿宋_GB2312" w:cs="仿宋_GB2312"/>
          <w:sz w:val="32"/>
          <w:szCs w:val="32"/>
        </w:rPr>
        <w:t>33.11</w:t>
      </w:r>
      <w:r>
        <w:rPr>
          <w:rFonts w:hint="eastAsia" w:eastAsia="仿宋_GB2312" w:cs="仿宋_GB2312"/>
          <w:sz w:val="32"/>
          <w:szCs w:val="32"/>
        </w:rPr>
        <w:t>万元，占4.67%；住房保障支出</w:t>
      </w:r>
      <w:r>
        <w:rPr>
          <w:rFonts w:eastAsia="仿宋_GB2312" w:cs="仿宋_GB2312"/>
          <w:sz w:val="32"/>
          <w:szCs w:val="32"/>
        </w:rPr>
        <w:t>31.12</w:t>
      </w:r>
      <w:r>
        <w:rPr>
          <w:rFonts w:hint="eastAsia" w:eastAsia="仿宋_GB2312" w:cs="仿宋_GB2312"/>
          <w:sz w:val="32"/>
          <w:szCs w:val="32"/>
        </w:rPr>
        <w:t>万元，占4.39%。</w:t>
      </w:r>
    </w:p>
    <w:p>
      <w:pPr>
        <w:pStyle w:val="2"/>
      </w:pPr>
    </w:p>
    <w:p>
      <w:pPr>
        <w:pStyle w:val="2"/>
      </w:pPr>
      <w:r>
        <w:rPr>
          <w14:ligatures w14:val="standardContextual"/>
        </w:rPr>
        <w:drawing>
          <wp:inline distT="0" distB="0" distL="0" distR="0">
            <wp:extent cx="5274310" cy="3080385"/>
            <wp:effectExtent l="0" t="0" r="2540" b="5715"/>
            <wp:docPr id="83319019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2"/>
      </w:pPr>
    </w:p>
    <w:p>
      <w:pPr>
        <w:spacing w:line="600" w:lineRule="exact"/>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pPr>
        <w:spacing w:line="600" w:lineRule="exact"/>
        <w:ind w:firstLine="640"/>
        <w:rPr>
          <w:rFonts w:eastAsia="仿宋_GB2312" w:cs="仿宋_GB2312"/>
          <w:sz w:val="32"/>
          <w:szCs w:val="32"/>
        </w:rPr>
      </w:pPr>
      <w:bookmarkStart w:id="31" w:name="_Toc15377444"/>
      <w:bookmarkStart w:id="32" w:name="_Toc15377213"/>
      <w:bookmarkStart w:id="33"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467.87万元，</w:t>
      </w:r>
      <w:r>
        <w:rPr>
          <w:rFonts w:hint="eastAsia" w:eastAsia="仿宋_GB2312" w:cs="仿宋_GB2312"/>
          <w:sz w:val="32"/>
          <w:szCs w:val="32"/>
        </w:rPr>
        <w:t>完成预算100%。其中：</w:t>
      </w:r>
      <w:bookmarkEnd w:id="31"/>
      <w:bookmarkEnd w:id="32"/>
      <w:bookmarkEnd w:id="33"/>
    </w:p>
    <w:p>
      <w:pPr>
        <w:rPr>
          <w:rFonts w:hint="eastAsia" w:eastAsia="仿宋"/>
          <w:bCs/>
          <w:color w:val="000000"/>
          <w:kern w:val="0"/>
          <w:sz w:val="32"/>
          <w:szCs w:val="32"/>
        </w:rPr>
      </w:pPr>
      <w:r>
        <w:rPr>
          <w:rFonts w:hint="eastAsia" w:eastAsia="仿宋"/>
          <w:bCs/>
          <w:color w:val="000000"/>
          <w:kern w:val="0"/>
          <w:sz w:val="32"/>
          <w:szCs w:val="32"/>
        </w:rPr>
        <w:t>①</w:t>
      </w:r>
      <w:r>
        <w:rPr>
          <w:rFonts w:hint="eastAsia" w:ascii="宋体" w:hAnsi="宋体"/>
          <w:bCs/>
          <w:color w:val="000000"/>
          <w:sz w:val="32"/>
          <w:szCs w:val="32"/>
        </w:rPr>
        <w:t>一般公共服务支出（类）人大事务（款）行政运行（项）:</w:t>
      </w:r>
      <w:r>
        <w:rPr>
          <w:rFonts w:hint="eastAsia" w:eastAsia="仿宋"/>
          <w:bCs/>
          <w:color w:val="000000"/>
          <w:kern w:val="0"/>
          <w:sz w:val="32"/>
          <w:szCs w:val="32"/>
        </w:rPr>
        <w:t>支出决算为</w:t>
      </w:r>
      <w:r>
        <w:rPr>
          <w:rFonts w:eastAsia="仿宋"/>
          <w:bCs/>
          <w:color w:val="000000"/>
          <w:kern w:val="0"/>
          <w:sz w:val="32"/>
          <w:szCs w:val="32"/>
        </w:rPr>
        <w:t>338.08</w:t>
      </w:r>
      <w:r>
        <w:rPr>
          <w:rFonts w:hint="eastAsia" w:eastAsia="仿宋"/>
          <w:bCs/>
          <w:color w:val="000000"/>
          <w:kern w:val="0"/>
          <w:sz w:val="32"/>
          <w:szCs w:val="32"/>
        </w:rPr>
        <w:t>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②</w:t>
      </w:r>
      <w:r>
        <w:rPr>
          <w:rFonts w:hint="eastAsia" w:ascii="宋体" w:hAnsi="宋体"/>
          <w:bCs/>
          <w:color w:val="000000"/>
          <w:sz w:val="32"/>
          <w:szCs w:val="32"/>
        </w:rPr>
        <w:t>一般公共服务支出（类）人大事务（款）一般行政管理事务（项）:</w:t>
      </w:r>
      <w:r>
        <w:rPr>
          <w:rFonts w:hint="eastAsia" w:eastAsia="仿宋"/>
          <w:bCs/>
          <w:color w:val="000000"/>
          <w:kern w:val="0"/>
          <w:sz w:val="32"/>
          <w:szCs w:val="32"/>
        </w:rPr>
        <w:t>支出决算为</w:t>
      </w:r>
      <w:r>
        <w:rPr>
          <w:rFonts w:eastAsia="仿宋"/>
          <w:bCs/>
          <w:color w:val="000000"/>
          <w:kern w:val="0"/>
          <w:sz w:val="32"/>
          <w:szCs w:val="32"/>
        </w:rPr>
        <w:t>4.01</w:t>
      </w:r>
      <w:r>
        <w:rPr>
          <w:rFonts w:hint="eastAsia" w:eastAsia="仿宋"/>
          <w:bCs/>
          <w:color w:val="000000"/>
          <w:kern w:val="0"/>
          <w:sz w:val="32"/>
          <w:szCs w:val="32"/>
        </w:rPr>
        <w:t>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③</w:t>
      </w:r>
      <w:r>
        <w:rPr>
          <w:rFonts w:hint="eastAsia" w:ascii="宋体" w:hAnsi="宋体"/>
          <w:bCs/>
          <w:color w:val="000000"/>
          <w:sz w:val="32"/>
          <w:szCs w:val="32"/>
        </w:rPr>
        <w:t>一般公共服务支出（类）人大事务（款）人大会议（项）:</w:t>
      </w:r>
      <w:r>
        <w:rPr>
          <w:rFonts w:hint="eastAsia" w:eastAsia="仿宋"/>
          <w:bCs/>
          <w:color w:val="000000"/>
          <w:kern w:val="0"/>
          <w:sz w:val="32"/>
          <w:szCs w:val="32"/>
        </w:rPr>
        <w:t>支出决算为</w:t>
      </w:r>
      <w:r>
        <w:rPr>
          <w:rFonts w:eastAsia="仿宋"/>
          <w:bCs/>
          <w:color w:val="000000"/>
          <w:kern w:val="0"/>
          <w:sz w:val="32"/>
          <w:szCs w:val="32"/>
        </w:rPr>
        <w:t>26.07</w:t>
      </w:r>
      <w:r>
        <w:rPr>
          <w:rFonts w:hint="eastAsia" w:eastAsia="仿宋"/>
          <w:bCs/>
          <w:color w:val="000000"/>
          <w:kern w:val="0"/>
          <w:sz w:val="32"/>
          <w:szCs w:val="32"/>
        </w:rPr>
        <w:t>万元，完成预算100%。</w:t>
      </w:r>
    </w:p>
    <w:p>
      <w:pPr>
        <w:rPr>
          <w:rFonts w:eastAsia="仿宋"/>
          <w:bCs/>
          <w:color w:val="000000"/>
          <w:kern w:val="0"/>
          <w:sz w:val="32"/>
          <w:szCs w:val="32"/>
        </w:rPr>
      </w:pPr>
      <w:r>
        <w:rPr>
          <w:rFonts w:hint="eastAsia" w:ascii="仿宋" w:hAnsi="仿宋" w:eastAsia="仿宋"/>
          <w:bCs/>
          <w:color w:val="000000"/>
          <w:kern w:val="0"/>
          <w:sz w:val="32"/>
          <w:szCs w:val="32"/>
        </w:rPr>
        <w:t>④</w:t>
      </w:r>
      <w:r>
        <w:rPr>
          <w:rFonts w:hint="eastAsia" w:ascii="宋体" w:hAnsi="宋体"/>
          <w:bCs/>
          <w:color w:val="000000"/>
          <w:sz w:val="32"/>
          <w:szCs w:val="32"/>
        </w:rPr>
        <w:t>一般公共服务支出（类）人大事务（款）人大监督（项）:</w:t>
      </w:r>
      <w:r>
        <w:rPr>
          <w:rFonts w:hint="eastAsia" w:eastAsia="仿宋"/>
          <w:bCs/>
          <w:color w:val="000000"/>
          <w:kern w:val="0"/>
          <w:sz w:val="32"/>
          <w:szCs w:val="32"/>
        </w:rPr>
        <w:t>支出决算为</w:t>
      </w:r>
      <w:r>
        <w:rPr>
          <w:rFonts w:eastAsia="仿宋"/>
          <w:bCs/>
          <w:color w:val="000000"/>
          <w:kern w:val="0"/>
          <w:sz w:val="32"/>
          <w:szCs w:val="32"/>
        </w:rPr>
        <w:t>1.52</w:t>
      </w:r>
      <w:r>
        <w:rPr>
          <w:rFonts w:hint="eastAsia" w:eastAsia="仿宋"/>
          <w:bCs/>
          <w:color w:val="000000"/>
          <w:kern w:val="0"/>
          <w:sz w:val="32"/>
          <w:szCs w:val="32"/>
        </w:rPr>
        <w:t>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⑤</w:t>
      </w:r>
      <w:r>
        <w:rPr>
          <w:rFonts w:hint="eastAsia" w:ascii="宋体" w:hAnsi="宋体"/>
          <w:bCs/>
          <w:color w:val="000000"/>
          <w:sz w:val="32"/>
          <w:szCs w:val="32"/>
        </w:rPr>
        <w:t>一般公共服务支出（类）人大事务（款）代表工作（项）:</w:t>
      </w:r>
      <w:r>
        <w:rPr>
          <w:rFonts w:hint="eastAsia" w:eastAsia="仿宋"/>
          <w:bCs/>
          <w:color w:val="000000"/>
          <w:kern w:val="0"/>
          <w:sz w:val="32"/>
          <w:szCs w:val="32"/>
        </w:rPr>
        <w:t>支出决算为</w:t>
      </w:r>
      <w:r>
        <w:rPr>
          <w:rFonts w:eastAsia="仿宋"/>
          <w:bCs/>
          <w:color w:val="000000"/>
          <w:kern w:val="0"/>
          <w:sz w:val="32"/>
          <w:szCs w:val="32"/>
        </w:rPr>
        <w:t>50.56</w:t>
      </w:r>
      <w:r>
        <w:rPr>
          <w:rFonts w:hint="eastAsia" w:eastAsia="仿宋"/>
          <w:bCs/>
          <w:color w:val="000000"/>
          <w:kern w:val="0"/>
          <w:sz w:val="32"/>
          <w:szCs w:val="32"/>
        </w:rPr>
        <w:t>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⑥</w:t>
      </w:r>
      <w:r>
        <w:rPr>
          <w:rFonts w:hint="eastAsia" w:ascii="宋体" w:hAnsi="宋体"/>
          <w:bCs/>
          <w:color w:val="000000"/>
          <w:sz w:val="32"/>
          <w:szCs w:val="32"/>
        </w:rPr>
        <w:t>一般公共服务支出（类）人大事务（款）事业运行（项）:</w:t>
      </w:r>
      <w:r>
        <w:rPr>
          <w:rFonts w:hint="eastAsia" w:eastAsia="仿宋"/>
          <w:bCs/>
          <w:color w:val="000000"/>
          <w:kern w:val="0"/>
          <w:sz w:val="32"/>
          <w:szCs w:val="32"/>
        </w:rPr>
        <w:t>支出决算为</w:t>
      </w:r>
      <w:r>
        <w:rPr>
          <w:rFonts w:eastAsia="仿宋"/>
          <w:bCs/>
          <w:color w:val="000000"/>
          <w:kern w:val="0"/>
          <w:sz w:val="32"/>
          <w:szCs w:val="32"/>
        </w:rPr>
        <w:t>13.20</w:t>
      </w:r>
      <w:r>
        <w:rPr>
          <w:rFonts w:hint="eastAsia" w:eastAsia="仿宋"/>
          <w:bCs/>
          <w:color w:val="000000"/>
          <w:kern w:val="0"/>
          <w:sz w:val="32"/>
          <w:szCs w:val="32"/>
        </w:rPr>
        <w:t>万元，完成预算100%。</w:t>
      </w:r>
    </w:p>
    <w:p>
      <w:pPr>
        <w:rPr>
          <w:rFonts w:eastAsia="仿宋"/>
          <w:bCs/>
          <w:color w:val="000000"/>
          <w:kern w:val="0"/>
          <w:sz w:val="32"/>
          <w:szCs w:val="32"/>
        </w:rPr>
      </w:pPr>
      <w:r>
        <w:rPr>
          <w:rFonts w:hint="eastAsia" w:ascii="仿宋" w:hAnsi="仿宋" w:eastAsia="仿宋"/>
          <w:bCs/>
          <w:color w:val="000000"/>
          <w:kern w:val="0"/>
          <w:sz w:val="32"/>
          <w:szCs w:val="32"/>
        </w:rPr>
        <w:t>⑦</w:t>
      </w:r>
      <w:r>
        <w:rPr>
          <w:rFonts w:hint="eastAsia" w:ascii="宋体" w:hAnsi="宋体"/>
          <w:bCs/>
          <w:color w:val="000000"/>
          <w:sz w:val="32"/>
          <w:szCs w:val="32"/>
        </w:rPr>
        <w:t>一般公共服务支出（类）人大事务（款）其他人大事务支出（项）:</w:t>
      </w:r>
      <w:r>
        <w:rPr>
          <w:rFonts w:hint="eastAsia" w:eastAsia="仿宋"/>
          <w:bCs/>
          <w:color w:val="000000"/>
          <w:kern w:val="0"/>
          <w:sz w:val="32"/>
          <w:szCs w:val="32"/>
        </w:rPr>
        <w:t>支出决算为</w:t>
      </w:r>
      <w:r>
        <w:rPr>
          <w:rFonts w:eastAsia="仿宋"/>
          <w:bCs/>
          <w:color w:val="000000"/>
          <w:kern w:val="0"/>
          <w:sz w:val="32"/>
          <w:szCs w:val="32"/>
        </w:rPr>
        <w:t>33.15</w:t>
      </w:r>
      <w:r>
        <w:rPr>
          <w:rFonts w:hint="eastAsia" w:eastAsia="仿宋"/>
          <w:bCs/>
          <w:color w:val="000000"/>
          <w:kern w:val="0"/>
          <w:sz w:val="32"/>
          <w:szCs w:val="32"/>
        </w:rPr>
        <w:t>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⑧</w:t>
      </w:r>
      <w:r>
        <w:rPr>
          <w:rFonts w:hint="eastAsia" w:ascii="宋体" w:hAnsi="宋体"/>
          <w:bCs/>
          <w:color w:val="000000"/>
          <w:sz w:val="32"/>
          <w:szCs w:val="32"/>
        </w:rPr>
        <w:t>一般公共服务支出（类）商贸事务（款）行政运行（项）:</w:t>
      </w:r>
      <w:r>
        <w:rPr>
          <w:rFonts w:hint="eastAsia" w:eastAsia="仿宋"/>
          <w:bCs/>
          <w:color w:val="000000"/>
          <w:kern w:val="0"/>
          <w:sz w:val="32"/>
          <w:szCs w:val="32"/>
        </w:rPr>
        <w:t>支出决算为</w:t>
      </w:r>
      <w:r>
        <w:rPr>
          <w:rFonts w:eastAsia="仿宋"/>
          <w:bCs/>
          <w:color w:val="000000"/>
          <w:kern w:val="0"/>
          <w:sz w:val="32"/>
          <w:szCs w:val="32"/>
        </w:rPr>
        <w:t>1.28</w:t>
      </w:r>
      <w:r>
        <w:rPr>
          <w:rFonts w:hint="eastAsia" w:eastAsia="仿宋"/>
          <w:bCs/>
          <w:color w:val="000000"/>
          <w:kern w:val="0"/>
          <w:sz w:val="32"/>
          <w:szCs w:val="32"/>
        </w:rPr>
        <w:t>万元，完成预算100%。</w:t>
      </w:r>
    </w:p>
    <w:p>
      <w:pPr>
        <w:pStyle w:val="2"/>
        <w:rPr>
          <w:rFonts w:hint="eastAsia"/>
        </w:rPr>
      </w:pPr>
    </w:p>
    <w:p>
      <w:pPr>
        <w:rPr>
          <w:rFonts w:ascii="宋体" w:hAnsi="宋体"/>
          <w:b/>
          <w:bCs/>
          <w:color w:val="000000"/>
          <w:sz w:val="32"/>
          <w:szCs w:val="32"/>
        </w:rPr>
      </w:pPr>
      <w:r>
        <w:rPr>
          <w:rFonts w:hint="eastAsia" w:ascii="宋体" w:hAnsi="宋体"/>
          <w:b/>
          <w:bCs/>
          <w:color w:val="000000"/>
          <w:sz w:val="32"/>
          <w:szCs w:val="32"/>
        </w:rPr>
        <w:t>2.</w:t>
      </w:r>
      <w:r>
        <w:rPr>
          <w:rFonts w:eastAsia="仿宋"/>
          <w:bCs/>
          <w:color w:val="000000"/>
          <w:kern w:val="0"/>
          <w:sz w:val="32"/>
          <w:szCs w:val="32"/>
        </w:rPr>
        <w:t xml:space="preserve"> </w:t>
      </w:r>
      <w:r>
        <w:rPr>
          <w:rFonts w:hint="eastAsia" w:ascii="宋体" w:hAnsi="宋体"/>
          <w:b/>
          <w:bCs/>
          <w:color w:val="000000"/>
          <w:sz w:val="32"/>
          <w:szCs w:val="32"/>
        </w:rPr>
        <w:t>社会保障和就业支出（类）:支出决算数为176.67万元，完成预算100%。</w:t>
      </w:r>
    </w:p>
    <w:p>
      <w:pPr>
        <w:rPr>
          <w:rFonts w:hint="eastAsia" w:eastAsia="仿宋"/>
          <w:bCs/>
          <w:color w:val="000000"/>
          <w:kern w:val="0"/>
          <w:sz w:val="32"/>
          <w:szCs w:val="32"/>
        </w:rPr>
      </w:pPr>
      <w:r>
        <w:rPr>
          <w:rFonts w:hint="eastAsia" w:ascii="仿宋" w:hAnsi="仿宋" w:eastAsia="仿宋"/>
          <w:bCs/>
          <w:color w:val="000000"/>
          <w:kern w:val="0"/>
          <w:sz w:val="32"/>
          <w:szCs w:val="32"/>
        </w:rPr>
        <w:t>①</w:t>
      </w:r>
      <w:r>
        <w:rPr>
          <w:rFonts w:hint="eastAsia" w:ascii="宋体" w:hAnsi="宋体"/>
          <w:bCs/>
          <w:color w:val="000000"/>
          <w:sz w:val="32"/>
          <w:szCs w:val="32"/>
        </w:rPr>
        <w:t>社会保障和就业支出（类）行政事业单位养老支出（款）行政单位离退休（项）:</w:t>
      </w:r>
      <w:r>
        <w:rPr>
          <w:rFonts w:hint="eastAsia" w:eastAsia="仿宋"/>
          <w:bCs/>
          <w:color w:val="000000"/>
          <w:kern w:val="0"/>
          <w:sz w:val="32"/>
          <w:szCs w:val="32"/>
        </w:rPr>
        <w:t>支出决算为</w:t>
      </w:r>
      <w:r>
        <w:rPr>
          <w:rFonts w:eastAsia="仿宋"/>
          <w:bCs/>
          <w:color w:val="000000"/>
          <w:kern w:val="0"/>
          <w:sz w:val="32"/>
          <w:szCs w:val="32"/>
        </w:rPr>
        <w:t>101.9</w:t>
      </w:r>
      <w:r>
        <w:rPr>
          <w:rFonts w:hint="eastAsia" w:eastAsia="仿宋"/>
          <w:bCs/>
          <w:color w:val="000000"/>
          <w:kern w:val="0"/>
          <w:sz w:val="32"/>
          <w:szCs w:val="32"/>
        </w:rPr>
        <w:t>9万元，完成预算100%。</w:t>
      </w:r>
    </w:p>
    <w:p>
      <w:pPr>
        <w:rPr>
          <w:rFonts w:hint="eastAsia" w:ascii="宋体" w:hAnsi="宋体"/>
          <w:bCs/>
          <w:color w:val="000000"/>
          <w:sz w:val="32"/>
          <w:szCs w:val="32"/>
        </w:rPr>
      </w:pPr>
      <w:r>
        <w:rPr>
          <w:rFonts w:hint="eastAsia" w:ascii="仿宋" w:hAnsi="仿宋" w:eastAsia="仿宋"/>
          <w:bCs/>
          <w:color w:val="000000"/>
          <w:kern w:val="0"/>
          <w:sz w:val="32"/>
          <w:szCs w:val="32"/>
        </w:rPr>
        <w:t>②</w:t>
      </w:r>
      <w:r>
        <w:rPr>
          <w:rFonts w:hint="eastAsia" w:ascii="宋体" w:hAnsi="宋体"/>
          <w:bCs/>
          <w:color w:val="000000"/>
          <w:sz w:val="32"/>
          <w:szCs w:val="32"/>
        </w:rPr>
        <w:t>社会保障和就业支出（类）行政事业单位养老支出（款）机关事业单位基本养老保险缴费支出（项）:支出决算为</w:t>
      </w:r>
      <w:r>
        <w:rPr>
          <w:rFonts w:ascii="宋体" w:hAnsi="宋体"/>
          <w:bCs/>
          <w:color w:val="000000"/>
          <w:sz w:val="32"/>
          <w:szCs w:val="32"/>
        </w:rPr>
        <w:t>38.69</w:t>
      </w:r>
      <w:r>
        <w:rPr>
          <w:rFonts w:hint="eastAsia" w:ascii="宋体" w:hAnsi="宋体"/>
          <w:bCs/>
          <w:color w:val="000000"/>
          <w:sz w:val="32"/>
          <w:szCs w:val="32"/>
        </w:rPr>
        <w:t>万元，完成预算100%。</w:t>
      </w:r>
    </w:p>
    <w:p>
      <w:pPr>
        <w:rPr>
          <w:rFonts w:hint="eastAsia" w:ascii="宋体" w:hAnsi="宋体"/>
          <w:bCs/>
          <w:color w:val="000000"/>
          <w:sz w:val="32"/>
          <w:szCs w:val="32"/>
        </w:rPr>
      </w:pPr>
      <w:r>
        <w:rPr>
          <w:rFonts w:hint="eastAsia" w:ascii="仿宋" w:hAnsi="仿宋" w:eastAsia="仿宋"/>
          <w:bCs/>
          <w:color w:val="000000"/>
          <w:kern w:val="0"/>
          <w:sz w:val="32"/>
          <w:szCs w:val="32"/>
        </w:rPr>
        <w:t>③</w:t>
      </w:r>
      <w:r>
        <w:rPr>
          <w:rFonts w:hint="eastAsia" w:ascii="宋体" w:hAnsi="宋体"/>
          <w:bCs/>
          <w:color w:val="000000"/>
          <w:sz w:val="32"/>
          <w:szCs w:val="32"/>
        </w:rPr>
        <w:t>社会保障和就业支出（类）行政事业单位养老支出（款）机关事业单位职业年金缴费支出（项）:支出决算为</w:t>
      </w:r>
      <w:r>
        <w:rPr>
          <w:rFonts w:ascii="宋体" w:hAnsi="宋体"/>
          <w:bCs/>
          <w:color w:val="000000"/>
          <w:sz w:val="32"/>
          <w:szCs w:val="32"/>
        </w:rPr>
        <w:t>35.99</w:t>
      </w:r>
      <w:r>
        <w:rPr>
          <w:rFonts w:hint="eastAsia" w:ascii="宋体" w:hAnsi="宋体"/>
          <w:bCs/>
          <w:color w:val="000000"/>
          <w:sz w:val="32"/>
          <w:szCs w:val="32"/>
        </w:rPr>
        <w:t>万元，完成预算100%。</w:t>
      </w:r>
    </w:p>
    <w:p>
      <w:pPr>
        <w:spacing w:line="600" w:lineRule="exact"/>
        <w:rPr>
          <w:rStyle w:val="24"/>
          <w:rFonts w:ascii="仿宋" w:hAnsi="仿宋" w:eastAsia="仿宋"/>
          <w:b w:val="0"/>
          <w:bCs/>
          <w:sz w:val="32"/>
          <w:szCs w:val="32"/>
        </w:rPr>
      </w:pPr>
      <w:r>
        <w:rPr>
          <w:rStyle w:val="24"/>
          <w:rFonts w:hint="eastAsia" w:ascii="仿宋" w:hAnsi="仿宋" w:eastAsia="仿宋"/>
          <w:bCs/>
          <w:sz w:val="32"/>
          <w:szCs w:val="32"/>
        </w:rPr>
        <w:t>3</w:t>
      </w:r>
      <w:r>
        <w:rPr>
          <w:rStyle w:val="24"/>
          <w:rFonts w:ascii="仿宋" w:hAnsi="仿宋" w:eastAsia="仿宋"/>
          <w:bCs/>
          <w:sz w:val="32"/>
          <w:szCs w:val="32"/>
        </w:rPr>
        <w:t>.</w:t>
      </w:r>
      <w:r>
        <w:rPr>
          <w:rFonts w:hint="eastAsia" w:ascii="仿宋" w:hAnsi="仿宋" w:eastAsia="仿宋"/>
          <w:b/>
          <w:bCs/>
          <w:sz w:val="32"/>
          <w:szCs w:val="32"/>
        </w:rPr>
        <w:t>卫生健康</w:t>
      </w:r>
      <w:r>
        <w:rPr>
          <w:rStyle w:val="24"/>
          <w:rFonts w:hint="eastAsia" w:ascii="仿宋" w:hAnsi="仿宋" w:eastAsia="仿宋"/>
          <w:b w:val="0"/>
          <w:bCs/>
          <w:sz w:val="32"/>
          <w:szCs w:val="32"/>
        </w:rPr>
        <w:t>（</w:t>
      </w:r>
      <w:r>
        <w:rPr>
          <w:rStyle w:val="24"/>
          <w:rFonts w:hint="eastAsia" w:ascii="仿宋" w:hAnsi="仿宋" w:eastAsia="仿宋"/>
          <w:bCs/>
          <w:sz w:val="32"/>
          <w:szCs w:val="32"/>
        </w:rPr>
        <w:t>类）</w:t>
      </w:r>
      <w:r>
        <w:rPr>
          <w:rFonts w:hint="eastAsia" w:ascii="仿宋" w:hAnsi="仿宋" w:eastAsia="仿宋"/>
          <w:b/>
          <w:bCs/>
          <w:sz w:val="32"/>
          <w:szCs w:val="32"/>
        </w:rPr>
        <w:t>支出决算为33.11万元</w:t>
      </w:r>
      <w:r>
        <w:rPr>
          <w:rFonts w:hint="eastAsia"/>
        </w:rPr>
        <w:t>，</w:t>
      </w:r>
      <w:r>
        <w:rPr>
          <w:rFonts w:hint="eastAsia" w:eastAsia="仿宋"/>
          <w:bCs/>
          <w:color w:val="000000"/>
          <w:kern w:val="0"/>
          <w:sz w:val="32"/>
          <w:szCs w:val="32"/>
        </w:rPr>
        <w:t>完成预算100</w:t>
      </w:r>
      <w:r>
        <w:rPr>
          <w:rFonts w:eastAsia="仿宋"/>
          <w:bCs/>
          <w:color w:val="000000"/>
          <w:kern w:val="0"/>
          <w:sz w:val="32"/>
          <w:szCs w:val="32"/>
        </w:rPr>
        <w:t>%</w:t>
      </w:r>
      <w:r>
        <w:rPr>
          <w:rFonts w:hint="eastAsia"/>
          <w:color w:val="000000"/>
          <w:kern w:val="0"/>
        </w:rPr>
        <w:t>。</w:t>
      </w:r>
    </w:p>
    <w:p>
      <w:pPr>
        <w:spacing w:line="600" w:lineRule="exact"/>
        <w:rPr>
          <w:rStyle w:val="24"/>
          <w:rFonts w:ascii="仿宋" w:hAnsi="仿宋" w:eastAsia="仿宋"/>
          <w:b w:val="0"/>
          <w:bCs/>
          <w:sz w:val="32"/>
          <w:szCs w:val="32"/>
        </w:rPr>
      </w:pPr>
      <w:r>
        <w:rPr>
          <w:rFonts w:hint="eastAsia" w:eastAsia="仿宋"/>
          <w:bCs/>
          <w:color w:val="000000"/>
          <w:kern w:val="0"/>
          <w:sz w:val="32"/>
          <w:szCs w:val="32"/>
        </w:rPr>
        <w:t>①</w:t>
      </w:r>
      <w:r>
        <w:rPr>
          <w:rFonts w:hint="eastAsia" w:ascii="仿宋" w:hAnsi="仿宋" w:eastAsia="仿宋"/>
          <w:sz w:val="32"/>
          <w:szCs w:val="32"/>
        </w:rPr>
        <w:t>卫生健康</w:t>
      </w:r>
      <w:r>
        <w:rPr>
          <w:rStyle w:val="24"/>
          <w:rFonts w:hint="eastAsia" w:ascii="仿宋" w:hAnsi="仿宋" w:eastAsia="仿宋"/>
          <w:b w:val="0"/>
          <w:bCs/>
          <w:sz w:val="32"/>
          <w:szCs w:val="32"/>
        </w:rPr>
        <w:t>（类）行政事业单位医疗（款）行政单位医疗（项）</w:t>
      </w:r>
      <w:r>
        <w:rPr>
          <w:rStyle w:val="24"/>
          <w:rFonts w:ascii="仿宋" w:hAnsi="仿宋" w:eastAsia="仿宋"/>
          <w:b w:val="0"/>
          <w:bCs/>
          <w:sz w:val="32"/>
          <w:szCs w:val="32"/>
        </w:rPr>
        <w:t>:</w:t>
      </w:r>
      <w:r>
        <w:rPr>
          <w:rStyle w:val="24"/>
          <w:rFonts w:hint="eastAsia" w:ascii="仿宋" w:hAnsi="仿宋" w:eastAsia="仿宋"/>
          <w:b w:val="0"/>
          <w:bCs/>
          <w:sz w:val="32"/>
          <w:szCs w:val="32"/>
        </w:rPr>
        <w:t>支出决算为</w:t>
      </w:r>
      <w:r>
        <w:rPr>
          <w:rStyle w:val="24"/>
          <w:rFonts w:ascii="仿宋" w:hAnsi="仿宋" w:eastAsia="仿宋"/>
          <w:b w:val="0"/>
          <w:bCs/>
          <w:sz w:val="32"/>
          <w:szCs w:val="32"/>
        </w:rPr>
        <w:t>19.11</w:t>
      </w:r>
      <w:r>
        <w:rPr>
          <w:rStyle w:val="24"/>
          <w:rFonts w:hint="eastAsia" w:ascii="仿宋" w:hAnsi="仿宋" w:eastAsia="仿宋"/>
          <w:b w:val="0"/>
          <w:bCs/>
          <w:sz w:val="32"/>
          <w:szCs w:val="32"/>
        </w:rPr>
        <w:t>万元，完成预算100</w:t>
      </w:r>
      <w:r>
        <w:rPr>
          <w:rStyle w:val="24"/>
          <w:rFonts w:ascii="仿宋" w:hAnsi="仿宋" w:eastAsia="仿宋"/>
          <w:b w:val="0"/>
          <w:bCs/>
          <w:sz w:val="32"/>
          <w:szCs w:val="32"/>
        </w:rPr>
        <w:t>%</w:t>
      </w:r>
      <w:r>
        <w:rPr>
          <w:rStyle w:val="24"/>
          <w:rFonts w:hint="eastAsia" w:ascii="仿宋" w:hAnsi="仿宋" w:eastAsia="仿宋"/>
          <w:b w:val="0"/>
          <w:bCs/>
          <w:sz w:val="32"/>
          <w:szCs w:val="32"/>
        </w:rPr>
        <w:t>。</w:t>
      </w:r>
    </w:p>
    <w:p>
      <w:pPr>
        <w:spacing w:line="600" w:lineRule="exact"/>
        <w:rPr>
          <w:rStyle w:val="24"/>
          <w:rFonts w:ascii="仿宋" w:hAnsi="仿宋" w:eastAsia="仿宋"/>
          <w:b w:val="0"/>
          <w:bCs/>
          <w:sz w:val="32"/>
          <w:szCs w:val="32"/>
        </w:rPr>
      </w:pPr>
      <w:r>
        <w:rPr>
          <w:rFonts w:hint="eastAsia" w:ascii="仿宋" w:hAnsi="仿宋" w:eastAsia="仿宋"/>
          <w:bCs/>
          <w:color w:val="000000"/>
          <w:kern w:val="0"/>
          <w:sz w:val="32"/>
          <w:szCs w:val="32"/>
        </w:rPr>
        <w:t>②</w:t>
      </w:r>
      <w:r>
        <w:rPr>
          <w:rFonts w:hint="eastAsia" w:ascii="仿宋" w:hAnsi="仿宋" w:eastAsia="仿宋"/>
          <w:sz w:val="32"/>
          <w:szCs w:val="32"/>
        </w:rPr>
        <w:t>卫生健康</w:t>
      </w:r>
      <w:r>
        <w:rPr>
          <w:rStyle w:val="24"/>
          <w:rFonts w:hint="eastAsia" w:ascii="仿宋" w:hAnsi="仿宋" w:eastAsia="仿宋"/>
          <w:b w:val="0"/>
          <w:bCs/>
          <w:sz w:val="32"/>
          <w:szCs w:val="32"/>
        </w:rPr>
        <w:t>（类）行政事业单位医疗（款）事业单位医疗（项）</w:t>
      </w:r>
      <w:r>
        <w:rPr>
          <w:rStyle w:val="24"/>
          <w:rFonts w:ascii="仿宋" w:hAnsi="仿宋" w:eastAsia="仿宋"/>
          <w:b w:val="0"/>
          <w:bCs/>
          <w:sz w:val="32"/>
          <w:szCs w:val="32"/>
        </w:rPr>
        <w:t>:</w:t>
      </w:r>
      <w:r>
        <w:rPr>
          <w:rStyle w:val="24"/>
          <w:rFonts w:hint="eastAsia" w:ascii="仿宋" w:hAnsi="仿宋" w:eastAsia="仿宋"/>
          <w:b w:val="0"/>
          <w:bCs/>
          <w:sz w:val="32"/>
          <w:szCs w:val="32"/>
        </w:rPr>
        <w:t>支出决算为</w:t>
      </w:r>
      <w:r>
        <w:rPr>
          <w:rStyle w:val="24"/>
          <w:rFonts w:ascii="仿宋" w:hAnsi="仿宋" w:eastAsia="仿宋"/>
          <w:b w:val="0"/>
          <w:bCs/>
          <w:sz w:val="32"/>
          <w:szCs w:val="32"/>
        </w:rPr>
        <w:t>0.90</w:t>
      </w:r>
      <w:r>
        <w:rPr>
          <w:rStyle w:val="24"/>
          <w:rFonts w:hint="eastAsia" w:ascii="仿宋" w:hAnsi="仿宋" w:eastAsia="仿宋"/>
          <w:b w:val="0"/>
          <w:bCs/>
          <w:sz w:val="32"/>
          <w:szCs w:val="32"/>
        </w:rPr>
        <w:t>万元，完成预算100</w:t>
      </w:r>
      <w:r>
        <w:rPr>
          <w:rStyle w:val="24"/>
          <w:rFonts w:ascii="仿宋" w:hAnsi="仿宋" w:eastAsia="仿宋"/>
          <w:b w:val="0"/>
          <w:bCs/>
          <w:sz w:val="32"/>
          <w:szCs w:val="32"/>
        </w:rPr>
        <w:t>%</w:t>
      </w:r>
      <w:r>
        <w:rPr>
          <w:rStyle w:val="24"/>
          <w:rFonts w:hint="eastAsia" w:ascii="仿宋" w:hAnsi="仿宋" w:eastAsia="仿宋"/>
          <w:b w:val="0"/>
          <w:bCs/>
          <w:sz w:val="32"/>
          <w:szCs w:val="32"/>
        </w:rPr>
        <w:t>。</w:t>
      </w:r>
    </w:p>
    <w:p>
      <w:pPr>
        <w:spacing w:line="600" w:lineRule="exact"/>
        <w:rPr>
          <w:rStyle w:val="24"/>
          <w:rFonts w:ascii="仿宋" w:hAnsi="仿宋" w:eastAsia="仿宋"/>
          <w:b w:val="0"/>
          <w:bCs/>
          <w:sz w:val="32"/>
          <w:szCs w:val="32"/>
        </w:rPr>
      </w:pPr>
      <w:r>
        <w:rPr>
          <w:rFonts w:hint="eastAsia" w:ascii="仿宋" w:hAnsi="仿宋" w:eastAsia="仿宋"/>
          <w:bCs/>
          <w:color w:val="000000"/>
          <w:kern w:val="0"/>
          <w:sz w:val="32"/>
          <w:szCs w:val="32"/>
        </w:rPr>
        <w:t>③</w:t>
      </w:r>
      <w:r>
        <w:rPr>
          <w:rFonts w:hint="eastAsia" w:ascii="仿宋" w:hAnsi="仿宋" w:eastAsia="仿宋"/>
          <w:sz w:val="32"/>
          <w:szCs w:val="32"/>
        </w:rPr>
        <w:t>卫生健康</w:t>
      </w:r>
      <w:r>
        <w:rPr>
          <w:rStyle w:val="24"/>
          <w:rFonts w:hint="eastAsia" w:ascii="仿宋" w:hAnsi="仿宋" w:eastAsia="仿宋"/>
          <w:b w:val="0"/>
          <w:bCs/>
          <w:sz w:val="32"/>
          <w:szCs w:val="32"/>
        </w:rPr>
        <w:t>（类）行政事业单位医疗（款）公务员医疗补助（项）</w:t>
      </w:r>
      <w:r>
        <w:rPr>
          <w:rStyle w:val="24"/>
          <w:rFonts w:ascii="仿宋" w:hAnsi="仿宋" w:eastAsia="仿宋"/>
          <w:b w:val="0"/>
          <w:bCs/>
          <w:sz w:val="32"/>
          <w:szCs w:val="32"/>
        </w:rPr>
        <w:t>:</w:t>
      </w:r>
      <w:r>
        <w:rPr>
          <w:rStyle w:val="24"/>
          <w:rFonts w:hint="eastAsia" w:ascii="仿宋" w:hAnsi="仿宋" w:eastAsia="仿宋"/>
          <w:b w:val="0"/>
          <w:bCs/>
          <w:sz w:val="32"/>
          <w:szCs w:val="32"/>
        </w:rPr>
        <w:t>支出决算为</w:t>
      </w:r>
      <w:r>
        <w:rPr>
          <w:rStyle w:val="24"/>
          <w:rFonts w:ascii="仿宋" w:hAnsi="仿宋" w:eastAsia="仿宋"/>
          <w:b w:val="0"/>
          <w:bCs/>
          <w:sz w:val="32"/>
          <w:szCs w:val="32"/>
        </w:rPr>
        <w:t>13.10</w:t>
      </w:r>
      <w:r>
        <w:rPr>
          <w:rStyle w:val="24"/>
          <w:rFonts w:hint="eastAsia" w:ascii="仿宋" w:hAnsi="仿宋" w:eastAsia="仿宋"/>
          <w:b w:val="0"/>
          <w:bCs/>
          <w:sz w:val="32"/>
          <w:szCs w:val="32"/>
        </w:rPr>
        <w:t>万元，完成预算100</w:t>
      </w:r>
      <w:r>
        <w:rPr>
          <w:rStyle w:val="24"/>
          <w:rFonts w:ascii="仿宋" w:hAnsi="仿宋" w:eastAsia="仿宋"/>
          <w:b w:val="0"/>
          <w:bCs/>
          <w:sz w:val="32"/>
          <w:szCs w:val="32"/>
        </w:rPr>
        <w:t>%</w:t>
      </w:r>
      <w:r>
        <w:rPr>
          <w:rStyle w:val="24"/>
          <w:rFonts w:hint="eastAsia" w:ascii="仿宋" w:hAnsi="仿宋" w:eastAsia="仿宋"/>
          <w:b w:val="0"/>
          <w:bCs/>
          <w:sz w:val="32"/>
          <w:szCs w:val="32"/>
        </w:rPr>
        <w:t>。</w:t>
      </w:r>
    </w:p>
    <w:p>
      <w:pPr>
        <w:rPr>
          <w:rFonts w:eastAsia="仿宋"/>
          <w:bCs/>
          <w:color w:val="000000"/>
          <w:kern w:val="0"/>
          <w:sz w:val="32"/>
          <w:szCs w:val="32"/>
        </w:rPr>
      </w:pPr>
      <w:r>
        <w:rPr>
          <w:rStyle w:val="24"/>
          <w:rFonts w:hint="eastAsia" w:ascii="仿宋" w:hAnsi="仿宋" w:eastAsia="仿宋"/>
          <w:bCs/>
          <w:sz w:val="32"/>
          <w:szCs w:val="32"/>
        </w:rPr>
        <w:t>4.</w:t>
      </w:r>
      <w:r>
        <w:rPr>
          <w:rFonts w:hint="eastAsia" w:ascii="宋体" w:hAnsi="宋体"/>
          <w:b/>
          <w:bCs/>
          <w:color w:val="000000"/>
          <w:sz w:val="32"/>
          <w:szCs w:val="32"/>
        </w:rPr>
        <w:t>住房保障支出（类）住房改革支出（款） 住房公积金（项）:</w:t>
      </w:r>
      <w:r>
        <w:rPr>
          <w:rFonts w:hint="eastAsia" w:eastAsia="仿宋"/>
          <w:bCs/>
          <w:color w:val="000000"/>
          <w:kern w:val="0"/>
          <w:sz w:val="32"/>
          <w:szCs w:val="32"/>
        </w:rPr>
        <w:t>支出决算为31.12万元，完成预算100%。</w:t>
      </w:r>
      <w:bookmarkStart w:id="34" w:name="_Toc15396608"/>
      <w:bookmarkStart w:id="35" w:name="_Toc15377214"/>
    </w:p>
    <w:p>
      <w:pPr>
        <w:tabs>
          <w:tab w:val="right" w:pos="8306"/>
        </w:tabs>
        <w:suppressAutoHyphens/>
        <w:spacing w:line="600" w:lineRule="exact"/>
        <w:outlineLvl w:val="1"/>
        <w:rPr>
          <w:rFonts w:ascii="黑体" w:hAnsi="Calibri" w:eastAsia="黑体"/>
          <w:b/>
          <w:bCs/>
        </w:rPr>
      </w:pPr>
      <w:r>
        <w:rPr>
          <w:rFonts w:hint="eastAsia" w:ascii="黑体" w:hAnsi="Calibri" w:eastAsia="黑体"/>
          <w:b/>
          <w:bCs/>
          <w:sz w:val="32"/>
          <w:szCs w:val="32"/>
        </w:rPr>
        <w:t>六、一</w:t>
      </w:r>
      <w:r>
        <w:rPr>
          <w:rFonts w:hint="eastAsia" w:ascii="黑体" w:hAnsi="Calibri"/>
          <w:b/>
          <w:bCs/>
          <w:sz w:val="32"/>
          <w:szCs w:val="32"/>
        </w:rPr>
        <w:t>般公共预算财政拨款基本支出决算情况说明</w:t>
      </w:r>
      <w:bookmarkEnd w:id="34"/>
      <w:bookmarkEnd w:id="35"/>
      <w:r>
        <w:rPr>
          <w:rFonts w:ascii="黑体" w:hAnsi="Calibri"/>
          <w:b/>
          <w:bCs/>
          <w:sz w:val="32"/>
          <w:szCs w:val="32"/>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593.46万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530.98万</w:t>
      </w:r>
      <w:r>
        <w:rPr>
          <w:rFonts w:hint="eastAsia" w:eastAsia="仿宋_GB2312" w:cs="仿宋_GB2312"/>
          <w:sz w:val="32"/>
          <w:szCs w:val="32"/>
        </w:rPr>
        <w:t>元，主要包括：基本工资、津贴补贴、奖金、绩效工资、机关事业单位基本养老保险缴费、职业年金缴费、职工基本医疗保险缴费、公务员医疗补助缴费、其他社会保障缴费、住房公积金、其他工资福利支出、离休费、生活补助、医疗费补助。</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62.47万</w:t>
      </w:r>
      <w:r>
        <w:rPr>
          <w:rFonts w:hint="eastAsia" w:eastAsia="仿宋_GB2312" w:cs="仿宋_GB2312"/>
          <w:sz w:val="32"/>
          <w:szCs w:val="32"/>
        </w:rPr>
        <w:t>元，主要包括：办公费、水费、电费、邮电费、差旅费、维修（护）费、培训费、公务接待费、劳务费、委托业务费、工会经费、福利费、其他交通费、其他商品和服务支出。</w:t>
      </w:r>
    </w:p>
    <w:p>
      <w:pPr>
        <w:spacing w:line="600" w:lineRule="exact"/>
        <w:outlineLvl w:val="1"/>
        <w:rPr>
          <w:rStyle w:val="26"/>
          <w:rFonts w:eastAsia="黑体"/>
          <w:b/>
          <w:color w:val="000000" w:themeColor="text1"/>
          <w14:textFill>
            <w14:solidFill>
              <w14:schemeClr w14:val="tx1"/>
            </w14:solidFill>
          </w14:textFill>
        </w:rPr>
      </w:pPr>
      <w:bookmarkStart w:id="36" w:name="_Toc15396609"/>
      <w:bookmarkStart w:id="37" w:name="_Toc15377215"/>
      <w:r>
        <w:rPr>
          <w:rFonts w:hint="eastAsia" w:eastAsia="黑体"/>
          <w:color w:val="000000" w:themeColor="text1"/>
          <w:sz w:val="32"/>
          <w:szCs w:val="32"/>
          <w14:textFill>
            <w14:solidFill>
              <w14:schemeClr w14:val="tx1"/>
            </w14:solidFill>
          </w14:textFill>
        </w:rPr>
        <w:t>七、</w:t>
      </w:r>
      <w:r>
        <w:rPr>
          <w:rStyle w:val="26"/>
          <w:rFonts w:hint="eastAsia" w:eastAsia="黑体"/>
          <w:color w:val="000000" w:themeColor="text1"/>
          <w14:textFill>
            <w14:solidFill>
              <w14:schemeClr w14:val="tx1"/>
            </w14:solidFill>
          </w14:textFill>
        </w:rPr>
        <w:t>财政拨款“三公”经费支出决算情况说明</w:t>
      </w:r>
      <w:bookmarkEnd w:id="36"/>
      <w:bookmarkEnd w:id="37"/>
    </w:p>
    <w:p>
      <w:pPr>
        <w:spacing w:line="600" w:lineRule="exact"/>
        <w:outlineLvl w:val="2"/>
        <w:rPr>
          <w:rFonts w:eastAsia="楷体_GB2312" w:cs="楷体_GB2312"/>
          <w:b/>
          <w:sz w:val="32"/>
          <w:szCs w:val="32"/>
        </w:rPr>
      </w:pPr>
      <w:bookmarkStart w:id="38" w:name="_Toc15377216"/>
      <w:r>
        <w:rPr>
          <w:rFonts w:hint="eastAsia" w:eastAsia="楷体_GB2312" w:cs="楷体_GB2312"/>
          <w:b/>
          <w:sz w:val="32"/>
          <w:szCs w:val="32"/>
        </w:rPr>
        <w:t>（一）“三公”经费财政拨款支出决算总体情况说明</w:t>
      </w:r>
      <w:bookmarkEnd w:id="38"/>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0.58万元，完成预算100%，</w:t>
      </w:r>
      <w:r>
        <w:rPr>
          <w:rFonts w:hint="eastAsia" w:eastAsia="仿宋_GB2312" w:cs="仿宋_GB2312"/>
          <w:sz w:val="32"/>
          <w:szCs w:val="32"/>
        </w:rPr>
        <w:t>较上年度减少0.49万元，下降45.79%。决算数与预算数持平。</w:t>
      </w:r>
    </w:p>
    <w:p>
      <w:pPr>
        <w:spacing w:line="600" w:lineRule="exact"/>
        <w:outlineLvl w:val="2"/>
        <w:rPr>
          <w:rFonts w:eastAsia="楷体_GB2312" w:cs="楷体_GB2312"/>
          <w:b/>
          <w:sz w:val="32"/>
          <w:szCs w:val="32"/>
        </w:rPr>
      </w:pPr>
      <w:bookmarkStart w:id="39" w:name="_Toc15377217"/>
      <w:r>
        <w:rPr>
          <w:rFonts w:hint="eastAsia" w:eastAsia="楷体_GB2312" w:cs="楷体_GB2312"/>
          <w:b/>
          <w:sz w:val="32"/>
          <w:szCs w:val="32"/>
        </w:rPr>
        <w:t>（二）“三公”经费财政拨款支出决算具体情况说明</w:t>
      </w:r>
      <w:bookmarkEnd w:id="39"/>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2024年度“三公”经费财政拨款支出决算中，因公出国（境）费支出决算0万元，占0%；公务用车购置及运行维护费支出决算0万元，占0%；公务接待费支出决算0.58万元，占100%。具体情况如下：</w:t>
      </w:r>
    </w:p>
    <w:p>
      <w:pPr>
        <w:pStyle w:val="2"/>
      </w:pPr>
    </w:p>
    <w:p>
      <w:pPr>
        <w:pStyle w:val="2"/>
      </w:pPr>
      <w:r>
        <w:rPr>
          <w14:ligatures w14:val="standardContextual"/>
        </w:rPr>
        <w:drawing>
          <wp:inline distT="0" distB="0" distL="0" distR="0">
            <wp:extent cx="5128260" cy="2103120"/>
            <wp:effectExtent l="0" t="0" r="15240" b="11430"/>
            <wp:docPr id="155124008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2"/>
      </w:pPr>
    </w:p>
    <w:p>
      <w:pPr>
        <w:spacing w:line="600" w:lineRule="exact"/>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3" w:firstLineChars="20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。因公出国（境）支出决算比2023年增加/减少0万元，增长/下降0%。我单位2024年度未发生因公出国支出。</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公务用车购置及运行维护费支出决算比2023年度增加/减少0万元，增长/下降0%。我单位未发生公车用车购置及运行维护费。</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万元。全年按规定更新购置公务用车0辆，其中：轿车0辆、金额0万元，越野车0辆、金额0万元，载客汽车0辆、金额0万元。截至2024年12月31日，单位共有公务用车0辆，其中：轿车0辆、越野车0辆、载客汽车0辆。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出0</w:t>
      </w:r>
      <w:r>
        <w:rPr>
          <w:rFonts w:hint="eastAsia" w:eastAsia="仿宋_GB2312" w:cs="仿宋_GB2312"/>
          <w:sz w:val="32"/>
          <w:szCs w:val="32"/>
        </w:rPr>
        <w:t>万元。</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0.58万</w:t>
      </w:r>
      <w:r>
        <w:rPr>
          <w:rFonts w:hint="eastAsia" w:eastAsia="仿宋_GB2312" w:cs="仿宋_GB2312"/>
          <w:b/>
          <w:bCs/>
          <w:sz w:val="32"/>
          <w:szCs w:val="32"/>
        </w:rPr>
        <w:t>元，完成预算100%。</w:t>
      </w:r>
      <w:r>
        <w:rPr>
          <w:rFonts w:hint="eastAsia" w:eastAsia="仿宋_GB2312" w:cs="仿宋_GB2312"/>
          <w:sz w:val="32"/>
          <w:szCs w:val="32"/>
        </w:rPr>
        <w:t>公务接待费支出决算比2023年度减少0.49万元，下降45.79%。主要原因是</w:t>
      </w:r>
      <w:r>
        <w:rPr>
          <w:rFonts w:hint="eastAsia" w:eastAsia="仿宋_GB2312" w:cs="仿宋_GB2312"/>
          <w:sz w:val="32"/>
          <w:szCs w:val="32"/>
          <w:lang w:val="en-US" w:eastAsia="zh-CN"/>
        </w:rPr>
        <w:t>厉行节约</w:t>
      </w:r>
      <w:r>
        <w:rPr>
          <w:rFonts w:hint="eastAsia" w:eastAsia="仿宋_GB2312" w:cs="仿宋_GB2312"/>
          <w:sz w:val="32"/>
          <w:szCs w:val="32"/>
        </w:rPr>
        <w:t>，减少不必要开支。其中：</w:t>
      </w:r>
    </w:p>
    <w:p>
      <w:pPr>
        <w:spacing w:line="600" w:lineRule="exact"/>
        <w:ind w:firstLine="640"/>
        <w:rPr>
          <w:rFonts w:hint="default" w:eastAsia="仿宋_GB2312" w:cs="仿宋_GB2312"/>
          <w:sz w:val="32"/>
          <w:szCs w:val="32"/>
          <w:highlight w:val="none"/>
          <w:lang w:val="en-US" w:eastAsia="zh-CN"/>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出0.58万</w:t>
      </w:r>
      <w:r>
        <w:rPr>
          <w:rFonts w:hint="eastAsia" w:eastAsia="仿宋_GB2312" w:cs="仿宋_GB2312"/>
          <w:sz w:val="32"/>
          <w:szCs w:val="32"/>
        </w:rPr>
        <w:t>元，主要用于执行公务、开展业务活动开支的交通费、住宿费、用餐费等)。国内公务接</w:t>
      </w:r>
      <w:r>
        <w:rPr>
          <w:rFonts w:hint="eastAsia" w:ascii="仿宋_GB2312" w:hAnsi="仿宋_GB2312" w:eastAsia="仿宋_GB2312" w:cs="仿宋_GB2312"/>
          <w:sz w:val="32"/>
          <w:szCs w:val="32"/>
          <w:highlight w:val="none"/>
        </w:rPr>
        <w:t>待4批次，39</w:t>
      </w:r>
      <w:r>
        <w:rPr>
          <w:rFonts w:hint="eastAsia" w:eastAsia="仿宋_GB2312" w:cs="仿宋_GB2312"/>
          <w:sz w:val="32"/>
          <w:szCs w:val="32"/>
          <w:highlight w:val="none"/>
        </w:rPr>
        <w:t>人次（不包括陪同人员），共计支出0.58万元，具体内容包括：</w:t>
      </w:r>
      <w:r>
        <w:rPr>
          <w:rFonts w:hint="eastAsia" w:eastAsia="仿宋_GB2312" w:cs="仿宋_GB2312"/>
          <w:sz w:val="32"/>
          <w:szCs w:val="32"/>
          <w:highlight w:val="none"/>
          <w:lang w:val="en-US" w:eastAsia="zh-CN"/>
        </w:rPr>
        <w:t>接待</w:t>
      </w:r>
      <w:r>
        <w:rPr>
          <w:rFonts w:hint="eastAsia" w:eastAsia="仿宋_GB2312" w:cs="仿宋_GB2312"/>
          <w:sz w:val="32"/>
          <w:szCs w:val="32"/>
          <w:highlight w:val="none"/>
        </w:rPr>
        <w:t>宜宾市翠屏区人大常委会考察学习教师减负、普惠托育服务体系建设</w:t>
      </w:r>
      <w:r>
        <w:rPr>
          <w:rFonts w:hint="eastAsia" w:eastAsia="仿宋_GB2312" w:cs="仿宋_GB2312"/>
          <w:sz w:val="32"/>
          <w:szCs w:val="32"/>
          <w:highlight w:val="none"/>
          <w:lang w:eastAsia="zh-CN"/>
        </w:rPr>
        <w:t>，</w:t>
      </w:r>
      <w:r>
        <w:rPr>
          <w:rFonts w:hint="eastAsia" w:eastAsia="仿宋_GB2312" w:cs="仿宋_GB2312"/>
          <w:sz w:val="32"/>
          <w:szCs w:val="32"/>
          <w:highlight w:val="none"/>
          <w:lang w:val="en-US" w:eastAsia="zh-CN"/>
        </w:rPr>
        <w:t>支出0.2万元；接待省人大常委会研究室考察调研三线建设博物馆，支出0.02万元；接待资阳市乐至县人大常委会考察学习民生实事票决制、代表家站建设、生态环境保护等工作，支出0.20元；接待华蓥市人大常委会考察东区人大新闻宣传工作，支出0.16元，合计0.58万元。</w:t>
      </w:r>
    </w:p>
    <w:p>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出0万元，外事接待0批次，0人次，共计支出0万</w:t>
      </w:r>
      <w:r>
        <w:rPr>
          <w:rFonts w:hint="eastAsia" w:eastAsia="仿宋_GB2312" w:cs="仿宋_GB2312"/>
          <w:sz w:val="32"/>
          <w:szCs w:val="32"/>
        </w:rPr>
        <w:t>元。</w:t>
      </w:r>
    </w:p>
    <w:p>
      <w:pPr>
        <w:spacing w:line="600" w:lineRule="exact"/>
        <w:outlineLvl w:val="1"/>
        <w:rPr>
          <w:rStyle w:val="26"/>
          <w:rFonts w:eastAsia="黑体"/>
          <w:color w:val="000000" w:themeColor="text1"/>
          <w14:textFill>
            <w14:solidFill>
              <w14:schemeClr w14:val="tx1"/>
            </w14:solidFill>
          </w14:textFill>
        </w:rPr>
      </w:pPr>
      <w:bookmarkStart w:id="40" w:name="_Toc15396610"/>
      <w:bookmarkStart w:id="41" w:name="_Toc15377218"/>
      <w:r>
        <w:rPr>
          <w:rFonts w:hint="eastAsia" w:eastAsia="黑体"/>
          <w:color w:val="000000" w:themeColor="text1"/>
          <w:sz w:val="32"/>
          <w:szCs w:val="32"/>
          <w14:textFill>
            <w14:solidFill>
              <w14:schemeClr w14:val="tx1"/>
            </w14:solidFill>
          </w14:textFill>
        </w:rPr>
        <w:t>八、</w:t>
      </w:r>
      <w:r>
        <w:rPr>
          <w:rStyle w:val="26"/>
          <w:rFonts w:hint="eastAsia" w:eastAsia="黑体"/>
          <w:color w:val="000000" w:themeColor="text1"/>
          <w14:textFill>
            <w14:solidFill>
              <w14:schemeClr w14:val="tx1"/>
            </w14:solidFill>
          </w14:textFill>
        </w:rPr>
        <w:t>政府性基金预算支出决算情况说明</w:t>
      </w:r>
      <w:bookmarkEnd w:id="40"/>
      <w:bookmarkEnd w:id="41"/>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。与2023年度相比，政府性基金预算财政拨款支出增加/减少0万元，增长/下降0%。</w:t>
      </w:r>
      <w:bookmarkStart w:id="42" w:name="OLE_LINK11"/>
      <w:r>
        <w:rPr>
          <w:rFonts w:hint="eastAsia" w:eastAsia="仿宋_GB2312" w:cs="仿宋_GB2312"/>
          <w:sz w:val="32"/>
          <w:szCs w:val="32"/>
        </w:rPr>
        <w:t>我单位2024年度无政府性预算财政拨款资金。</w:t>
      </w:r>
    </w:p>
    <w:bookmarkEnd w:id="42"/>
    <w:p>
      <w:pPr>
        <w:spacing w:line="600" w:lineRule="exact"/>
        <w:outlineLvl w:val="1"/>
        <w:rPr>
          <w:rStyle w:val="26"/>
          <w:rFonts w:eastAsia="黑体"/>
          <w:b/>
          <w:color w:val="000000" w:themeColor="text1"/>
          <w14:textFill>
            <w14:solidFill>
              <w14:schemeClr w14:val="tx1"/>
            </w14:solidFill>
          </w14:textFill>
        </w:rPr>
      </w:pPr>
      <w:bookmarkStart w:id="43" w:name="_Toc15377219"/>
      <w:bookmarkStart w:id="44" w:name="_Toc15396611"/>
      <w:r>
        <w:rPr>
          <w:rStyle w:val="26"/>
          <w:rFonts w:hint="eastAsia" w:eastAsia="黑体"/>
          <w:color w:val="000000" w:themeColor="text1"/>
          <w14:textFill>
            <w14:solidFill>
              <w14:schemeClr w14:val="tx1"/>
            </w14:solidFill>
          </w14:textFill>
        </w:rPr>
        <w:t>九、国有资本经营预算支出决算情况说明</w:t>
      </w:r>
      <w:bookmarkEnd w:id="43"/>
      <w:bookmarkEnd w:id="44"/>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。与2023年度相比，国有资本经营预算财政拨款支出增加/减少0万元，增长/下降0%。</w:t>
      </w:r>
      <w:bookmarkStart w:id="45" w:name="_Toc15396612"/>
      <w:bookmarkStart w:id="46" w:name="_Toc15377221"/>
      <w:r>
        <w:rPr>
          <w:rFonts w:hint="eastAsia" w:eastAsia="仿宋_GB2312" w:cs="仿宋_GB2312"/>
          <w:sz w:val="32"/>
          <w:szCs w:val="32"/>
        </w:rPr>
        <w:t>我单位2024年度无国有资本经营预算财政拨款资金。</w:t>
      </w:r>
    </w:p>
    <w:p>
      <w:pPr>
        <w:spacing w:line="600" w:lineRule="exact"/>
        <w:ind w:firstLine="640"/>
        <w:rPr>
          <w:rFonts w:eastAsia="仿宋_GB2312" w:cs="仿宋_GB2312"/>
          <w:sz w:val="32"/>
          <w:szCs w:val="32"/>
        </w:rPr>
      </w:pPr>
    </w:p>
    <w:p>
      <w:pPr>
        <w:spacing w:line="600" w:lineRule="exact"/>
        <w:ind w:firstLine="640"/>
        <w:rPr>
          <w:rStyle w:val="26"/>
          <w:rFonts w:eastAsia="黑体"/>
          <w:b/>
          <w:color w:val="000000" w:themeColor="text1"/>
          <w14:textFill>
            <w14:solidFill>
              <w14:schemeClr w14:val="tx1"/>
            </w14:solidFill>
          </w14:textFill>
        </w:rPr>
      </w:pPr>
      <w:r>
        <w:rPr>
          <w:rStyle w:val="26"/>
          <w:rFonts w:hint="eastAsia" w:eastAsia="黑体"/>
          <w:color w:val="000000" w:themeColor="text1"/>
          <w14:textFill>
            <w14:solidFill>
              <w14:schemeClr w14:val="tx1"/>
            </w14:solidFill>
          </w14:textFill>
        </w:rPr>
        <w:t>十、其他重要事项的情况说明</w:t>
      </w:r>
      <w:bookmarkEnd w:id="45"/>
      <w:bookmarkEnd w:id="46"/>
    </w:p>
    <w:p>
      <w:pPr>
        <w:spacing w:line="600" w:lineRule="exact"/>
        <w:ind w:firstLine="643" w:firstLineChars="200"/>
        <w:outlineLvl w:val="2"/>
        <w:rPr>
          <w:rFonts w:eastAsia="楷体_GB2312" w:cs="楷体_GB2312"/>
          <w:b/>
          <w:sz w:val="32"/>
          <w:szCs w:val="32"/>
        </w:rPr>
      </w:pPr>
      <w:bookmarkStart w:id="47" w:name="_Toc15377222"/>
      <w:r>
        <w:rPr>
          <w:rFonts w:hint="eastAsia" w:eastAsia="楷体_GB2312" w:cs="楷体_GB2312"/>
          <w:b/>
          <w:sz w:val="32"/>
          <w:szCs w:val="32"/>
        </w:rPr>
        <w:t>（一）机关运行经费支出情况</w:t>
      </w:r>
      <w:bookmarkEnd w:id="47"/>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，攀枝花市东区人民代表大会常务委员会机关运行经费支出62.47万</w:t>
      </w:r>
      <w:r>
        <w:rPr>
          <w:rFonts w:hint="eastAsia" w:eastAsia="仿宋_GB2312" w:cs="仿宋_GB2312"/>
          <w:sz w:val="32"/>
          <w:szCs w:val="32"/>
        </w:rPr>
        <w:t>元，比2023年度减少9.2万元，下降12.84%。主要原因是</w:t>
      </w:r>
      <w:r>
        <w:rPr>
          <w:rFonts w:hint="eastAsia" w:eastAsia="仿宋_GB2312" w:cs="仿宋_GB2312"/>
          <w:sz w:val="32"/>
          <w:szCs w:val="32"/>
          <w:lang w:val="en-US" w:eastAsia="zh-CN"/>
        </w:rPr>
        <w:t>厉行节约</w:t>
      </w:r>
      <w:r>
        <w:rPr>
          <w:rFonts w:hint="eastAsia" w:eastAsia="仿宋_GB2312" w:cs="仿宋_GB2312"/>
          <w:sz w:val="32"/>
          <w:szCs w:val="32"/>
        </w:rPr>
        <w:t>，减少了不必要的开支。</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8" w:name="_Toc15377223"/>
      <w:r>
        <w:rPr>
          <w:rFonts w:hint="eastAsia" w:eastAsia="楷体_GB2312" w:cs="楷体_GB2312"/>
          <w:b/>
          <w:sz w:val="32"/>
          <w:szCs w:val="32"/>
        </w:rPr>
        <w:t>（二）政府采购支出情况</w:t>
      </w:r>
      <w:bookmarkEnd w:id="48"/>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攀枝花市东区人民代表大会常务委员会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9" w:name="_Toc15377224"/>
      <w:r>
        <w:rPr>
          <w:rFonts w:hint="eastAsia" w:eastAsia="楷体_GB2312" w:cs="楷体_GB2312"/>
          <w:b/>
          <w:sz w:val="32"/>
          <w:szCs w:val="32"/>
        </w:rPr>
        <w:t>（三）国有资产占有使用情况</w:t>
      </w:r>
      <w:bookmarkEnd w:id="49"/>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截至2024年12月31日，攀枝花市东区人民代表大会常务委员会共有车辆0辆，其中：主要负责人用车0辆、机要通信用车0辆、应急保障用车0辆、其他用车0辆。单价100万元（含）以上设备（不含车辆）0台（套）</w:t>
      </w:r>
      <w:r>
        <w:rPr>
          <w:rFonts w:hint="eastAsia" w:eastAsia="仿宋_GB2312" w:cs="仿宋_GB2312"/>
          <w:sz w:val="32"/>
          <w:szCs w:val="32"/>
        </w:rPr>
        <w:t>。</w:t>
      </w:r>
    </w:p>
    <w:p>
      <w:pPr>
        <w:spacing w:line="600" w:lineRule="exact"/>
        <w:ind w:firstLine="640"/>
        <w:rPr>
          <w:rFonts w:eastAsia="仿宋_GB2312" w:cs="仿宋_GB2312"/>
          <w:sz w:val="32"/>
          <w:szCs w:val="32"/>
        </w:rPr>
      </w:pPr>
    </w:p>
    <w:p>
      <w:pPr>
        <w:spacing w:line="600" w:lineRule="exact"/>
        <w:outlineLvl w:val="2"/>
        <w:rPr>
          <w:rFonts w:eastAsia="楷体_GB2312" w:cs="楷体_GB2312"/>
          <w:b/>
          <w:sz w:val="32"/>
          <w:szCs w:val="32"/>
        </w:rPr>
      </w:pPr>
      <w:r>
        <w:rPr>
          <w:rFonts w:hint="eastAsia" w:eastAsia="楷体_GB2312" w:cs="楷体_GB2312"/>
          <w:b/>
          <w:sz w:val="32"/>
          <w:szCs w:val="32"/>
        </w:rPr>
        <w:t>（四）预算绩效管理情况</w:t>
      </w:r>
    </w:p>
    <w:p>
      <w:pPr>
        <w:spacing w:line="720"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2024年度预算编制阶段，组织：“对专项工作经费”、“预算联网监督经费”、“区十二届人大代表培训费”、“人大代表活动费”、“代表“家、站”建设及运行费”、“职工食堂经费补助”、“人大代表会议”等7个项目开展了预算事前绩效评估，对7个项目编制了绩效目标，预算执行过程中，选取7个项目开展绩效监控。</w:t>
      </w:r>
    </w:p>
    <w:p>
      <w:pPr>
        <w:spacing w:before="192" w:line="331" w:lineRule="auto"/>
        <w:ind w:left="28" w:firstLine="652" w:firstLineChars="20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2024年度一般公共预算等全面开展绩效自评，形成攀枝花市东区人民代表大会常务委员会部门整体（含部门预算项目）绩效自评报告、“代表”家、站“建设及运行费”、“区十二届人大代表培训费”、“人大代表活动费”、“十二届人大四次会会议费”、“食堂补助经费”、“预算联网监督经费”、“预算联网监督经费”等专项预算项目绩效自评报告，其中，攀枝花市东区人民代表大会常务委员会部门整体（含部门预算项目）绩效自评得分为100分，绩效自评综述2024 年我部门认真贯彻落实党中央、国务院、 省市政府全面实施预算绩效管理的决策部署，牢牢扛起部门主体责任，以构建“标准科学、程序规范、约束有力”的绩效管理体系为目标，统筹推进预算与绩效一体化管理。通过强化事前评估科学决策、事中监控动态纠偏、事后评价精准问效，持续深化“目标导向、结果倒逼”的管理机制，将绩效理念深度融入预算编制、执行、监督全过程，切实提升财政资源配置效率和资金使用效益。</w:t>
      </w:r>
    </w:p>
    <w:p>
      <w:pPr>
        <w:spacing w:before="53" w:line="322" w:lineRule="auto"/>
        <w:ind w:left="44" w:right="342" w:firstLine="61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2024年攀枝花市东区人大常务委员会部门整体支出绩效自查自评结果 良好，全年基本支出保证了部门的正常运转，项目支出保障了重点工作的开展。</w:t>
      </w:r>
    </w:p>
    <w:p>
      <w:pPr>
        <w:widowControl/>
        <w:spacing w:line="578"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《2024年攀枝花市东区人大常务委员会部门整体绩效自评报告》详见附件1。</w:t>
      </w:r>
    </w:p>
    <w:p>
      <w:pPr>
        <w:pStyle w:val="12"/>
        <w:jc w:val="left"/>
        <w:rPr>
          <w:rFonts w:hint="eastAsia" w:hAnsi="仿宋_GB2312" w:cs="仿宋_GB2312"/>
          <w:kern w:val="2"/>
          <w:sz w:val="32"/>
          <w:szCs w:val="32"/>
        </w:rPr>
      </w:pPr>
    </w:p>
    <w:p>
      <w:pPr>
        <w:spacing w:line="720" w:lineRule="exact"/>
        <w:ind w:firstLine="641"/>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600" w:lineRule="exact"/>
        <w:jc w:val="center"/>
        <w:outlineLvl w:val="0"/>
        <w:rPr>
          <w:rFonts w:eastAsia="黑体"/>
          <w:sz w:val="44"/>
          <w:szCs w:val="44"/>
        </w:rPr>
      </w:pPr>
      <w:bookmarkStart w:id="50" w:name="_Toc15396613"/>
      <w:bookmarkStart w:id="51" w:name="_Toc15377225"/>
      <w:r>
        <w:rPr>
          <w:rFonts w:hint="eastAsia" w:eastAsia="黑体"/>
          <w:sz w:val="44"/>
          <w:szCs w:val="44"/>
        </w:rPr>
        <w:t>第三部分  名词解释</w:t>
      </w:r>
      <w:bookmarkEnd w:id="50"/>
      <w:bookmarkEnd w:id="51"/>
    </w:p>
    <w:p>
      <w:pPr>
        <w:spacing w:line="600" w:lineRule="exact"/>
        <w:jc w:val="left"/>
        <w:rPr>
          <w:b/>
          <w:sz w:val="44"/>
          <w:szCs w:val="44"/>
        </w:rPr>
      </w:pPr>
    </w:p>
    <w:p>
      <w:pPr>
        <w:pStyle w:val="51"/>
        <w:spacing w:line="560" w:lineRule="exact"/>
        <w:ind w:firstLine="640" w:firstLineChars="200"/>
        <w:rPr>
          <w:rFonts w:ascii="仿宋_GB2312" w:eastAsia="仿宋_GB2312"/>
          <w:color w:val="auto"/>
          <w:sz w:val="32"/>
          <w:szCs w:val="32"/>
        </w:rPr>
      </w:pPr>
      <w:bookmarkStart w:id="52" w:name="_Toc15396614"/>
      <w:bookmarkStart w:id="53"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5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9.一般公共服务（类）</w:t>
      </w:r>
      <w:r>
        <w:rPr>
          <w:rFonts w:hint="eastAsia" w:ascii="仿宋_GB2312" w:eastAsia="仿宋_GB2312" w:cs="仿宋"/>
          <w:color w:val="000000"/>
          <w:kern w:val="0"/>
          <w:sz w:val="32"/>
          <w:szCs w:val="32"/>
        </w:rPr>
        <w:t>人大事务（款）行政运行（项）：指反映人大行政单位保障机构正常运行、开展日常工作的基本支出。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10.一般公共服务（类）</w:t>
      </w:r>
      <w:r>
        <w:rPr>
          <w:rFonts w:hint="eastAsia" w:ascii="仿宋_GB2312" w:eastAsia="仿宋_GB2312" w:cs="仿宋"/>
          <w:color w:val="000000"/>
          <w:kern w:val="0"/>
          <w:sz w:val="32"/>
          <w:szCs w:val="32"/>
        </w:rPr>
        <w:t>人大事务（款）一般行政管理事务（项）：指行政单位（包括实行公务员管理的事业单位）未单独设置项级科目的其他项目支出。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11.一般公共服务（类）</w:t>
      </w:r>
      <w:r>
        <w:rPr>
          <w:rFonts w:hint="eastAsia" w:ascii="仿宋_GB2312" w:eastAsia="仿宋_GB2312" w:cs="仿宋"/>
          <w:color w:val="000000"/>
          <w:kern w:val="0"/>
          <w:sz w:val="32"/>
          <w:szCs w:val="32"/>
        </w:rPr>
        <w:t>人大事务（款）人大会议（项）：指各级人大召开人民代表大会等专门会议的支出。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12.一般公共服务（类）</w:t>
      </w:r>
      <w:r>
        <w:rPr>
          <w:rFonts w:hint="eastAsia" w:ascii="仿宋_GB2312" w:eastAsia="仿宋_GB2312" w:cs="仿宋"/>
          <w:color w:val="000000"/>
          <w:kern w:val="0"/>
          <w:sz w:val="32"/>
          <w:szCs w:val="32"/>
        </w:rPr>
        <w:t>人大事务（款）人大监督（项）：指反映各级人大开展监督监督工作的支出。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13.一般公共服务（类）</w:t>
      </w:r>
      <w:r>
        <w:rPr>
          <w:rFonts w:hint="eastAsia" w:ascii="仿宋_GB2312" w:eastAsia="仿宋_GB2312" w:cs="仿宋"/>
          <w:color w:val="000000"/>
          <w:kern w:val="0"/>
          <w:sz w:val="32"/>
          <w:szCs w:val="32"/>
        </w:rPr>
        <w:t>人大事务（款）代表工作（项）：指人大代表开展各类视察等方面的支出。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14.一般公共服务（类）</w:t>
      </w:r>
      <w:r>
        <w:rPr>
          <w:rFonts w:hint="eastAsia" w:ascii="仿宋_GB2312" w:eastAsia="仿宋_GB2312" w:cs="仿宋"/>
          <w:color w:val="000000"/>
          <w:kern w:val="0"/>
          <w:sz w:val="32"/>
          <w:szCs w:val="32"/>
        </w:rPr>
        <w:t>人大事务（款）事业运行（项）：指反映人大事业单位保障机构正常运行、开展日常工作的基本支出。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15.一般公共服务（类）</w:t>
      </w:r>
      <w:r>
        <w:rPr>
          <w:rFonts w:hint="eastAsia" w:ascii="仿宋_GB2312" w:eastAsia="仿宋_GB2312" w:cs="仿宋"/>
          <w:color w:val="000000"/>
          <w:kern w:val="0"/>
          <w:sz w:val="32"/>
          <w:szCs w:val="32"/>
        </w:rPr>
        <w:t>人大事务（款）其他人大事务支出（项）：指反映除上述项目外的其他人大事务的支出。</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sz w:val="32"/>
          <w:szCs w:val="32"/>
        </w:rPr>
        <w:t>16.一般公共服务（类）</w:t>
      </w:r>
      <w:r>
        <w:rPr>
          <w:rFonts w:hint="eastAsia" w:ascii="仿宋_GB2312" w:eastAsia="仿宋_GB2312" w:cs="仿宋"/>
          <w:color w:val="000000"/>
          <w:kern w:val="0"/>
          <w:sz w:val="32"/>
          <w:szCs w:val="32"/>
        </w:rPr>
        <w:t>商贸事务（款）行政运行（项）：指反映行政单位用于保障机构正常运行、开展日常工作的基本支出。</w:t>
      </w:r>
    </w:p>
    <w:p>
      <w:pPr>
        <w:pStyle w:val="51"/>
        <w:spacing w:line="560" w:lineRule="exact"/>
        <w:ind w:firstLine="672" w:firstLineChars="210"/>
        <w:rPr>
          <w:rFonts w:ascii="仿宋_GB2312" w:eastAsia="仿宋_GB2312"/>
          <w:sz w:val="32"/>
          <w:szCs w:val="32"/>
        </w:rPr>
      </w:pPr>
      <w:r>
        <w:rPr>
          <w:rFonts w:hint="eastAsia" w:ascii="仿宋_GB2312" w:eastAsia="仿宋_GB2312"/>
          <w:sz w:val="32"/>
          <w:szCs w:val="32"/>
        </w:rPr>
        <w:t>17.社会保障和就业（类）行政事业单位养老支出（款）行政单位离退休（项）:</w:t>
      </w:r>
      <w:r>
        <w:rPr>
          <w:rFonts w:hint="eastAsia" w:ascii="微软雅黑" w:hAnsi="微软雅黑" w:eastAsia="微软雅黑" w:cs="Times New Roman"/>
          <w:kern w:val="2"/>
          <w:sz w:val="27"/>
          <w:szCs w:val="27"/>
        </w:rPr>
        <w:t xml:space="preserve"> </w:t>
      </w:r>
      <w:r>
        <w:rPr>
          <w:rFonts w:hint="eastAsia" w:ascii="仿宋_GB2312" w:eastAsia="仿宋_GB2312"/>
          <w:sz w:val="32"/>
          <w:szCs w:val="32"/>
        </w:rPr>
        <w:t>指行政单位（包括实行公务员管理的事业单位）开支的离退休经费。</w:t>
      </w:r>
    </w:p>
    <w:p>
      <w:pPr>
        <w:pStyle w:val="51"/>
        <w:spacing w:line="560" w:lineRule="exact"/>
        <w:ind w:firstLine="672" w:firstLineChars="210"/>
        <w:rPr>
          <w:rFonts w:ascii="仿宋_GB2312" w:eastAsia="仿宋_GB2312"/>
          <w:sz w:val="32"/>
          <w:szCs w:val="32"/>
        </w:rPr>
      </w:pPr>
      <w:r>
        <w:rPr>
          <w:rFonts w:hint="eastAsia" w:ascii="仿宋_GB2312" w:eastAsia="仿宋_GB2312"/>
          <w:sz w:val="32"/>
          <w:szCs w:val="32"/>
        </w:rPr>
        <w:t>18.社会保障和就业（类）行政事业单位养老支出（款）机关事业单位基本养老保险缴费支出（项）:指反映机关事业单位实施养老保险制度由单位缴纳的基本养老保险费支出。</w:t>
      </w:r>
      <w:r>
        <w:rPr>
          <w:rFonts w:ascii="仿宋_GB2312" w:eastAsia="仿宋_GB2312"/>
          <w:sz w:val="32"/>
          <w:szCs w:val="32"/>
        </w:rPr>
        <w:t xml:space="preserve"> </w:t>
      </w:r>
    </w:p>
    <w:p>
      <w:pPr>
        <w:pStyle w:val="51"/>
        <w:spacing w:line="560" w:lineRule="exact"/>
        <w:ind w:firstLine="672" w:firstLineChars="210"/>
        <w:rPr>
          <w:rFonts w:ascii="仿宋_GB2312" w:eastAsia="仿宋_GB2312"/>
          <w:sz w:val="32"/>
          <w:szCs w:val="32"/>
        </w:rPr>
      </w:pPr>
      <w:r>
        <w:rPr>
          <w:rFonts w:hint="eastAsia" w:ascii="仿宋_GB2312" w:eastAsia="仿宋_GB2312"/>
          <w:sz w:val="32"/>
          <w:szCs w:val="32"/>
        </w:rPr>
        <w:t>19.社会保障和就业（类）行政事业单位养老支出（款）机关事业单位职业年金缴费支出（项）:指反映由机关事业单位缴纳的职业年金支出。</w:t>
      </w:r>
      <w:r>
        <w:rPr>
          <w:rFonts w:ascii="仿宋_GB2312" w:eastAsia="仿宋_GB2312"/>
          <w:sz w:val="32"/>
          <w:szCs w:val="32"/>
        </w:rPr>
        <w:t xml:space="preserve"> </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cs="仿宋"/>
          <w:color w:val="000000"/>
          <w:kern w:val="0"/>
          <w:sz w:val="32"/>
          <w:szCs w:val="32"/>
        </w:rPr>
        <w:t>20.</w:t>
      </w:r>
      <w:r>
        <w:rPr>
          <w:rFonts w:hint="eastAsia"/>
        </w:rPr>
        <w:t xml:space="preserve"> </w:t>
      </w:r>
      <w:r>
        <w:rPr>
          <w:rFonts w:hint="eastAsia" w:ascii="仿宋_GB2312" w:eastAsia="仿宋_GB2312" w:cs="仿宋"/>
          <w:color w:val="000000"/>
          <w:kern w:val="0"/>
          <w:sz w:val="32"/>
          <w:szCs w:val="32"/>
        </w:rPr>
        <w:t>卫生健康支出（类）行政事业单位医疗（款）行政单位医疗（项）：指反映行政单位基本医疗保险缴费。</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cs="仿宋"/>
          <w:color w:val="000000"/>
          <w:kern w:val="0"/>
          <w:sz w:val="32"/>
          <w:szCs w:val="32"/>
        </w:rPr>
        <w:t>21.</w:t>
      </w:r>
      <w:r>
        <w:rPr>
          <w:rFonts w:hint="eastAsia"/>
        </w:rPr>
        <w:t xml:space="preserve"> </w:t>
      </w:r>
      <w:r>
        <w:rPr>
          <w:rFonts w:hint="eastAsia" w:ascii="仿宋_GB2312" w:eastAsia="仿宋_GB2312" w:cs="仿宋"/>
          <w:color w:val="000000"/>
          <w:kern w:val="0"/>
          <w:sz w:val="32"/>
          <w:szCs w:val="32"/>
        </w:rPr>
        <w:t>卫生健康支出（类）行政事业单位医疗（款）事业单位医疗（项）：指反映事业单位基本医疗保险缴费。</w:t>
      </w:r>
    </w:p>
    <w:p>
      <w:pPr>
        <w:spacing w:line="560" w:lineRule="exact"/>
        <w:ind w:firstLine="672" w:firstLineChars="210"/>
        <w:rPr>
          <w:rFonts w:ascii="仿宋_GB2312" w:eastAsia="仿宋_GB2312"/>
          <w:color w:val="FF0000"/>
          <w:sz w:val="32"/>
          <w:szCs w:val="32"/>
        </w:rPr>
      </w:pPr>
      <w:r>
        <w:rPr>
          <w:rFonts w:hint="eastAsia" w:ascii="仿宋_GB2312" w:eastAsia="仿宋_GB2312" w:cs="仿宋"/>
          <w:color w:val="000000"/>
          <w:kern w:val="0"/>
          <w:sz w:val="32"/>
          <w:szCs w:val="32"/>
        </w:rPr>
        <w:t>22.</w:t>
      </w:r>
      <w:r>
        <w:rPr>
          <w:rFonts w:hint="eastAsia"/>
        </w:rPr>
        <w:t xml:space="preserve"> </w:t>
      </w:r>
      <w:r>
        <w:rPr>
          <w:rFonts w:hint="eastAsia" w:ascii="仿宋_GB2312" w:eastAsia="仿宋_GB2312" w:cs="仿宋"/>
          <w:color w:val="000000"/>
          <w:kern w:val="0"/>
          <w:sz w:val="32"/>
          <w:szCs w:val="32"/>
        </w:rPr>
        <w:t>卫生健康支出（类）行政事业单位医疗（款）公务员医疗补助（项）：指反映行政事业单位公务员医疗补助。</w:t>
      </w:r>
    </w:p>
    <w:p>
      <w:pPr>
        <w:spacing w:line="560" w:lineRule="exact"/>
        <w:ind w:firstLine="672" w:firstLineChars="21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23.住房保障支出（类）住房改革支出（款）住房公积金（项）:指按人力资源和社会保障部、财政部规定的基本工资和津贴补贴以及规定比例为职工缴纳的住房公积金。 </w:t>
      </w:r>
    </w:p>
    <w:p>
      <w:pPr>
        <w:ind w:firstLine="640" w:firstLineChars="200"/>
        <w:rPr>
          <w:rFonts w:ascii="仿宋_GB2312" w:eastAsia="仿宋_GB2312"/>
          <w:sz w:val="32"/>
          <w:szCs w:val="32"/>
        </w:rPr>
      </w:pPr>
      <w:r>
        <w:rPr>
          <w:rFonts w:hint="eastAsia" w:ascii="仿宋_GB2312" w:eastAsia="仿宋_GB2312"/>
          <w:sz w:val="32"/>
          <w:szCs w:val="32"/>
        </w:rPr>
        <w:t>24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25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26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5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5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5"/>
          <w:rFonts w:eastAsia="黑体"/>
          <w:b/>
        </w:rPr>
      </w:pPr>
      <w:r>
        <w:rPr>
          <w:rFonts w:ascii="宋体"/>
          <w:b/>
          <w:sz w:val="44"/>
          <w:szCs w:val="44"/>
        </w:rPr>
        <w:br w:type="page"/>
      </w:r>
      <w:r>
        <w:rPr>
          <w:rFonts w:hint="eastAsia" w:eastAsia="黑体"/>
          <w:sz w:val="44"/>
          <w:szCs w:val="44"/>
        </w:rPr>
        <w:t>第四部分  附件</w:t>
      </w:r>
      <w:bookmarkEnd w:id="52"/>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80" w:lineRule="exact"/>
        <w:contextualSpacing/>
        <w:jc w:val="center"/>
        <w:rPr>
          <w:rFonts w:eastAsia="黑体"/>
          <w:sz w:val="44"/>
          <w:szCs w:val="44"/>
        </w:rPr>
      </w:pPr>
      <w:r>
        <w:rPr>
          <w:rFonts w:hint="eastAsia" w:eastAsia="黑体"/>
          <w:sz w:val="44"/>
          <w:szCs w:val="44"/>
        </w:rPr>
        <w:t>2024年度东区人民代表大会常务委员会</w:t>
      </w:r>
    </w:p>
    <w:p>
      <w:pPr>
        <w:widowControl/>
        <w:spacing w:line="580" w:lineRule="exact"/>
        <w:contextualSpacing/>
        <w:jc w:val="center"/>
        <w:rPr>
          <w:rFonts w:eastAsia="黑体"/>
          <w:sz w:val="44"/>
          <w:szCs w:val="44"/>
        </w:rPr>
      </w:pPr>
      <w:r>
        <w:rPr>
          <w:rFonts w:hint="eastAsia" w:eastAsia="黑体"/>
          <w:sz w:val="44"/>
          <w:szCs w:val="44"/>
        </w:rPr>
        <w:t>部门预算整体支出绩效评价</w:t>
      </w:r>
    </w:p>
    <w:p>
      <w:pPr>
        <w:widowControl/>
        <w:spacing w:line="580" w:lineRule="exact"/>
        <w:contextualSpacing/>
        <w:jc w:val="center"/>
        <w:rPr>
          <w:rFonts w:eastAsia="黑体"/>
          <w:sz w:val="44"/>
          <w:szCs w:val="44"/>
        </w:rPr>
      </w:pPr>
      <w:r>
        <w:rPr>
          <w:rFonts w:hint="eastAsia" w:eastAsia="黑体"/>
          <w:sz w:val="44"/>
          <w:szCs w:val="44"/>
        </w:rPr>
        <w:t>自评报告</w:t>
      </w:r>
    </w:p>
    <w:p>
      <w:pPr>
        <w:widowControl/>
        <w:adjustRightInd w:val="0"/>
        <w:snapToGrid w:val="0"/>
        <w:spacing w:line="580" w:lineRule="exact"/>
        <w:ind w:firstLine="880" w:firstLineChars="200"/>
        <w:contextualSpacing/>
        <w:jc w:val="left"/>
        <w:rPr>
          <w:rFonts w:eastAsia="黑体"/>
          <w:sz w:val="44"/>
          <w:szCs w:val="44"/>
        </w:rPr>
      </w:pPr>
    </w:p>
    <w:p>
      <w:pPr>
        <w:widowControl/>
        <w:adjustRightInd w:val="0"/>
        <w:snapToGrid w:val="0"/>
        <w:spacing w:line="576" w:lineRule="exact"/>
        <w:ind w:firstLine="640" w:firstLineChars="200"/>
        <w:contextualSpacing/>
        <w:jc w:val="left"/>
        <w:rPr>
          <w:rFonts w:ascii="仿宋_GB2312" w:hAnsi="Calibri" w:eastAsia="仿宋_GB2312" w:cs="仿宋"/>
          <w:kern w:val="0"/>
          <w:sz w:val="32"/>
          <w:szCs w:val="32"/>
        </w:rPr>
      </w:pPr>
      <w:r>
        <w:rPr>
          <w:rFonts w:hint="eastAsia" w:ascii="仿宋_GB2312" w:hAnsi="Calibri" w:eastAsia="仿宋_GB2312" w:cs="仿宋"/>
          <w:kern w:val="0"/>
          <w:sz w:val="32"/>
          <w:szCs w:val="32"/>
        </w:rPr>
        <w:t>一、部门（单位）概况</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bookmarkStart w:id="54" w:name="OLE_LINK2"/>
      <w:r>
        <w:rPr>
          <w:rFonts w:hint="eastAsia" w:ascii="方正楷体_GBK" w:eastAsia="方正楷体_GBK"/>
          <w:b/>
          <w:bCs/>
          <w:color w:val="000000"/>
          <w:kern w:val="0"/>
          <w:sz w:val="33"/>
          <w:szCs w:val="33"/>
          <w:shd w:val="clear" w:color="auto" w:fill="FFFFFF"/>
          <w:lang w:val="zh-CN"/>
        </w:rPr>
        <w:t>（一）</w:t>
      </w:r>
      <w:bookmarkEnd w:id="54"/>
      <w:r>
        <w:rPr>
          <w:rFonts w:hint="eastAsia" w:ascii="方正楷体_GBK" w:eastAsia="方正楷体_GBK"/>
          <w:b/>
          <w:bCs/>
          <w:color w:val="000000"/>
          <w:kern w:val="0"/>
          <w:sz w:val="33"/>
          <w:szCs w:val="33"/>
          <w:shd w:val="clear" w:color="auto" w:fill="FFFFFF"/>
          <w:lang w:val="zh-CN"/>
        </w:rPr>
        <w:t>机构组成</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攀枝花市东区人民代表大会常务委员会有东区人大财政经济委员会、东区人大社会建设委员会、东区人大城乡建设环境资源保护委员会、东区人大教育科学文化卫生委员会4个专门委员会，下设办公室、代表工作委员会、法制工作委员会3个工作机构。</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ascii="方正楷体_GBK" w:eastAsia="方正楷体_GBK"/>
          <w:b/>
          <w:bCs/>
          <w:color w:val="000000"/>
          <w:kern w:val="0"/>
          <w:sz w:val="33"/>
          <w:szCs w:val="33"/>
          <w:shd w:val="clear" w:color="auto" w:fill="FFFFFF"/>
          <w:lang w:val="zh-CN"/>
        </w:rPr>
        <w:t>（</w:t>
      </w:r>
      <w:r>
        <w:rPr>
          <w:rFonts w:hint="eastAsia" w:ascii="方正楷体_GBK" w:eastAsia="方正楷体_GBK"/>
          <w:b/>
          <w:bCs/>
          <w:color w:val="000000"/>
          <w:kern w:val="0"/>
          <w:sz w:val="33"/>
          <w:szCs w:val="33"/>
          <w:shd w:val="clear" w:color="auto" w:fill="FFFFFF"/>
        </w:rPr>
        <w:t>二</w:t>
      </w:r>
      <w:r>
        <w:rPr>
          <w:rFonts w:ascii="方正楷体_GBK" w:eastAsia="方正楷体_GBK"/>
          <w:b/>
          <w:bCs/>
          <w:color w:val="000000"/>
          <w:kern w:val="0"/>
          <w:sz w:val="33"/>
          <w:szCs w:val="33"/>
          <w:shd w:val="clear" w:color="auto" w:fill="FFFFFF"/>
          <w:lang w:val="zh-CN"/>
        </w:rPr>
        <w:t>）机构职能</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hint="eastAsia" w:eastAsia="方正仿宋_GBK"/>
          <w:color w:val="000000"/>
          <w:kern w:val="0"/>
          <w:sz w:val="33"/>
          <w:szCs w:val="33"/>
          <w:shd w:val="clear" w:color="auto" w:fill="FFFFFF"/>
          <w:lang w:val="zh-CN"/>
        </w:rPr>
        <w:t>1.负责区人代会会议、常委会会议、以常委会名义召开的其他会议的筹备和会务工作；</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hint="eastAsia" w:eastAsia="方正仿宋_GBK"/>
          <w:color w:val="000000"/>
          <w:kern w:val="0"/>
          <w:sz w:val="33"/>
          <w:szCs w:val="33"/>
          <w:shd w:val="clear" w:color="auto" w:fill="FFFFFF"/>
          <w:lang w:val="zh-CN"/>
        </w:rPr>
        <w:t>2.负责区人大选举和区人大常委会任免的具体工作；</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hint="eastAsia" w:eastAsia="方正仿宋_GBK"/>
          <w:color w:val="000000"/>
          <w:kern w:val="0"/>
          <w:sz w:val="33"/>
          <w:szCs w:val="33"/>
          <w:shd w:val="clear" w:color="auto" w:fill="FFFFFF"/>
          <w:lang w:val="zh-CN"/>
        </w:rPr>
        <w:t>3.负责人大代表提出的议案、建议、批评和意见交办、督办工作；</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hint="eastAsia" w:eastAsia="方正仿宋_GBK"/>
          <w:color w:val="000000"/>
          <w:kern w:val="0"/>
          <w:sz w:val="33"/>
          <w:szCs w:val="33"/>
          <w:shd w:val="clear" w:color="auto" w:fill="FFFFFF"/>
          <w:lang w:val="zh-CN"/>
        </w:rPr>
        <w:t>4.做好代表视察等活动的安排，受理人大代表的来信来访和申述，维护代表的权利；</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hint="eastAsia" w:eastAsia="方正仿宋_GBK"/>
          <w:color w:val="000000"/>
          <w:kern w:val="0"/>
          <w:sz w:val="33"/>
          <w:szCs w:val="33"/>
          <w:shd w:val="clear" w:color="auto" w:fill="FFFFFF"/>
          <w:lang w:val="zh-CN"/>
        </w:rPr>
        <w:t>5.组织对司法、经济、城建环保和教科文卫部门进行执法检查、视察、调查和工作评议，开展法律监督和工作监督；</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rPr>
      </w:pPr>
      <w:r>
        <w:rPr>
          <w:rFonts w:hint="eastAsia" w:eastAsia="方正仿宋_GBK"/>
          <w:color w:val="000000"/>
          <w:kern w:val="0"/>
          <w:sz w:val="33"/>
          <w:szCs w:val="33"/>
          <w:shd w:val="clear" w:color="auto" w:fill="FFFFFF"/>
          <w:lang w:val="zh-CN"/>
        </w:rPr>
        <w:t>6.负责了解国民经济和社会发展计划、财政预算的编制和执行情况及重要的经济动态，对国民经济重大问题进行调查研究。</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bookmarkStart w:id="55" w:name="OLE_LINK3"/>
      <w:r>
        <w:rPr>
          <w:rFonts w:ascii="方正楷体_GBK" w:eastAsia="方正楷体_GBK"/>
          <w:b/>
          <w:bCs/>
          <w:color w:val="000000"/>
          <w:kern w:val="0"/>
          <w:sz w:val="33"/>
          <w:szCs w:val="33"/>
          <w:shd w:val="clear" w:color="auto" w:fill="FFFFFF"/>
          <w:lang w:val="zh-CN"/>
        </w:rPr>
        <w:t>（</w:t>
      </w:r>
      <w:r>
        <w:rPr>
          <w:rFonts w:hint="eastAsia" w:ascii="方正楷体_GBK" w:eastAsia="方正楷体_GBK"/>
          <w:b/>
          <w:bCs/>
          <w:color w:val="000000"/>
          <w:kern w:val="0"/>
          <w:sz w:val="33"/>
          <w:szCs w:val="33"/>
          <w:shd w:val="clear" w:color="auto" w:fill="FFFFFF"/>
        </w:rPr>
        <w:t>三</w:t>
      </w:r>
      <w:r>
        <w:rPr>
          <w:rFonts w:ascii="方正楷体_GBK" w:eastAsia="方正楷体_GBK"/>
          <w:b/>
          <w:bCs/>
          <w:color w:val="000000"/>
          <w:kern w:val="0"/>
          <w:sz w:val="33"/>
          <w:szCs w:val="33"/>
          <w:shd w:val="clear" w:color="auto" w:fill="FFFFFF"/>
          <w:lang w:val="zh-CN"/>
        </w:rPr>
        <w:t>）</w:t>
      </w:r>
      <w:bookmarkEnd w:id="55"/>
      <w:r>
        <w:rPr>
          <w:rFonts w:ascii="方正楷体_GBK" w:eastAsia="方正楷体_GBK"/>
          <w:b/>
          <w:bCs/>
          <w:color w:val="000000"/>
          <w:kern w:val="0"/>
          <w:sz w:val="33"/>
          <w:szCs w:val="33"/>
          <w:shd w:val="clear" w:color="auto" w:fill="FFFFFF"/>
          <w:lang w:val="zh-CN"/>
        </w:rPr>
        <w:t>人员概况</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攀枝花市东区人民代表大会常务委员会现有人员2</w:t>
      </w:r>
      <w:r>
        <w:rPr>
          <w:rFonts w:hint="eastAsia" w:eastAsia="方正仿宋_GBK"/>
          <w:color w:val="000000"/>
          <w:kern w:val="0"/>
          <w:sz w:val="33"/>
          <w:szCs w:val="33"/>
          <w:shd w:val="clear" w:color="auto" w:fill="FFFFFF"/>
        </w:rPr>
        <w:t>6</w:t>
      </w:r>
      <w:r>
        <w:rPr>
          <w:rFonts w:eastAsia="方正仿宋_GBK"/>
          <w:color w:val="000000"/>
          <w:kern w:val="0"/>
          <w:sz w:val="33"/>
          <w:szCs w:val="33"/>
          <w:shd w:val="clear" w:color="auto" w:fill="FFFFFF"/>
          <w:lang w:val="zh-CN"/>
        </w:rPr>
        <w:t>名，其中：区人大常委会现配备主任1名，副主任4名；区人大财政经济委员会主任委员1名</w:t>
      </w:r>
      <w:r>
        <w:rPr>
          <w:rFonts w:hint="eastAsia" w:eastAsia="方正仿宋_GBK"/>
          <w:color w:val="000000"/>
          <w:kern w:val="0"/>
          <w:sz w:val="33"/>
          <w:szCs w:val="33"/>
          <w:shd w:val="clear" w:color="auto" w:fill="FFFFFF"/>
          <w:lang w:val="zh-CN"/>
        </w:rPr>
        <w:t>、</w:t>
      </w:r>
      <w:r>
        <w:rPr>
          <w:rFonts w:hint="eastAsia" w:eastAsia="方正仿宋_GBK"/>
          <w:color w:val="000000"/>
          <w:kern w:val="0"/>
          <w:sz w:val="33"/>
          <w:szCs w:val="33"/>
          <w:shd w:val="clear" w:color="auto" w:fill="FFFFFF"/>
        </w:rPr>
        <w:t>区人大预算工委主任委员1名</w:t>
      </w:r>
      <w:r>
        <w:rPr>
          <w:rFonts w:eastAsia="方正仿宋_GBK"/>
          <w:color w:val="000000"/>
          <w:kern w:val="0"/>
          <w:sz w:val="33"/>
          <w:szCs w:val="33"/>
          <w:shd w:val="clear" w:color="auto" w:fill="FFFFFF"/>
          <w:lang w:val="zh-CN"/>
        </w:rPr>
        <w:t>；区人大常委会办公室、代表工作委员会、财经社会工作委员会、法制工作委员会、城乡建设环境资源保护工作委员会、教科文卫工作委员会配备主任各1名、共6名；配备办公室副主任</w:t>
      </w:r>
      <w:r>
        <w:rPr>
          <w:rFonts w:hint="eastAsia" w:eastAsia="方正仿宋_GBK"/>
          <w:color w:val="000000"/>
          <w:kern w:val="0"/>
          <w:sz w:val="33"/>
          <w:szCs w:val="33"/>
          <w:shd w:val="clear" w:color="auto" w:fill="FFFFFF"/>
        </w:rPr>
        <w:t>5</w:t>
      </w:r>
      <w:r>
        <w:rPr>
          <w:rFonts w:eastAsia="方正仿宋_GBK"/>
          <w:color w:val="000000"/>
          <w:kern w:val="0"/>
          <w:sz w:val="33"/>
          <w:szCs w:val="33"/>
          <w:shd w:val="clear" w:color="auto" w:fill="FFFFFF"/>
          <w:lang w:val="zh-CN"/>
        </w:rPr>
        <w:t>名；一般工作人员（事业编）1名；工勤人员1名；退出领导岗位人员</w:t>
      </w:r>
      <w:r>
        <w:rPr>
          <w:rFonts w:hint="eastAsia" w:eastAsia="方正仿宋_GBK"/>
          <w:color w:val="000000"/>
          <w:kern w:val="0"/>
          <w:sz w:val="33"/>
          <w:szCs w:val="33"/>
          <w:shd w:val="clear" w:color="auto" w:fill="FFFFFF"/>
        </w:rPr>
        <w:t>6</w:t>
      </w:r>
      <w:r>
        <w:rPr>
          <w:rFonts w:eastAsia="方正仿宋_GBK"/>
          <w:color w:val="000000"/>
          <w:kern w:val="0"/>
          <w:sz w:val="33"/>
          <w:szCs w:val="33"/>
          <w:shd w:val="clear" w:color="auto" w:fill="FFFFFF"/>
          <w:lang w:val="zh-CN"/>
        </w:rPr>
        <w:t>名。</w:t>
      </w:r>
    </w:p>
    <w:p>
      <w:pPr>
        <w:widowControl/>
        <w:adjustRightInd w:val="0"/>
        <w:snapToGrid w:val="0"/>
        <w:spacing w:line="740" w:lineRule="exact"/>
        <w:ind w:firstLine="660" w:firstLineChars="200"/>
        <w:contextualSpacing/>
        <w:jc w:val="left"/>
        <w:rPr>
          <w:rFonts w:ascii="方正黑体_GBK" w:eastAsia="方正黑体_GBK"/>
          <w:color w:val="000000"/>
          <w:kern w:val="0"/>
          <w:sz w:val="33"/>
          <w:szCs w:val="33"/>
          <w:shd w:val="clear" w:color="auto" w:fill="FFFFFF"/>
          <w:lang w:val="zh-CN"/>
        </w:rPr>
      </w:pPr>
      <w:r>
        <w:rPr>
          <w:rFonts w:ascii="方正黑体_GBK" w:eastAsia="方正黑体_GBK"/>
          <w:color w:val="000000"/>
          <w:kern w:val="0"/>
          <w:sz w:val="33"/>
          <w:szCs w:val="33"/>
          <w:shd w:val="clear" w:color="auto" w:fill="FFFFFF"/>
          <w:lang w:val="zh-CN"/>
        </w:rPr>
        <w:t>二、部门财政资金收支情况</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ascii="方正楷体_GBK" w:eastAsia="方正楷体_GBK"/>
          <w:b/>
          <w:bCs/>
          <w:color w:val="000000"/>
          <w:kern w:val="0"/>
          <w:sz w:val="33"/>
          <w:szCs w:val="33"/>
          <w:shd w:val="clear" w:color="auto" w:fill="FFFFFF"/>
          <w:lang w:val="zh-CN"/>
        </w:rPr>
        <w:t>（一）部门财政资金收入情况</w:t>
      </w:r>
    </w:p>
    <w:p>
      <w:pPr>
        <w:widowControl/>
        <w:adjustRightInd w:val="0"/>
        <w:snapToGrid w:val="0"/>
        <w:spacing w:line="740" w:lineRule="exact"/>
        <w:ind w:firstLine="660" w:firstLineChars="200"/>
        <w:contextualSpacing/>
        <w:rPr>
          <w:rFonts w:eastAsia="方正仿宋_GBK"/>
          <w:kern w:val="0"/>
          <w:sz w:val="33"/>
          <w:szCs w:val="33"/>
          <w:shd w:val="clear" w:color="auto" w:fill="FFFFFF"/>
        </w:rPr>
      </w:pPr>
      <w:r>
        <w:rPr>
          <w:rFonts w:eastAsia="方正仿宋_GBK"/>
          <w:kern w:val="0"/>
          <w:sz w:val="33"/>
          <w:szCs w:val="33"/>
          <w:shd w:val="clear" w:color="auto" w:fill="FFFFFF"/>
        </w:rPr>
        <w:t>202</w:t>
      </w:r>
      <w:r>
        <w:rPr>
          <w:rFonts w:hint="eastAsia" w:eastAsia="方正仿宋_GBK"/>
          <w:kern w:val="0"/>
          <w:sz w:val="33"/>
          <w:szCs w:val="33"/>
          <w:shd w:val="clear" w:color="auto" w:fill="FFFFFF"/>
        </w:rPr>
        <w:t>4年东区人大收入为708.77万元，其中：本年财政拨款预算收入708.77万元，上年结转和结余0万元，其他收入0万元（利息收入）。</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（二）</w:t>
      </w:r>
      <w:r>
        <w:rPr>
          <w:rFonts w:ascii="方正楷体_GBK" w:eastAsia="方正楷体_GBK"/>
          <w:b/>
          <w:bCs/>
          <w:color w:val="000000"/>
          <w:kern w:val="0"/>
          <w:sz w:val="33"/>
          <w:szCs w:val="33"/>
          <w:shd w:val="clear" w:color="auto" w:fill="FFFFFF"/>
          <w:lang w:val="zh-CN"/>
        </w:rPr>
        <w:t>部门财政资金支出情况</w:t>
      </w:r>
    </w:p>
    <w:p>
      <w:pPr>
        <w:widowControl/>
        <w:adjustRightInd w:val="0"/>
        <w:snapToGrid w:val="0"/>
        <w:spacing w:line="740" w:lineRule="exact"/>
        <w:ind w:firstLine="660" w:firstLineChars="200"/>
        <w:contextualSpacing/>
        <w:jc w:val="left"/>
        <w:rPr>
          <w:rFonts w:eastAsia="方正仿宋_GBK"/>
          <w:kern w:val="0"/>
          <w:sz w:val="33"/>
          <w:szCs w:val="33"/>
          <w:shd w:val="clear" w:color="auto" w:fill="FFFFFF"/>
        </w:rPr>
      </w:pPr>
      <w:r>
        <w:rPr>
          <w:rFonts w:hint="eastAsia" w:eastAsia="方正仿宋_GBK"/>
          <w:kern w:val="0"/>
          <w:sz w:val="33"/>
          <w:szCs w:val="33"/>
          <w:shd w:val="clear" w:color="auto" w:fill="FFFFFF"/>
        </w:rPr>
        <w:t xml:space="preserve"> </w:t>
      </w:r>
      <w:r>
        <w:rPr>
          <w:rFonts w:eastAsia="方正仿宋_GBK"/>
          <w:kern w:val="0"/>
          <w:sz w:val="33"/>
          <w:szCs w:val="33"/>
          <w:shd w:val="clear" w:color="auto" w:fill="FFFFFF"/>
        </w:rPr>
        <w:t>202</w:t>
      </w:r>
      <w:r>
        <w:rPr>
          <w:rFonts w:hint="eastAsia" w:eastAsia="方正仿宋_GBK"/>
          <w:kern w:val="0"/>
          <w:sz w:val="33"/>
          <w:szCs w:val="33"/>
          <w:shd w:val="clear" w:color="auto" w:fill="FFFFFF"/>
        </w:rPr>
        <w:t>4年东区人大预算支出为708.77万元，其中：基本支出593.46万元（工资福利支出434.98万元，日常公用支出62.47万元，对个人和家庭的补助支出96.01万元），项目支出115.31万元，年末结转结余0万元。</w:t>
      </w:r>
    </w:p>
    <w:p>
      <w:pPr>
        <w:widowControl/>
        <w:adjustRightInd w:val="0"/>
        <w:snapToGrid w:val="0"/>
        <w:spacing w:line="740" w:lineRule="exact"/>
        <w:ind w:firstLine="660" w:firstLineChars="200"/>
        <w:contextualSpacing/>
        <w:jc w:val="left"/>
        <w:rPr>
          <w:rFonts w:ascii="方正黑体_GBK" w:eastAsia="方正黑体_GBK"/>
          <w:color w:val="000000"/>
          <w:kern w:val="0"/>
          <w:sz w:val="33"/>
          <w:szCs w:val="33"/>
          <w:shd w:val="clear" w:color="auto" w:fill="FFFFFF"/>
          <w:lang w:val="zh-CN"/>
        </w:rPr>
      </w:pPr>
      <w:r>
        <w:rPr>
          <w:rFonts w:ascii="方正黑体_GBK" w:eastAsia="方正黑体_GBK"/>
          <w:color w:val="000000"/>
          <w:kern w:val="0"/>
          <w:sz w:val="33"/>
          <w:szCs w:val="33"/>
          <w:shd w:val="clear" w:color="auto" w:fill="FFFFFF"/>
          <w:lang w:val="zh-CN"/>
        </w:rPr>
        <w:t>三、部门预算整体绩效管理情况</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（一）绩效管理</w:t>
      </w:r>
    </w:p>
    <w:p>
      <w:pPr>
        <w:widowControl/>
        <w:adjustRightInd w:val="0"/>
        <w:snapToGrid w:val="0"/>
        <w:spacing w:line="740" w:lineRule="exact"/>
        <w:ind w:firstLine="663" w:firstLineChars="200"/>
        <w:contextualSpacing/>
        <w:rPr>
          <w:rFonts w:eastAsia="方正仿宋_GBK"/>
          <w:color w:val="000000" w:themeColor="text1"/>
          <w:kern w:val="0"/>
          <w:sz w:val="33"/>
          <w:szCs w:val="33"/>
          <w:shd w:val="clear" w:color="auto" w:fill="FFFFFF"/>
          <w:lang w:val="zh-CN"/>
          <w14:textFill>
            <w14:solidFill>
              <w14:schemeClr w14:val="tx1"/>
            </w14:solidFill>
          </w14:textFill>
        </w:rPr>
      </w:pPr>
      <w:r>
        <w:rPr>
          <w:rFonts w:hint="eastAsia" w:eastAsia="方正仿宋_GBK"/>
          <w:b/>
          <w:bCs/>
          <w:color w:val="000000" w:themeColor="text1"/>
          <w:kern w:val="0"/>
          <w:sz w:val="33"/>
          <w:szCs w:val="33"/>
          <w:shd w:val="clear" w:color="auto" w:fill="FFFFFF"/>
          <w14:textFill>
            <w14:solidFill>
              <w14:schemeClr w14:val="tx1"/>
            </w14:solidFill>
          </w14:textFill>
        </w:rPr>
        <w:t>一是科学合理地制定绩效目标</w:t>
      </w:r>
      <w:r>
        <w:rPr>
          <w:rFonts w:hint="eastAsia" w:eastAsia="方正仿宋_GBK"/>
          <w:b/>
          <w:bCs/>
          <w:color w:val="000000" w:themeColor="text1"/>
          <w:kern w:val="0"/>
          <w:sz w:val="33"/>
          <w:szCs w:val="33"/>
          <w:shd w:val="clear" w:color="auto" w:fill="FFFFFF"/>
          <w:lang w:val="zh-CN"/>
          <w14:textFill>
            <w14:solidFill>
              <w14:schemeClr w14:val="tx1"/>
            </w14:solidFill>
          </w14:textFill>
        </w:rPr>
        <w:t>。</w:t>
      </w:r>
      <w:r>
        <w:rPr>
          <w:rFonts w:eastAsia="方正仿宋_GBK"/>
          <w:color w:val="000000" w:themeColor="text1"/>
          <w:kern w:val="0"/>
          <w:sz w:val="33"/>
          <w:szCs w:val="33"/>
          <w:shd w:val="clear" w:color="auto" w:fill="FFFFFF"/>
          <w14:textFill>
            <w14:solidFill>
              <w14:schemeClr w14:val="tx1"/>
            </w14:solidFill>
          </w14:textFill>
        </w:rPr>
        <w:t>202</w:t>
      </w:r>
      <w:r>
        <w:rPr>
          <w:rFonts w:hint="eastAsia" w:eastAsia="方正仿宋_GBK"/>
          <w:color w:val="000000" w:themeColor="text1"/>
          <w:kern w:val="0"/>
          <w:sz w:val="33"/>
          <w:szCs w:val="33"/>
          <w:shd w:val="clear" w:color="auto" w:fill="FFFFFF"/>
          <w14:textFill>
            <w14:solidFill>
              <w14:schemeClr w14:val="tx1"/>
            </w14:solidFill>
          </w14:textFill>
        </w:rPr>
        <w:t>4年东区人大办严格按照东区财政局预算编制通知和有关要求，涵盖人员类、运转类以及特定目标类项目，确保目标明确、可衡量且与工作任务紧密结合。并按时按质完成报送决算编制等工作，并按时提交部门预算编制草案，不存在应编未编、错误列编，东区财政局根据预算编制草案进行审核</w:t>
      </w:r>
      <w:r>
        <w:rPr>
          <w:rFonts w:hint="eastAsia" w:eastAsia="方正仿宋_GBK"/>
          <w:kern w:val="0"/>
          <w:sz w:val="33"/>
          <w:szCs w:val="33"/>
          <w:shd w:val="clear" w:color="auto" w:fill="FFFFFF"/>
        </w:rPr>
        <w:t>，批复</w:t>
      </w:r>
      <w:r>
        <w:rPr>
          <w:rFonts w:eastAsia="方正仿宋_GBK"/>
          <w:kern w:val="0"/>
          <w:sz w:val="33"/>
          <w:szCs w:val="33"/>
          <w:shd w:val="clear" w:color="auto" w:fill="FFFFFF"/>
        </w:rPr>
        <w:t>202</w:t>
      </w:r>
      <w:r>
        <w:rPr>
          <w:rFonts w:hint="eastAsia" w:eastAsia="方正仿宋_GBK"/>
          <w:kern w:val="0"/>
          <w:sz w:val="33"/>
          <w:szCs w:val="33"/>
          <w:shd w:val="clear" w:color="auto" w:fill="FFFFFF"/>
        </w:rPr>
        <w:t>4年部门预算收入826.63万元，预算支出总计826.63万元，其中：工资福利支出484.35万元、日常公用支出76.07万元、对个人和家庭的补助支出98.13万元、项目支出168.08万元。及时按规定上缴结余资金。</w:t>
      </w:r>
      <w:r>
        <w:rPr>
          <w:rFonts w:hint="eastAsia" w:eastAsia="方正仿宋_GBK"/>
          <w:b/>
          <w:bCs/>
          <w:kern w:val="0"/>
          <w:sz w:val="33"/>
          <w:szCs w:val="33"/>
          <w:shd w:val="clear" w:color="auto" w:fill="FFFFFF"/>
        </w:rPr>
        <w:t>二是较圆满</w:t>
      </w:r>
      <w:r>
        <w:rPr>
          <w:rFonts w:hint="eastAsia" w:ascii="仿宋_GB2312" w:hAnsi="仿宋_GB2312" w:eastAsia="方正仿宋_GBK" w:cs="仿宋_GB2312"/>
          <w:b/>
          <w:bCs/>
          <w:sz w:val="33"/>
          <w:szCs w:val="33"/>
        </w:rPr>
        <w:t>完成目标。</w:t>
      </w:r>
      <w:r>
        <w:rPr>
          <w:rFonts w:hint="eastAsia" w:eastAsia="方正仿宋_GBK"/>
          <w:color w:val="000000" w:themeColor="text1"/>
          <w:kern w:val="0"/>
          <w:sz w:val="33"/>
          <w:szCs w:val="33"/>
          <w:shd w:val="clear" w:color="auto" w:fill="FFFFFF"/>
          <w14:textFill>
            <w14:solidFill>
              <w14:schemeClr w14:val="tx1"/>
            </w14:solidFill>
          </w14:textFill>
        </w:rPr>
        <w:t xml:space="preserve">1.人员类：预算数530.98万元，决算支出数530.98万元，执行率100%。足额保障人员薪酬、社保、福利等支出，稳定人才队伍，工作人员积极投入工作，为人大各项职能履行提供人力支持。2.运转类：预算62.47万元，决算支出62.47万元，执行率100%。办公设备购置、水电费、差旅费等支出合理合规，办公环境良好，办公流程顺畅，保障机关日常工作高效运转。3. </w:t>
      </w:r>
      <w:r>
        <w:rPr>
          <w:rFonts w:hint="eastAsia" w:eastAsia="方正仿宋_GBK"/>
          <w:kern w:val="0"/>
          <w:sz w:val="33"/>
          <w:szCs w:val="33"/>
          <w:shd w:val="clear" w:color="auto" w:fill="FFFFFF"/>
        </w:rPr>
        <w:t>特定目标类：预算115.31万元，决算支出115.31万元，执行率100%</w:t>
      </w:r>
      <w:r>
        <w:rPr>
          <w:rFonts w:hint="eastAsia" w:eastAsia="方正仿宋_GBK"/>
          <w:color w:val="000000" w:themeColor="text1"/>
          <w:kern w:val="0"/>
          <w:sz w:val="33"/>
          <w:szCs w:val="33"/>
          <w:shd w:val="clear" w:color="auto" w:fill="FFFFFF"/>
          <w14:textFill>
            <w14:solidFill>
              <w14:schemeClr w14:val="tx1"/>
            </w14:solidFill>
          </w14:textFill>
        </w:rPr>
        <w:t>。人大代表培训活动有序开展，代表履职能力提升；各类调研工作顺利进行，为科学决策提供有力依据，特定目标圆满达成。财政资金均实行专项管理、专款专用。在项目实施过程中，严格按专项资金管理办法和各项财务管理制度执行。资金拨入和支出会计核算及时、合规合法，审批流程齐全、附件资料完整。资金使用无截留、挤占、挪用、虚列支出等情况。东区人大办</w:t>
      </w:r>
      <w:r>
        <w:rPr>
          <w:rFonts w:eastAsia="方正仿宋_GBK"/>
          <w:color w:val="000000" w:themeColor="text1"/>
          <w:kern w:val="0"/>
          <w:sz w:val="33"/>
          <w:szCs w:val="33"/>
          <w:shd w:val="clear" w:color="auto" w:fill="FFFFFF"/>
          <w14:textFill>
            <w14:solidFill>
              <w14:schemeClr w14:val="tx1"/>
            </w14:solidFill>
          </w14:textFill>
        </w:rPr>
        <w:t>202</w:t>
      </w:r>
      <w:r>
        <w:rPr>
          <w:rFonts w:hint="eastAsia" w:eastAsia="方正仿宋_GBK"/>
          <w:color w:val="000000" w:themeColor="text1"/>
          <w:kern w:val="0"/>
          <w:sz w:val="33"/>
          <w:szCs w:val="33"/>
          <w:shd w:val="clear" w:color="auto" w:fill="FFFFFF"/>
          <w14:textFill>
            <w14:solidFill>
              <w14:schemeClr w14:val="tx1"/>
            </w14:solidFill>
          </w14:textFill>
        </w:rPr>
        <w:t>4年加强法律监督，法治建设加快推进，强化经济发展监督，助推经济稳中快进，强化社会热点监督，促进社会民生持续改善，依法履职行权，全力服务保障，充分发挥代表作用。全年向区委请示报告11次。依法依规高效运行机构职能，全年召开常委会会议10次、主任会议19次，听取“一府一委两院”工作报告18项、作出决议决定11个、发出审议意见书11件；任免国家机关工作人员124人次，接受市区代表辞职、终止代表资格13人，补选市、区人大代表11名；开展执法检查、视察调研5次、形成报告7个；备案审查规范性文件25件。认真贯彻落实中央和省委省政府相关规定，厉行</w:t>
      </w:r>
      <w:bookmarkStart w:id="71" w:name="_GoBack"/>
      <w:bookmarkEnd w:id="71"/>
      <w:r>
        <w:rPr>
          <w:rFonts w:hint="eastAsia" w:eastAsia="方正仿宋_GBK"/>
          <w:color w:val="000000" w:themeColor="text1"/>
          <w:kern w:val="0"/>
          <w:sz w:val="33"/>
          <w:szCs w:val="33"/>
          <w:shd w:val="clear" w:color="auto" w:fill="FFFFFF"/>
          <w14:textFill>
            <w14:solidFill>
              <w14:schemeClr w14:val="tx1"/>
            </w14:solidFill>
          </w14:textFill>
        </w:rPr>
        <w:t>节约，严格控制经费支出。</w:t>
      </w:r>
      <w:r>
        <w:rPr>
          <w:rFonts w:eastAsia="方正仿宋_GBK"/>
          <w:color w:val="000000" w:themeColor="text1"/>
          <w:kern w:val="0"/>
          <w:sz w:val="33"/>
          <w:szCs w:val="33"/>
          <w:shd w:val="clear" w:color="auto" w:fill="FFFFFF"/>
          <w14:textFill>
            <w14:solidFill>
              <w14:schemeClr w14:val="tx1"/>
            </w14:solidFill>
          </w14:textFill>
        </w:rPr>
        <w:t>202</w:t>
      </w:r>
      <w:r>
        <w:rPr>
          <w:rFonts w:hint="eastAsia" w:eastAsia="方正仿宋_GBK"/>
          <w:color w:val="000000" w:themeColor="text1"/>
          <w:kern w:val="0"/>
          <w:sz w:val="33"/>
          <w:szCs w:val="33"/>
          <w:shd w:val="clear" w:color="auto" w:fill="FFFFFF"/>
          <w14:textFill>
            <w14:solidFill>
              <w14:schemeClr w14:val="tx1"/>
            </w14:solidFill>
          </w14:textFill>
        </w:rPr>
        <w:t>4年收入为</w:t>
      </w:r>
      <w:bookmarkStart w:id="56" w:name="OLE_LINK1"/>
      <w:r>
        <w:rPr>
          <w:rFonts w:hint="eastAsia" w:eastAsia="方正仿宋_GBK"/>
          <w:color w:val="000000" w:themeColor="text1"/>
          <w:kern w:val="0"/>
          <w:sz w:val="33"/>
          <w:szCs w:val="33"/>
          <w:shd w:val="clear" w:color="auto" w:fill="FFFFFF"/>
          <w14:textFill>
            <w14:solidFill>
              <w14:schemeClr w14:val="tx1"/>
            </w14:solidFill>
          </w14:textFill>
        </w:rPr>
        <w:t>708.</w:t>
      </w:r>
      <w:bookmarkEnd w:id="56"/>
      <w:r>
        <w:rPr>
          <w:rFonts w:hint="eastAsia" w:eastAsia="方正仿宋_GBK"/>
          <w:color w:val="000000" w:themeColor="text1"/>
          <w:kern w:val="0"/>
          <w:sz w:val="33"/>
          <w:szCs w:val="33"/>
          <w:shd w:val="clear" w:color="auto" w:fill="FFFFFF"/>
          <w14:textFill>
            <w14:solidFill>
              <w14:schemeClr w14:val="tx1"/>
            </w14:solidFill>
          </w14:textFill>
        </w:rPr>
        <w:t>77万元，支出为：708.77万元，年终结转 0万元，</w:t>
      </w:r>
      <w:r>
        <w:rPr>
          <w:rFonts w:hint="eastAsia" w:eastAsia="方正仿宋_GBK"/>
          <w:color w:val="000000" w:themeColor="text1"/>
          <w:kern w:val="0"/>
          <w:sz w:val="33"/>
          <w:szCs w:val="33"/>
          <w:shd w:val="clear" w:color="auto" w:fill="FFFFFF"/>
          <w:lang w:val="zh-CN"/>
          <w14:textFill>
            <w14:solidFill>
              <w14:schemeClr w14:val="tx1"/>
            </w14:solidFill>
          </w14:textFill>
        </w:rPr>
        <w:t>资金结余率</w:t>
      </w:r>
      <w:r>
        <w:rPr>
          <w:rFonts w:hint="eastAsia" w:eastAsia="方正仿宋_GBK"/>
          <w:color w:val="000000" w:themeColor="text1"/>
          <w:kern w:val="0"/>
          <w:sz w:val="33"/>
          <w:szCs w:val="33"/>
          <w:shd w:val="clear" w:color="auto" w:fill="FFFFFF"/>
          <w14:textFill>
            <w14:solidFill>
              <w14:schemeClr w14:val="tx1"/>
            </w14:solidFill>
          </w14:textFill>
        </w:rPr>
        <w:t>为0。</w:t>
      </w:r>
      <w:r>
        <w:rPr>
          <w:rFonts w:eastAsia="方正仿宋_GBK"/>
          <w:kern w:val="0"/>
          <w:sz w:val="33"/>
          <w:szCs w:val="33"/>
          <w:shd w:val="clear" w:color="auto" w:fill="FFFFFF"/>
        </w:rPr>
        <w:t>202</w:t>
      </w:r>
      <w:r>
        <w:rPr>
          <w:rFonts w:hint="eastAsia" w:eastAsia="方正仿宋_GBK"/>
          <w:kern w:val="0"/>
          <w:sz w:val="33"/>
          <w:szCs w:val="33"/>
          <w:shd w:val="clear" w:color="auto" w:fill="FFFFFF"/>
        </w:rPr>
        <w:t>4年“三公”经费财政拨款预算数7.20万元，其中：公务接待费预算7.20万元，实际公务接待费0.58万元</w:t>
      </w:r>
      <w:r>
        <w:rPr>
          <w:rFonts w:hint="eastAsia" w:eastAsia="方正仿宋_GBK"/>
          <w:color w:val="000000" w:themeColor="text1"/>
          <w:kern w:val="0"/>
          <w:sz w:val="33"/>
          <w:szCs w:val="33"/>
          <w:shd w:val="clear" w:color="auto" w:fill="FFFFFF"/>
          <w14:textFill>
            <w14:solidFill>
              <w14:schemeClr w14:val="tx1"/>
            </w14:solidFill>
          </w14:textFill>
        </w:rPr>
        <w:t>。主要用于执行公务、考察调研、检查指导等公务活动开支的用餐费和公务用车费用等。单位严格执行三公经费的控制政策。</w:t>
      </w:r>
      <w:r>
        <w:rPr>
          <w:rFonts w:hint="eastAsia" w:eastAsia="方正仿宋_GBK"/>
          <w:b/>
          <w:bCs/>
          <w:color w:val="000000" w:themeColor="text1"/>
          <w:kern w:val="0"/>
          <w:sz w:val="33"/>
          <w:szCs w:val="33"/>
          <w:shd w:val="clear" w:color="auto" w:fill="FFFFFF"/>
          <w14:textFill>
            <w14:solidFill>
              <w14:schemeClr w14:val="tx1"/>
            </w14:solidFill>
          </w14:textFill>
        </w:rPr>
        <w:t>三是严格</w:t>
      </w:r>
      <w:r>
        <w:rPr>
          <w:rFonts w:hint="eastAsia" w:eastAsia="方正仿宋_GBK"/>
          <w:b/>
          <w:bCs/>
          <w:color w:val="000000" w:themeColor="text1"/>
          <w:kern w:val="0"/>
          <w:sz w:val="33"/>
          <w:szCs w:val="33"/>
          <w:shd w:val="clear" w:color="auto" w:fill="FFFFFF"/>
          <w:lang w:val="zh-CN"/>
          <w14:textFill>
            <w14:solidFill>
              <w14:schemeClr w14:val="tx1"/>
            </w14:solidFill>
          </w14:textFill>
        </w:rPr>
        <w:t>支出控制与及时处置。</w:t>
      </w:r>
      <w:r>
        <w:rPr>
          <w:rFonts w:hint="eastAsia" w:eastAsia="方正仿宋_GBK"/>
          <w:color w:val="000000" w:themeColor="text1"/>
          <w:kern w:val="0"/>
          <w:sz w:val="33"/>
          <w:szCs w:val="33"/>
          <w:shd w:val="clear" w:color="auto" w:fill="FFFFFF"/>
          <w:lang w:val="zh-CN"/>
          <w14:textFill>
            <w14:solidFill>
              <w14:schemeClr w14:val="tx1"/>
            </w14:solidFill>
          </w14:textFill>
        </w:rPr>
        <w:t>严格遵守预算约束，对各类支出严格审核，无超预算支出情况。审批流程规范，确保资金流向合理。资金支付及时，无拖延支付影响工作开展的情况，保障供应商及服务提供商权益，维护政府良好信用。</w:t>
      </w:r>
      <w:r>
        <w:rPr>
          <w:rFonts w:hint="eastAsia" w:eastAsia="方正仿宋_GBK"/>
          <w:b/>
          <w:bCs/>
          <w:color w:val="000000" w:themeColor="text1"/>
          <w:kern w:val="0"/>
          <w:sz w:val="33"/>
          <w:szCs w:val="33"/>
          <w:shd w:val="clear" w:color="auto" w:fill="FFFFFF"/>
          <w14:textFill>
            <w14:solidFill>
              <w14:schemeClr w14:val="tx1"/>
            </w14:solidFill>
          </w14:textFill>
        </w:rPr>
        <w:t>四是及时推进</w:t>
      </w:r>
      <w:r>
        <w:rPr>
          <w:rFonts w:hint="eastAsia" w:eastAsia="方正仿宋_GBK"/>
          <w:b/>
          <w:bCs/>
          <w:color w:val="000000" w:themeColor="text1"/>
          <w:kern w:val="0"/>
          <w:sz w:val="33"/>
          <w:szCs w:val="33"/>
          <w:shd w:val="clear" w:color="auto" w:fill="FFFFFF"/>
          <w:lang w:val="zh-CN"/>
          <w14:textFill>
            <w14:solidFill>
              <w14:schemeClr w14:val="tx1"/>
            </w14:solidFill>
          </w14:textFill>
        </w:rPr>
        <w:t>执行进度与预算完成情况。</w:t>
      </w:r>
      <w:r>
        <w:rPr>
          <w:rFonts w:hint="eastAsia" w:eastAsia="方正仿宋_GBK"/>
          <w:color w:val="000000" w:themeColor="text1"/>
          <w:kern w:val="0"/>
          <w:sz w:val="33"/>
          <w:szCs w:val="33"/>
          <w:shd w:val="clear" w:color="auto" w:fill="FFFFFF"/>
          <w:lang w:val="zh-CN"/>
          <w14:textFill>
            <w14:solidFill>
              <w14:schemeClr w14:val="tx1"/>
            </w14:solidFill>
          </w14:textFill>
        </w:rPr>
        <w:t>全年预算执行节奏把控精准，各季度执行进度均衡，未出现前松后紧或集中支付现象。</w:t>
      </w:r>
      <w:r>
        <w:rPr>
          <w:rFonts w:hint="eastAsia" w:eastAsia="方正仿宋_GBK"/>
          <w:color w:val="000000" w:themeColor="text1"/>
          <w:kern w:val="0"/>
          <w:sz w:val="33"/>
          <w:szCs w:val="33"/>
          <w:shd w:val="clear" w:color="auto" w:fill="FFFFFF"/>
          <w14:textFill>
            <w14:solidFill>
              <w14:schemeClr w14:val="tx1"/>
            </w14:solidFill>
          </w14:textFill>
        </w:rPr>
        <w:t>截止2024年12</w:t>
      </w:r>
      <w:r>
        <w:rPr>
          <w:rFonts w:hint="eastAsia" w:eastAsia="方正仿宋_GBK"/>
          <w:color w:val="000000" w:themeColor="text1"/>
          <w:kern w:val="0"/>
          <w:sz w:val="33"/>
          <w:szCs w:val="33"/>
          <w:shd w:val="clear" w:color="auto" w:fill="FFFFFF"/>
          <w:lang w:val="zh-CN"/>
          <w14:textFill>
            <w14:solidFill>
              <w14:schemeClr w14:val="tx1"/>
            </w14:solidFill>
          </w14:textFill>
        </w:rPr>
        <w:t>月31日，当年预算数、财政拨款数和决算支出数均为</w:t>
      </w:r>
      <w:r>
        <w:rPr>
          <w:rFonts w:hint="eastAsia" w:eastAsia="方正仿宋_GBK"/>
          <w:color w:val="000000" w:themeColor="text1"/>
          <w:kern w:val="0"/>
          <w:sz w:val="33"/>
          <w:szCs w:val="33"/>
          <w:shd w:val="clear" w:color="auto" w:fill="FFFFFF"/>
          <w14:textFill>
            <w14:solidFill>
              <w14:schemeClr w14:val="tx1"/>
            </w14:solidFill>
          </w14:textFill>
        </w:rPr>
        <w:t>708.77</w:t>
      </w:r>
      <w:r>
        <w:rPr>
          <w:rFonts w:hint="eastAsia" w:eastAsia="方正仿宋_GBK"/>
          <w:color w:val="000000" w:themeColor="text1"/>
          <w:kern w:val="0"/>
          <w:sz w:val="33"/>
          <w:szCs w:val="33"/>
          <w:shd w:val="clear" w:color="auto" w:fill="FFFFFF"/>
          <w:lang w:val="zh-CN"/>
          <w14:textFill>
            <w14:solidFill>
              <w14:schemeClr w14:val="tx1"/>
            </w14:solidFill>
          </w14:textFill>
        </w:rPr>
        <w:t>万元，预算执行率100%，全面完成预算任务，资金使用效益高。</w:t>
      </w:r>
      <w:r>
        <w:rPr>
          <w:rFonts w:hint="eastAsia" w:eastAsia="方正仿宋_GBK"/>
          <w:b/>
          <w:bCs/>
          <w:color w:val="000000" w:themeColor="text1"/>
          <w:kern w:val="0"/>
          <w:sz w:val="33"/>
          <w:szCs w:val="33"/>
          <w:shd w:val="clear" w:color="auto" w:fill="FFFFFF"/>
          <w14:textFill>
            <w14:solidFill>
              <w14:schemeClr w14:val="tx1"/>
            </w14:solidFill>
          </w14:textFill>
        </w:rPr>
        <w:t>五是无</w:t>
      </w:r>
      <w:r>
        <w:rPr>
          <w:rFonts w:hint="eastAsia" w:eastAsia="方正仿宋_GBK"/>
          <w:b/>
          <w:bCs/>
          <w:color w:val="000000" w:themeColor="text1"/>
          <w:kern w:val="0"/>
          <w:sz w:val="33"/>
          <w:szCs w:val="33"/>
          <w:shd w:val="clear" w:color="auto" w:fill="FFFFFF"/>
          <w:lang w:val="zh-CN"/>
          <w14:textFill>
            <w14:solidFill>
              <w14:schemeClr w14:val="tx1"/>
            </w14:solidFill>
          </w14:textFill>
        </w:rPr>
        <w:t>资金结余率与违规记录。</w:t>
      </w:r>
      <w:r>
        <w:rPr>
          <w:rFonts w:hint="eastAsia" w:eastAsia="方正仿宋_GBK"/>
          <w:color w:val="000000" w:themeColor="text1"/>
          <w:kern w:val="0"/>
          <w:sz w:val="33"/>
          <w:szCs w:val="33"/>
          <w:shd w:val="clear" w:color="auto" w:fill="FFFFFF"/>
          <w:lang w:val="zh-CN"/>
          <w14:textFill>
            <w14:solidFill>
              <w14:schemeClr w14:val="tx1"/>
            </w14:solidFill>
          </w14:textFill>
        </w:rPr>
        <w:t>资金结余率为0%，不存在资金闲置浪费、低效无效情况。经全面审查，无任何违规使用资金记录，财务管理规范，严格遵循财经纪律和财务制度。</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（二）绩效结果应用情况</w:t>
      </w:r>
    </w:p>
    <w:p>
      <w:pPr>
        <w:pStyle w:val="19"/>
        <w:widowControl/>
        <w:shd w:val="clear" w:color="auto" w:fill="FFFFFF"/>
        <w:spacing w:beforeAutospacing="0" w:after="0" w:afterAutospacing="0" w:line="740" w:lineRule="exact"/>
        <w:ind w:firstLine="663" w:firstLineChars="200"/>
        <w:jc w:val="both"/>
        <w:rPr>
          <w:rFonts w:eastAsia="方正仿宋_GBK"/>
          <w:color w:val="000000" w:themeColor="text1"/>
          <w:sz w:val="33"/>
          <w:szCs w:val="33"/>
          <w:shd w:val="clear" w:color="auto" w:fill="FFFFFF"/>
          <w14:textFill>
            <w14:solidFill>
              <w14:schemeClr w14:val="tx1"/>
            </w14:solidFill>
          </w14:textFill>
        </w:rPr>
      </w:pPr>
      <w:r>
        <w:rPr>
          <w:rFonts w:hint="eastAsia" w:eastAsia="方正仿宋_GBK"/>
          <w:b/>
          <w:bCs/>
          <w:color w:val="000000"/>
          <w:sz w:val="33"/>
          <w:szCs w:val="33"/>
          <w:shd w:val="clear" w:color="auto" w:fill="FFFFFF"/>
        </w:rPr>
        <w:t>一是高效保障预算执行</w:t>
      </w:r>
      <w:r>
        <w:rPr>
          <w:rFonts w:hint="eastAsia" w:eastAsia="方正仿宋_GBK"/>
          <w:color w:val="000000" w:themeColor="text1"/>
          <w:sz w:val="33"/>
          <w:szCs w:val="33"/>
          <w:shd w:val="clear" w:color="auto" w:fill="FFFFFF"/>
          <w14:textFill>
            <w14:solidFill>
              <w14:schemeClr w14:val="tx1"/>
            </w14:solidFill>
          </w14:textFill>
        </w:rPr>
        <w:t>。预算资金在我机关内部得到了精准且充分的应用。人员类预算数</w:t>
      </w:r>
      <w:r>
        <w:rPr>
          <w:rFonts w:hint="eastAsia" w:eastAsia="方正仿宋_GBK"/>
          <w:sz w:val="33"/>
          <w:szCs w:val="33"/>
          <w:shd w:val="clear" w:color="auto" w:fill="FFFFFF"/>
        </w:rPr>
        <w:t>530.9</w:t>
      </w:r>
      <w:r>
        <w:rPr>
          <w:rFonts w:hint="eastAsia" w:eastAsia="方正仿宋_GBK"/>
          <w:color w:val="000000" w:themeColor="text1"/>
          <w:sz w:val="33"/>
          <w:szCs w:val="33"/>
          <w:shd w:val="clear" w:color="auto" w:fill="FFFFFF"/>
          <w14:textFill>
            <w14:solidFill>
              <w14:schemeClr w14:val="tx1"/>
            </w14:solidFill>
          </w14:textFill>
        </w:rPr>
        <w:t>9万元，决算支出与之完全匹配 ，保障了工作人员的薪资、福利及相关培训等支出，充分调动了人员的工作积极性与主动性，为人大办各项工作的开展提供了坚实的人力支撑。运转类预算62.47万元，从办公用品采购到办公设备维护，从水电费缴纳到日常办公差旅，每一项支出都精准对应办公运转需求，确保机关日常运行有条不紊。特定目标类预算115.31万元则专款专用，针对人大代表调研、专项立法研究等特定任务，使得这些重要工作得以顺利开展，有效发挥人大办的职能作用，实现了预算资金效益的最大化。</w:t>
      </w:r>
      <w:r>
        <w:rPr>
          <w:rFonts w:hint="eastAsia" w:eastAsia="方正仿宋_GBK"/>
          <w:b/>
          <w:bCs/>
          <w:color w:val="000000"/>
          <w:sz w:val="33"/>
          <w:szCs w:val="33"/>
          <w:shd w:val="clear" w:color="auto" w:fill="FFFFFF"/>
        </w:rPr>
        <w:t>二是强化绩效评价结果反馈整改机制。</w:t>
      </w:r>
      <w:r>
        <w:rPr>
          <w:rFonts w:hint="eastAsia" w:eastAsia="方正仿宋_GBK"/>
          <w:color w:val="000000" w:themeColor="text1"/>
          <w:sz w:val="33"/>
          <w:szCs w:val="33"/>
          <w:shd w:val="clear" w:color="auto" w:fill="FFFFFF"/>
          <w14:textFill>
            <w14:solidFill>
              <w14:schemeClr w14:val="tx1"/>
            </w14:solidFill>
          </w14:textFill>
        </w:rPr>
        <w:t>每季度召开区人大机关党组会，会中及时汇报预算执行进度，将评价结果与预算安排相结合，提高财政资金使用效率。</w:t>
      </w:r>
      <w:r>
        <w:rPr>
          <w:rFonts w:hint="eastAsia" w:eastAsia="方正仿宋_GBK"/>
          <w:b/>
          <w:bCs/>
          <w:color w:val="000000" w:themeColor="text1"/>
          <w:sz w:val="33"/>
          <w:szCs w:val="33"/>
          <w:shd w:val="clear" w:color="auto" w:fill="FFFFFF"/>
          <w14:textFill>
            <w14:solidFill>
              <w14:schemeClr w14:val="tx1"/>
            </w14:solidFill>
          </w14:textFill>
        </w:rPr>
        <w:t>三是</w:t>
      </w:r>
      <w:r>
        <w:rPr>
          <w:rFonts w:hint="eastAsia" w:eastAsia="方正仿宋_GBK"/>
          <w:color w:val="000000" w:themeColor="text1"/>
          <w:sz w:val="33"/>
          <w:szCs w:val="33"/>
          <w:shd w:val="clear" w:color="auto" w:fill="FFFFFF"/>
          <w14:textFill>
            <w14:solidFill>
              <w14:schemeClr w14:val="tx1"/>
            </w14:solidFill>
          </w14:textFill>
        </w:rPr>
        <w:t>做实评价阶段结果应用。通过对预算执行情况的紧密跟踪与深入分析，我机关在本年度尚未发现明显的预算执行问题。这得益于前期科学合理的预算编制，对各类支出的精准预估，以及执行过程中的严格把控。即便如此，我机关依然保持高度的警惕性，建立了完善的问题发现与反馈机制，定期开展内部审查与反思，积极收集工作人员与服务对象的意见建议，防患于未然，为后续预算管理工作的持续优化奠定基础。</w:t>
      </w:r>
      <w:r>
        <w:rPr>
          <w:rFonts w:hint="eastAsia" w:eastAsia="方正仿宋_GBK"/>
          <w:b/>
          <w:bCs/>
          <w:color w:val="000000" w:themeColor="text1"/>
          <w:sz w:val="33"/>
          <w:szCs w:val="33"/>
          <w:shd w:val="clear" w:color="auto" w:fill="FFFFFF"/>
          <w14:textFill>
            <w14:solidFill>
              <w14:schemeClr w14:val="tx1"/>
            </w14:solidFill>
          </w14:textFill>
        </w:rPr>
        <w:t>四是</w:t>
      </w:r>
      <w:r>
        <w:rPr>
          <w:rFonts w:hint="eastAsia" w:eastAsia="方正仿宋_GBK"/>
          <w:color w:val="000000" w:themeColor="text1"/>
          <w:sz w:val="33"/>
          <w:szCs w:val="33"/>
          <w:shd w:val="clear" w:color="auto" w:fill="FFFFFF"/>
          <w14:textFill>
            <w14:solidFill>
              <w14:schemeClr w14:val="tx1"/>
            </w14:solidFill>
          </w14:textFill>
        </w:rPr>
        <w:t>在预算执行的全流程中，我机关广泛收集应用反馈。工作人员从自身工作实际出发，反馈预算资金在保障工作开展过程中的优势与不足，例如在人员培训资金使用方面，反馈培训内容与工作实际需求的契合度。完善了办公流程和管理制度，强化资金的合理分配和利用，整体提高了工作质效。</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（三）绩效自评质量</w:t>
      </w:r>
    </w:p>
    <w:p>
      <w:pPr>
        <w:widowControl/>
        <w:adjustRightInd w:val="0"/>
        <w:snapToGrid w:val="0"/>
        <w:spacing w:line="740" w:lineRule="exact"/>
        <w:ind w:firstLine="660" w:firstLineChars="200"/>
        <w:rPr>
          <w:rFonts w:eastAsia="方正仿宋_GBK"/>
          <w:color w:val="000000"/>
          <w:kern w:val="0"/>
          <w:sz w:val="33"/>
          <w:szCs w:val="33"/>
          <w:shd w:val="clear" w:color="auto" w:fill="FFFFFF"/>
        </w:rPr>
      </w:pPr>
      <w:r>
        <w:rPr>
          <w:rFonts w:hint="eastAsia" w:eastAsia="方正仿宋_GBK"/>
          <w:color w:val="000000" w:themeColor="text1"/>
          <w:kern w:val="0"/>
          <w:sz w:val="33"/>
          <w:szCs w:val="33"/>
          <w:shd w:val="clear" w:color="auto" w:fill="FFFFFF"/>
          <w:lang w:val="zh-CN"/>
          <w14:textFill>
            <w14:solidFill>
              <w14:schemeClr w14:val="tx1"/>
            </w14:solidFill>
          </w14:textFill>
        </w:rPr>
        <w:t>202</w:t>
      </w:r>
      <w:r>
        <w:rPr>
          <w:rFonts w:hint="eastAsia" w:eastAsia="方正仿宋_GBK"/>
          <w:color w:val="000000" w:themeColor="text1"/>
          <w:kern w:val="0"/>
          <w:sz w:val="33"/>
          <w:szCs w:val="33"/>
          <w:shd w:val="clear" w:color="auto" w:fill="FFFFFF"/>
          <w14:textFill>
            <w14:solidFill>
              <w14:schemeClr w14:val="tx1"/>
            </w14:solidFill>
          </w14:textFill>
        </w:rPr>
        <w:t>4</w:t>
      </w:r>
      <w:r>
        <w:rPr>
          <w:rFonts w:hint="eastAsia" w:eastAsia="方正仿宋_GBK"/>
          <w:color w:val="000000" w:themeColor="text1"/>
          <w:kern w:val="0"/>
          <w:sz w:val="33"/>
          <w:szCs w:val="33"/>
          <w:shd w:val="clear" w:color="auto" w:fill="FFFFFF"/>
          <w:lang w:val="zh-CN"/>
          <w14:textFill>
            <w14:solidFill>
              <w14:schemeClr w14:val="tx1"/>
            </w14:solidFill>
          </w14:textFill>
        </w:rPr>
        <w:t>年东区人大办部门整体预算（人员类、运转类和特定目标类）资金支出符合国家财经法规和财务管理制度以及有关专项资金管理办法的规定，资金的拨付有完整的审批过程和手续，资金管理更加细化，在报销接待费、差旅费、培训费等时使用现金</w:t>
      </w:r>
      <w:r>
        <w:rPr>
          <w:rFonts w:hint="eastAsia" w:eastAsia="方正仿宋_GBK"/>
          <w:kern w:val="0"/>
          <w:sz w:val="33"/>
          <w:szCs w:val="33"/>
          <w:shd w:val="clear" w:color="auto" w:fill="FFFFFF"/>
          <w:lang w:val="zh-CN"/>
        </w:rPr>
        <w:t>结算较少，公务卡使用率比较高。特别是，202</w:t>
      </w:r>
      <w:r>
        <w:rPr>
          <w:rFonts w:hint="eastAsia" w:eastAsia="方正仿宋_GBK"/>
          <w:kern w:val="0"/>
          <w:sz w:val="33"/>
          <w:szCs w:val="33"/>
          <w:shd w:val="clear" w:color="auto" w:fill="FFFFFF"/>
        </w:rPr>
        <w:t>4</w:t>
      </w:r>
      <w:r>
        <w:rPr>
          <w:rFonts w:hint="eastAsia" w:eastAsia="方正仿宋_GBK"/>
          <w:kern w:val="0"/>
          <w:sz w:val="33"/>
          <w:szCs w:val="33"/>
          <w:shd w:val="clear" w:color="auto" w:fill="FFFFFF"/>
          <w:lang w:val="zh-CN"/>
        </w:rPr>
        <w:t>年预算安排区人大办项目资金共</w:t>
      </w:r>
      <w:r>
        <w:rPr>
          <w:rFonts w:hint="eastAsia" w:eastAsia="方正仿宋_GBK"/>
          <w:kern w:val="0"/>
          <w:sz w:val="33"/>
          <w:szCs w:val="33"/>
          <w:shd w:val="clear" w:color="auto" w:fill="FFFFFF"/>
        </w:rPr>
        <w:t>115.31</w:t>
      </w:r>
      <w:r>
        <w:rPr>
          <w:rFonts w:hint="eastAsia" w:eastAsia="方正仿宋_GBK"/>
          <w:kern w:val="0"/>
          <w:sz w:val="33"/>
          <w:szCs w:val="33"/>
          <w:shd w:val="clear" w:color="auto" w:fill="FFFFFF"/>
          <w:lang w:val="zh-CN"/>
        </w:rPr>
        <w:t>万元，主要包括：1、预算联网监督经费</w:t>
      </w:r>
      <w:r>
        <w:rPr>
          <w:rFonts w:hint="eastAsia" w:eastAsia="方正仿宋_GBK"/>
          <w:kern w:val="0"/>
          <w:sz w:val="33"/>
          <w:szCs w:val="33"/>
          <w:shd w:val="clear" w:color="auto" w:fill="FFFFFF"/>
        </w:rPr>
        <w:t>1.52</w:t>
      </w:r>
      <w:r>
        <w:rPr>
          <w:rFonts w:hint="eastAsia" w:eastAsia="方正仿宋_GBK"/>
          <w:kern w:val="0"/>
          <w:sz w:val="33"/>
          <w:szCs w:val="33"/>
          <w:shd w:val="clear" w:color="auto" w:fill="FFFFFF"/>
          <w:lang w:val="zh-CN"/>
        </w:rPr>
        <w:t>万元；2、十二届人大</w:t>
      </w:r>
      <w:r>
        <w:rPr>
          <w:rFonts w:hint="eastAsia" w:eastAsia="方正仿宋_GBK"/>
          <w:kern w:val="0"/>
          <w:sz w:val="33"/>
          <w:szCs w:val="33"/>
          <w:shd w:val="clear" w:color="auto" w:fill="FFFFFF"/>
        </w:rPr>
        <w:t>四</w:t>
      </w:r>
      <w:r>
        <w:rPr>
          <w:rFonts w:hint="eastAsia" w:eastAsia="方正仿宋_GBK"/>
          <w:kern w:val="0"/>
          <w:sz w:val="33"/>
          <w:szCs w:val="33"/>
          <w:shd w:val="clear" w:color="auto" w:fill="FFFFFF"/>
          <w:lang w:val="zh-CN"/>
        </w:rPr>
        <w:t>次会会议费</w:t>
      </w:r>
      <w:r>
        <w:rPr>
          <w:rFonts w:hint="eastAsia" w:eastAsia="方正仿宋_GBK"/>
          <w:kern w:val="0"/>
          <w:sz w:val="33"/>
          <w:szCs w:val="33"/>
          <w:shd w:val="clear" w:color="auto" w:fill="FFFFFF"/>
        </w:rPr>
        <w:t>26.07</w:t>
      </w:r>
      <w:r>
        <w:rPr>
          <w:rFonts w:hint="eastAsia" w:eastAsia="方正仿宋_GBK"/>
          <w:kern w:val="0"/>
          <w:sz w:val="33"/>
          <w:szCs w:val="33"/>
          <w:shd w:val="clear" w:color="auto" w:fill="FFFFFF"/>
          <w:lang w:val="zh-CN"/>
        </w:rPr>
        <w:t>万元；3、人大代表活动费23.</w:t>
      </w:r>
      <w:r>
        <w:rPr>
          <w:rFonts w:hint="eastAsia" w:eastAsia="方正仿宋_GBK"/>
          <w:kern w:val="0"/>
          <w:sz w:val="33"/>
          <w:szCs w:val="33"/>
          <w:shd w:val="clear" w:color="auto" w:fill="FFFFFF"/>
        </w:rPr>
        <w:t>21</w:t>
      </w:r>
      <w:r>
        <w:rPr>
          <w:rFonts w:hint="eastAsia" w:eastAsia="方正仿宋_GBK"/>
          <w:kern w:val="0"/>
          <w:sz w:val="33"/>
          <w:szCs w:val="33"/>
          <w:shd w:val="clear" w:color="auto" w:fill="FFFFFF"/>
          <w:lang w:val="zh-CN"/>
        </w:rPr>
        <w:t>万元</w:t>
      </w:r>
      <w:r>
        <w:rPr>
          <w:rFonts w:hint="eastAsia" w:eastAsia="方正仿宋_GBK"/>
          <w:kern w:val="0"/>
          <w:sz w:val="33"/>
          <w:szCs w:val="33"/>
          <w:shd w:val="clear" w:color="auto" w:fill="FFFFFF"/>
        </w:rPr>
        <w:t xml:space="preserve"> </w:t>
      </w:r>
      <w:r>
        <w:rPr>
          <w:rFonts w:hint="eastAsia" w:eastAsia="方正仿宋_GBK"/>
          <w:kern w:val="0"/>
          <w:sz w:val="33"/>
          <w:szCs w:val="33"/>
          <w:shd w:val="clear" w:color="auto" w:fill="FFFFFF"/>
          <w:lang w:val="zh-CN"/>
        </w:rPr>
        <w:t>；4、专项工作经费</w:t>
      </w:r>
      <w:r>
        <w:rPr>
          <w:rFonts w:hint="eastAsia" w:eastAsia="方正仿宋_GBK"/>
          <w:kern w:val="0"/>
          <w:sz w:val="33"/>
          <w:szCs w:val="33"/>
          <w:shd w:val="clear" w:color="auto" w:fill="FFFFFF"/>
        </w:rPr>
        <w:t>3.85</w:t>
      </w:r>
      <w:r>
        <w:rPr>
          <w:rFonts w:hint="eastAsia" w:eastAsia="方正仿宋_GBK"/>
          <w:kern w:val="0"/>
          <w:sz w:val="33"/>
          <w:szCs w:val="33"/>
          <w:shd w:val="clear" w:color="auto" w:fill="FFFFFF"/>
          <w:lang w:val="zh-CN"/>
        </w:rPr>
        <w:t>万元；</w:t>
      </w:r>
      <w:r>
        <w:rPr>
          <w:rFonts w:hint="eastAsia" w:eastAsia="方正仿宋_GBK"/>
          <w:kern w:val="0"/>
          <w:sz w:val="33"/>
          <w:szCs w:val="33"/>
          <w:shd w:val="clear" w:color="auto" w:fill="FFFFFF"/>
        </w:rPr>
        <w:t>5</w:t>
      </w:r>
      <w:r>
        <w:rPr>
          <w:rFonts w:hint="eastAsia" w:eastAsia="方正仿宋_GBK"/>
          <w:kern w:val="0"/>
          <w:sz w:val="33"/>
          <w:szCs w:val="33"/>
          <w:shd w:val="clear" w:color="auto" w:fill="FFFFFF"/>
          <w:lang w:val="zh-CN"/>
        </w:rPr>
        <w:t>、区十二届人大代表培训费</w:t>
      </w:r>
      <w:r>
        <w:rPr>
          <w:rFonts w:hint="eastAsia" w:eastAsia="方正仿宋_GBK"/>
          <w:kern w:val="0"/>
          <w:sz w:val="33"/>
          <w:szCs w:val="33"/>
          <w:shd w:val="clear" w:color="auto" w:fill="FFFFFF"/>
        </w:rPr>
        <w:t>25.07</w:t>
      </w:r>
      <w:r>
        <w:rPr>
          <w:rFonts w:hint="eastAsia" w:eastAsia="方正仿宋_GBK"/>
          <w:kern w:val="0"/>
          <w:sz w:val="33"/>
          <w:szCs w:val="33"/>
          <w:shd w:val="clear" w:color="auto" w:fill="FFFFFF"/>
          <w:lang w:val="zh-CN"/>
        </w:rPr>
        <w:t>万元；</w:t>
      </w:r>
      <w:r>
        <w:rPr>
          <w:rFonts w:hint="eastAsia" w:eastAsia="方正仿宋_GBK"/>
          <w:kern w:val="0"/>
          <w:sz w:val="33"/>
          <w:szCs w:val="33"/>
          <w:shd w:val="clear" w:color="auto" w:fill="FFFFFF"/>
        </w:rPr>
        <w:t>6</w:t>
      </w:r>
      <w:r>
        <w:rPr>
          <w:rFonts w:hint="eastAsia" w:eastAsia="方正仿宋_GBK"/>
          <w:kern w:val="0"/>
          <w:sz w:val="33"/>
          <w:szCs w:val="33"/>
          <w:shd w:val="clear" w:color="auto" w:fill="FFFFFF"/>
          <w:lang w:val="zh-CN"/>
        </w:rPr>
        <w:t>、代表“家、站”建设及运行费</w:t>
      </w:r>
      <w:r>
        <w:rPr>
          <w:rFonts w:hint="eastAsia" w:eastAsia="方正仿宋_GBK"/>
          <w:kern w:val="0"/>
          <w:sz w:val="33"/>
          <w:szCs w:val="33"/>
          <w:shd w:val="clear" w:color="auto" w:fill="FFFFFF"/>
        </w:rPr>
        <w:t>15.50</w:t>
      </w:r>
      <w:r>
        <w:rPr>
          <w:rFonts w:hint="eastAsia" w:eastAsia="方正仿宋_GBK"/>
          <w:kern w:val="0"/>
          <w:sz w:val="33"/>
          <w:szCs w:val="33"/>
          <w:shd w:val="clear" w:color="auto" w:fill="FFFFFF"/>
          <w:lang w:val="zh-CN"/>
        </w:rPr>
        <w:t>万元；</w:t>
      </w:r>
      <w:r>
        <w:rPr>
          <w:rFonts w:hint="eastAsia" w:eastAsia="方正仿宋_GBK"/>
          <w:kern w:val="0"/>
          <w:sz w:val="33"/>
          <w:szCs w:val="33"/>
          <w:shd w:val="clear" w:color="auto" w:fill="FFFFFF"/>
        </w:rPr>
        <w:t>7</w:t>
      </w:r>
      <w:r>
        <w:rPr>
          <w:rFonts w:hint="eastAsia" w:eastAsia="方正仿宋_GBK"/>
          <w:kern w:val="0"/>
          <w:sz w:val="33"/>
          <w:szCs w:val="33"/>
          <w:shd w:val="clear" w:color="auto" w:fill="FFFFFF"/>
          <w:lang w:val="zh-CN"/>
        </w:rPr>
        <w:t>、</w:t>
      </w:r>
      <w:r>
        <w:rPr>
          <w:rFonts w:hint="eastAsia" w:eastAsia="方正仿宋_GBK"/>
          <w:kern w:val="0"/>
          <w:sz w:val="33"/>
          <w:szCs w:val="33"/>
          <w:shd w:val="clear" w:color="auto" w:fill="FFFFFF"/>
        </w:rPr>
        <w:t>食堂补助经费4.24</w:t>
      </w:r>
      <w:r>
        <w:rPr>
          <w:rFonts w:hint="eastAsia" w:eastAsia="方正仿宋_GBK"/>
          <w:kern w:val="0"/>
          <w:sz w:val="33"/>
          <w:szCs w:val="33"/>
          <w:shd w:val="clear" w:color="auto" w:fill="FFFFFF"/>
          <w:lang w:val="zh-CN"/>
        </w:rPr>
        <w:t>万元；</w:t>
      </w:r>
      <w:r>
        <w:rPr>
          <w:rFonts w:hint="eastAsia" w:eastAsia="方正仿宋_GBK"/>
          <w:kern w:val="0"/>
          <w:sz w:val="33"/>
          <w:szCs w:val="33"/>
          <w:shd w:val="clear" w:color="auto" w:fill="FFFFFF"/>
        </w:rPr>
        <w:t>8、人大代表“家、站”工作经费（上级）11.35万元；9、人大基层委员联络站0.5万元；10、东区办公楼应急搬迁费4万元。</w:t>
      </w:r>
      <w:r>
        <w:rPr>
          <w:rFonts w:hint="eastAsia" w:eastAsia="方正仿宋_GBK"/>
          <w:kern w:val="0"/>
          <w:sz w:val="33"/>
          <w:szCs w:val="33"/>
          <w:shd w:val="clear" w:color="auto" w:fill="FFFFFF"/>
          <w:lang w:val="zh-CN"/>
        </w:rPr>
        <w:t>年度项目资金支出</w:t>
      </w:r>
      <w:r>
        <w:rPr>
          <w:rFonts w:hint="eastAsia" w:eastAsia="方正仿宋_GBK"/>
          <w:kern w:val="0"/>
          <w:sz w:val="33"/>
          <w:szCs w:val="33"/>
          <w:shd w:val="clear" w:color="auto" w:fill="FFFFFF"/>
        </w:rPr>
        <w:t>115.31</w:t>
      </w:r>
      <w:r>
        <w:rPr>
          <w:rFonts w:hint="eastAsia" w:eastAsia="方正仿宋_GBK"/>
          <w:kern w:val="0"/>
          <w:sz w:val="33"/>
          <w:szCs w:val="33"/>
          <w:shd w:val="clear" w:color="auto" w:fill="FFFFFF"/>
          <w:lang w:val="zh-CN"/>
        </w:rPr>
        <w:t>万元，以上项目基本完成年初目标任务，资金执行情况按计划推进，达到年初预期效果，取得了较好的社会效益。满意度指标达</w:t>
      </w:r>
      <w:r>
        <w:rPr>
          <w:rFonts w:hint="eastAsia" w:eastAsia="方正仿宋_GBK"/>
          <w:color w:val="000000" w:themeColor="text1"/>
          <w:kern w:val="0"/>
          <w:sz w:val="33"/>
          <w:szCs w:val="33"/>
          <w:shd w:val="clear" w:color="auto" w:fill="FFFFFF"/>
          <w:lang w:val="zh-CN"/>
          <w14:textFill>
            <w14:solidFill>
              <w14:schemeClr w14:val="tx1"/>
            </w14:solidFill>
          </w14:textFill>
        </w:rPr>
        <w:t>到了预期目标。</w:t>
      </w:r>
    </w:p>
    <w:p>
      <w:pPr>
        <w:widowControl/>
        <w:adjustRightInd w:val="0"/>
        <w:snapToGrid w:val="0"/>
        <w:spacing w:line="740" w:lineRule="exact"/>
        <w:ind w:firstLine="660" w:firstLineChars="200"/>
        <w:contextualSpacing/>
        <w:jc w:val="left"/>
        <w:rPr>
          <w:rFonts w:ascii="方正黑体_GBK" w:eastAsia="方正黑体_GBK"/>
          <w:color w:val="000000"/>
          <w:kern w:val="0"/>
          <w:sz w:val="33"/>
          <w:szCs w:val="33"/>
          <w:shd w:val="clear" w:color="auto" w:fill="FFFFFF"/>
          <w:lang w:val="zh-CN"/>
        </w:rPr>
      </w:pPr>
      <w:r>
        <w:rPr>
          <w:rFonts w:ascii="方正黑体_GBK" w:eastAsia="方正黑体_GBK"/>
          <w:color w:val="000000"/>
          <w:kern w:val="0"/>
          <w:sz w:val="33"/>
          <w:szCs w:val="33"/>
          <w:shd w:val="clear" w:color="auto" w:fill="FFFFFF"/>
          <w:lang w:val="zh-CN"/>
        </w:rPr>
        <w:t>四、评价结论及建议</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（一）评价结论</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rPr>
      </w:pPr>
      <w:r>
        <w:rPr>
          <w:rFonts w:hint="eastAsia" w:eastAsia="方正仿宋_GBK"/>
          <w:color w:val="000000"/>
          <w:kern w:val="0"/>
          <w:sz w:val="33"/>
          <w:szCs w:val="33"/>
          <w:shd w:val="clear" w:color="auto" w:fill="FFFFFF"/>
        </w:rPr>
        <w:t>1.我机关在2024年度绩效表现良好，预算管理与执行工作出色。未来将继续保持，优化资金配置，提升工作效能，为全区高质量发展贡献人大力量。</w:t>
      </w:r>
    </w:p>
    <w:p>
      <w:pPr>
        <w:widowControl/>
        <w:adjustRightInd w:val="0"/>
        <w:snapToGrid w:val="0"/>
        <w:spacing w:line="740" w:lineRule="exact"/>
        <w:ind w:firstLine="660" w:firstLineChars="200"/>
        <w:contextualSpacing/>
        <w:jc w:val="left"/>
        <w:rPr>
          <w:rFonts w:eastAsia="方正仿宋_GBK"/>
          <w:color w:val="000000"/>
          <w:kern w:val="0"/>
          <w:sz w:val="33"/>
          <w:szCs w:val="33"/>
          <w:shd w:val="clear" w:color="auto" w:fill="FFFFFF"/>
        </w:rPr>
      </w:pPr>
      <w:r>
        <w:rPr>
          <w:rFonts w:hint="eastAsia" w:eastAsia="方正仿宋_GBK"/>
          <w:color w:val="000000"/>
          <w:kern w:val="0"/>
          <w:sz w:val="33"/>
          <w:szCs w:val="33"/>
          <w:shd w:val="clear" w:color="auto" w:fill="FFFFFF"/>
        </w:rPr>
        <w:t>2.2024年我机关通过高效的内部应用、透明的自评公开、积极的问题整改和重视应用反馈，不断提升预算管理水平。</w:t>
      </w:r>
    </w:p>
    <w:p>
      <w:pPr>
        <w:widowControl/>
        <w:adjustRightInd w:val="0"/>
        <w:snapToGrid w:val="0"/>
        <w:spacing w:line="740" w:lineRule="exact"/>
        <w:ind w:firstLine="660" w:firstLineChars="200"/>
        <w:contextualSpacing/>
        <w:jc w:val="left"/>
        <w:rPr>
          <w:rFonts w:hint="eastAsia" w:ascii="楷体_GB2312" w:hAnsi="楷体_GB2312" w:eastAsia="楷体_GB2312" w:cs="楷体_GB2312"/>
          <w:color w:val="000000"/>
          <w:kern w:val="0"/>
          <w:sz w:val="33"/>
          <w:szCs w:val="33"/>
          <w:shd w:val="clear" w:color="auto" w:fill="FFFFFF"/>
          <w:lang w:val="zh-CN"/>
        </w:rPr>
      </w:pPr>
      <w:r>
        <w:rPr>
          <w:rFonts w:eastAsia="方正仿宋_GBK"/>
          <w:color w:val="000000"/>
          <w:kern w:val="0"/>
          <w:sz w:val="33"/>
          <w:szCs w:val="33"/>
          <w:shd w:val="clear" w:color="auto" w:fill="FFFFFF"/>
        </w:rPr>
        <w:t>3.</w:t>
      </w:r>
      <w:r>
        <w:rPr>
          <w:rFonts w:hint="eastAsia" w:eastAsia="方正仿宋_GBK"/>
          <w:color w:val="000000"/>
          <w:kern w:val="0"/>
          <w:sz w:val="33"/>
          <w:szCs w:val="33"/>
          <w:shd w:val="clear" w:color="auto" w:fill="FFFFFF"/>
        </w:rPr>
        <w:t>自我评价得分：部门预算项目绩效管理</w:t>
      </w:r>
      <w:r>
        <w:rPr>
          <w:rFonts w:eastAsia="方正仿宋_GBK"/>
          <w:color w:val="000000"/>
          <w:kern w:val="0"/>
          <w:sz w:val="33"/>
          <w:szCs w:val="33"/>
          <w:shd w:val="clear" w:color="auto" w:fill="FFFFFF"/>
        </w:rPr>
        <w:t>40</w:t>
      </w:r>
      <w:r>
        <w:rPr>
          <w:rFonts w:hint="eastAsia" w:eastAsia="方正仿宋_GBK"/>
          <w:color w:val="000000"/>
          <w:kern w:val="0"/>
          <w:sz w:val="33"/>
          <w:szCs w:val="33"/>
          <w:shd w:val="clear" w:color="auto" w:fill="FFFFFF"/>
        </w:rPr>
        <w:t>分，专项预算项目绩效管理</w:t>
      </w:r>
      <w:r>
        <w:rPr>
          <w:rFonts w:eastAsia="方正仿宋_GBK"/>
          <w:color w:val="000000"/>
          <w:kern w:val="0"/>
          <w:sz w:val="33"/>
          <w:szCs w:val="33"/>
          <w:shd w:val="clear" w:color="auto" w:fill="FFFFFF"/>
        </w:rPr>
        <w:t>40</w:t>
      </w:r>
      <w:r>
        <w:rPr>
          <w:rFonts w:hint="eastAsia" w:eastAsia="方正仿宋_GBK"/>
          <w:color w:val="000000"/>
          <w:kern w:val="0"/>
          <w:sz w:val="33"/>
          <w:szCs w:val="33"/>
          <w:shd w:val="clear" w:color="auto" w:fill="FFFFFF"/>
        </w:rPr>
        <w:t>分，绩效结果应用</w:t>
      </w:r>
      <w:r>
        <w:rPr>
          <w:rFonts w:eastAsia="方正仿宋_GBK"/>
          <w:color w:val="000000"/>
          <w:kern w:val="0"/>
          <w:sz w:val="33"/>
          <w:szCs w:val="33"/>
          <w:shd w:val="clear" w:color="auto" w:fill="FFFFFF"/>
        </w:rPr>
        <w:t>10</w:t>
      </w:r>
      <w:r>
        <w:rPr>
          <w:rFonts w:hint="eastAsia" w:eastAsia="方正仿宋_GBK"/>
          <w:color w:val="000000"/>
          <w:kern w:val="0"/>
          <w:sz w:val="33"/>
          <w:szCs w:val="33"/>
          <w:shd w:val="clear" w:color="auto" w:fill="FFFFFF"/>
        </w:rPr>
        <w:t>分，自评质量</w:t>
      </w:r>
      <w:r>
        <w:rPr>
          <w:rFonts w:eastAsia="方正仿宋_GBK"/>
          <w:color w:val="000000"/>
          <w:kern w:val="0"/>
          <w:sz w:val="33"/>
          <w:szCs w:val="33"/>
          <w:shd w:val="clear" w:color="auto" w:fill="FFFFFF"/>
        </w:rPr>
        <w:t>10</w:t>
      </w:r>
      <w:r>
        <w:rPr>
          <w:rFonts w:hint="eastAsia" w:eastAsia="方正仿宋_GBK"/>
          <w:color w:val="000000"/>
          <w:kern w:val="0"/>
          <w:sz w:val="33"/>
          <w:szCs w:val="33"/>
          <w:shd w:val="clear" w:color="auto" w:fill="FFFFFF"/>
        </w:rPr>
        <w:t>分，合计</w:t>
      </w:r>
      <w:r>
        <w:rPr>
          <w:rFonts w:eastAsia="方正仿宋_GBK"/>
          <w:color w:val="000000"/>
          <w:kern w:val="0"/>
          <w:sz w:val="33"/>
          <w:szCs w:val="33"/>
          <w:shd w:val="clear" w:color="auto" w:fill="FFFFFF"/>
        </w:rPr>
        <w:t>100</w:t>
      </w:r>
      <w:r>
        <w:rPr>
          <w:rFonts w:hint="eastAsia" w:eastAsia="方正仿宋_GBK"/>
          <w:color w:val="000000"/>
          <w:kern w:val="0"/>
          <w:sz w:val="33"/>
          <w:szCs w:val="33"/>
          <w:shd w:val="clear" w:color="auto" w:fill="FFFFFF"/>
        </w:rPr>
        <w:t>分。</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（二）存在问题</w:t>
      </w:r>
    </w:p>
    <w:p>
      <w:pPr>
        <w:widowControl/>
        <w:adjustRightInd w:val="0"/>
        <w:snapToGrid w:val="0"/>
        <w:spacing w:line="740" w:lineRule="exact"/>
        <w:ind w:firstLine="660" w:firstLineChars="200"/>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rPr>
        <w:t>1.</w:t>
      </w:r>
      <w:r>
        <w:rPr>
          <w:rFonts w:hint="eastAsia" w:eastAsia="方正仿宋_GBK"/>
          <w:color w:val="000000"/>
          <w:kern w:val="0"/>
          <w:sz w:val="33"/>
          <w:szCs w:val="33"/>
          <w:shd w:val="clear" w:color="auto" w:fill="FFFFFF"/>
          <w:lang w:val="zh-CN"/>
        </w:rPr>
        <w:t>部门</w:t>
      </w:r>
      <w:r>
        <w:rPr>
          <w:rFonts w:hint="eastAsia" w:eastAsia="方正仿宋_GBK"/>
          <w:color w:val="000000"/>
          <w:kern w:val="0"/>
          <w:sz w:val="33"/>
          <w:szCs w:val="33"/>
          <w:shd w:val="clear" w:color="auto" w:fill="FFFFFF"/>
        </w:rPr>
        <w:t>项目资金支付进度滞后</w:t>
      </w:r>
      <w:r>
        <w:rPr>
          <w:rFonts w:hint="eastAsia" w:eastAsia="方正仿宋_GBK"/>
          <w:color w:val="000000"/>
          <w:kern w:val="0"/>
          <w:sz w:val="33"/>
          <w:szCs w:val="33"/>
          <w:shd w:val="clear" w:color="auto" w:fill="FFFFFF"/>
          <w:lang w:val="zh-CN"/>
        </w:rPr>
        <w:t>。</w:t>
      </w:r>
    </w:p>
    <w:p>
      <w:pPr>
        <w:widowControl/>
        <w:adjustRightInd w:val="0"/>
        <w:snapToGrid w:val="0"/>
        <w:spacing w:line="740" w:lineRule="exact"/>
        <w:ind w:firstLine="720"/>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rPr>
        <w:t>2.</w:t>
      </w:r>
      <w:r>
        <w:rPr>
          <w:rFonts w:hint="eastAsia" w:eastAsia="方正仿宋_GBK"/>
          <w:color w:val="000000"/>
          <w:kern w:val="0"/>
          <w:sz w:val="33"/>
          <w:szCs w:val="33"/>
          <w:shd w:val="clear" w:color="auto" w:fill="FFFFFF"/>
          <w:lang w:val="zh-CN"/>
        </w:rPr>
        <w:t>管理措施不够到位。预算编制和执行</w:t>
      </w:r>
      <w:r>
        <w:rPr>
          <w:rFonts w:hint="eastAsia" w:eastAsia="方正仿宋_GBK"/>
          <w:color w:val="000000"/>
          <w:kern w:val="0"/>
          <w:sz w:val="33"/>
          <w:szCs w:val="33"/>
          <w:shd w:val="clear" w:color="auto" w:fill="FFFFFF"/>
        </w:rPr>
        <w:t>进度</w:t>
      </w:r>
      <w:r>
        <w:rPr>
          <w:rFonts w:hint="eastAsia" w:eastAsia="方正仿宋_GBK"/>
          <w:color w:val="000000"/>
          <w:kern w:val="0"/>
          <w:sz w:val="33"/>
          <w:szCs w:val="33"/>
          <w:shd w:val="clear" w:color="auto" w:fill="FFFFFF"/>
          <w:lang w:val="zh-CN"/>
        </w:rPr>
        <w:t>存在差异，</w:t>
      </w:r>
      <w:r>
        <w:rPr>
          <w:rFonts w:hint="eastAsia" w:eastAsia="方正仿宋_GBK"/>
          <w:color w:val="000000"/>
          <w:kern w:val="0"/>
          <w:sz w:val="33"/>
          <w:szCs w:val="33"/>
          <w:shd w:val="clear" w:color="auto" w:fill="FFFFFF"/>
        </w:rPr>
        <w:t>由于严格执行“三公”经费管理制度，导致</w:t>
      </w:r>
      <w:r>
        <w:rPr>
          <w:rFonts w:hint="eastAsia" w:eastAsia="方正仿宋_GBK"/>
          <w:color w:val="000000"/>
          <w:kern w:val="0"/>
          <w:sz w:val="33"/>
          <w:szCs w:val="33"/>
          <w:shd w:val="clear" w:color="auto" w:fill="FFFFFF"/>
          <w:lang w:val="zh-CN"/>
        </w:rPr>
        <w:t>部分项目预算没有执行完，部分项目预算调整幅度较大。</w:t>
      </w:r>
    </w:p>
    <w:p>
      <w:pPr>
        <w:widowControl/>
        <w:adjustRightInd w:val="0"/>
        <w:snapToGrid w:val="0"/>
        <w:spacing w:line="740" w:lineRule="exact"/>
        <w:ind w:firstLine="660" w:firstLineChars="200"/>
        <w:rPr>
          <w:rFonts w:hint="eastAsia" w:ascii="楷体_GB2312" w:hAnsi="楷体_GB2312" w:eastAsia="楷体_GB2312" w:cs="楷体_GB2312"/>
          <w:color w:val="000000"/>
          <w:kern w:val="0"/>
          <w:sz w:val="33"/>
          <w:szCs w:val="33"/>
          <w:shd w:val="clear" w:color="auto" w:fill="FFFFFF"/>
          <w:lang w:val="zh-CN"/>
        </w:rPr>
      </w:pPr>
      <w:r>
        <w:rPr>
          <w:rFonts w:eastAsia="方正仿宋_GBK"/>
          <w:color w:val="000000"/>
          <w:kern w:val="0"/>
          <w:sz w:val="33"/>
          <w:szCs w:val="33"/>
          <w:shd w:val="clear" w:color="auto" w:fill="FFFFFF"/>
        </w:rPr>
        <w:t>3.</w:t>
      </w:r>
      <w:r>
        <w:rPr>
          <w:rFonts w:hint="eastAsia" w:eastAsia="方正仿宋_GBK"/>
          <w:color w:val="000000"/>
          <w:kern w:val="0"/>
          <w:sz w:val="33"/>
          <w:szCs w:val="33"/>
          <w:shd w:val="clear" w:color="auto" w:fill="FFFFFF"/>
        </w:rPr>
        <w:t>内控制度不够优化</w:t>
      </w:r>
      <w:r>
        <w:rPr>
          <w:rFonts w:hint="eastAsia" w:eastAsia="方正仿宋_GBK"/>
          <w:color w:val="000000"/>
          <w:kern w:val="0"/>
          <w:sz w:val="33"/>
          <w:szCs w:val="33"/>
          <w:shd w:val="clear" w:color="auto" w:fill="FFFFFF"/>
          <w:lang w:val="zh-CN"/>
        </w:rPr>
        <w:t>。</w:t>
      </w:r>
      <w:r>
        <w:rPr>
          <w:rFonts w:hint="eastAsia" w:eastAsia="方正仿宋_GBK"/>
          <w:color w:val="000000"/>
          <w:kern w:val="0"/>
          <w:sz w:val="33"/>
          <w:szCs w:val="33"/>
          <w:shd w:val="clear" w:color="auto" w:fill="FFFFFF"/>
        </w:rPr>
        <w:t>随着资金管理改革的进一步推进，我机关内部机构进行了相应的优化，健全了财务管理制度、固定资产管理制度、费用报销规程等制度，但仍需进一步强化财务约束监督体制。</w:t>
      </w:r>
    </w:p>
    <w:p>
      <w:pPr>
        <w:widowControl/>
        <w:adjustRightInd w:val="0"/>
        <w:snapToGrid w:val="0"/>
        <w:spacing w:line="740" w:lineRule="exact"/>
        <w:ind w:firstLine="663" w:firstLineChars="200"/>
        <w:contextualSpacing/>
        <w:jc w:val="left"/>
        <w:rPr>
          <w:rFonts w:ascii="方正楷体_GBK" w:eastAsia="方正楷体_GBK"/>
          <w:b/>
          <w:bCs/>
          <w:color w:val="000000"/>
          <w:kern w:val="0"/>
          <w:sz w:val="33"/>
          <w:szCs w:val="33"/>
          <w:shd w:val="clear" w:color="auto" w:fill="FFFFFF"/>
          <w:lang w:val="zh-CN"/>
        </w:rPr>
      </w:pPr>
      <w:r>
        <w:rPr>
          <w:rFonts w:hint="eastAsia" w:ascii="方正楷体_GBK" w:eastAsia="方正楷体_GBK"/>
          <w:b/>
          <w:bCs/>
          <w:color w:val="000000"/>
          <w:kern w:val="0"/>
          <w:sz w:val="33"/>
          <w:szCs w:val="33"/>
          <w:shd w:val="clear" w:color="auto" w:fill="FFFFFF"/>
          <w:lang w:val="zh-CN"/>
        </w:rPr>
        <w:t>（三）整改措施</w:t>
      </w:r>
    </w:p>
    <w:p>
      <w:pPr>
        <w:widowControl/>
        <w:adjustRightInd w:val="0"/>
        <w:snapToGrid w:val="0"/>
        <w:spacing w:line="740" w:lineRule="exact"/>
        <w:ind w:firstLine="663" w:firstLineChars="200"/>
        <w:rPr>
          <w:rFonts w:eastAsia="方正仿宋_GBK"/>
          <w:color w:val="000000"/>
          <w:kern w:val="0"/>
          <w:sz w:val="33"/>
          <w:szCs w:val="33"/>
          <w:shd w:val="clear" w:color="auto" w:fill="FFFFFF"/>
          <w:lang w:val="zh-CN"/>
        </w:rPr>
      </w:pPr>
      <w:r>
        <w:rPr>
          <w:rFonts w:hint="eastAsia" w:eastAsia="方正仿宋_GBK"/>
          <w:b/>
          <w:bCs/>
          <w:color w:val="000000"/>
          <w:kern w:val="0"/>
          <w:sz w:val="33"/>
          <w:szCs w:val="33"/>
          <w:shd w:val="clear" w:color="auto" w:fill="FFFFFF"/>
        </w:rPr>
        <w:t>一是</w:t>
      </w:r>
      <w:r>
        <w:rPr>
          <w:rFonts w:hint="eastAsia" w:eastAsia="方正仿宋_GBK"/>
          <w:b/>
          <w:bCs/>
          <w:color w:val="000000"/>
          <w:kern w:val="0"/>
          <w:sz w:val="33"/>
          <w:szCs w:val="33"/>
          <w:shd w:val="clear" w:color="auto" w:fill="FFFFFF"/>
          <w:lang w:val="zh-CN"/>
        </w:rPr>
        <w:t>加快项目资金支付进度</w:t>
      </w:r>
      <w:r>
        <w:rPr>
          <w:rFonts w:hint="eastAsia" w:eastAsia="方正仿宋_GBK"/>
          <w:color w:val="000000"/>
          <w:kern w:val="0"/>
          <w:sz w:val="33"/>
          <w:szCs w:val="33"/>
          <w:shd w:val="clear" w:color="auto" w:fill="FFFFFF"/>
          <w:lang w:val="zh-CN"/>
        </w:rPr>
        <w:t>。建立项目资金支付台账，对每笔资金的支付情况进行详细记录和跟踪，明确支付时间节点，责任到人。定期</w:t>
      </w:r>
      <w:r>
        <w:rPr>
          <w:rFonts w:hint="eastAsia" w:eastAsia="方正仿宋_GBK"/>
          <w:color w:val="000000"/>
          <w:kern w:val="0"/>
          <w:sz w:val="33"/>
          <w:szCs w:val="33"/>
          <w:shd w:val="clear" w:color="auto" w:fill="FFFFFF"/>
        </w:rPr>
        <w:t>向领导汇报</w:t>
      </w:r>
      <w:r>
        <w:rPr>
          <w:rFonts w:hint="eastAsia" w:eastAsia="方正仿宋_GBK"/>
          <w:color w:val="000000"/>
          <w:kern w:val="0"/>
          <w:sz w:val="33"/>
          <w:szCs w:val="33"/>
          <w:shd w:val="clear" w:color="auto" w:fill="FFFFFF"/>
          <w:lang w:val="zh-CN"/>
        </w:rPr>
        <w:t>项目资金支付进度，及时解决支付过程中遇到的问题。加强与财政部门及其他相关单位的沟通协调，优化支付流程，减少不必要的审批环节，提高支付效率。</w:t>
      </w:r>
      <w:r>
        <w:rPr>
          <w:rFonts w:hint="eastAsia" w:eastAsia="方正仿宋_GBK"/>
          <w:b/>
          <w:bCs/>
          <w:color w:val="000000"/>
          <w:kern w:val="0"/>
          <w:sz w:val="33"/>
          <w:szCs w:val="33"/>
          <w:shd w:val="clear" w:color="auto" w:fill="FFFFFF"/>
        </w:rPr>
        <w:t>二是</w:t>
      </w:r>
      <w:r>
        <w:rPr>
          <w:rFonts w:hint="eastAsia" w:eastAsia="方正仿宋_GBK"/>
          <w:b/>
          <w:bCs/>
          <w:color w:val="000000"/>
          <w:kern w:val="0"/>
          <w:sz w:val="33"/>
          <w:szCs w:val="33"/>
          <w:shd w:val="clear" w:color="auto" w:fill="FFFFFF"/>
          <w:lang w:val="zh-CN"/>
        </w:rPr>
        <w:t>强化管理措施。</w:t>
      </w:r>
      <w:r>
        <w:rPr>
          <w:rFonts w:hint="eastAsia" w:eastAsia="方正仿宋_GBK"/>
          <w:color w:val="000000"/>
          <w:kern w:val="0"/>
          <w:sz w:val="33"/>
          <w:szCs w:val="33"/>
          <w:shd w:val="clear" w:color="auto" w:fill="FFFFFF"/>
          <w:lang w:val="zh-CN"/>
        </w:rPr>
        <w:t>在预算编制环节，组织</w:t>
      </w:r>
      <w:r>
        <w:rPr>
          <w:rFonts w:hint="eastAsia" w:eastAsia="方正仿宋_GBK"/>
          <w:color w:val="000000"/>
          <w:kern w:val="0"/>
          <w:sz w:val="33"/>
          <w:szCs w:val="33"/>
          <w:shd w:val="clear" w:color="auto" w:fill="FFFFFF"/>
        </w:rPr>
        <w:t>各委室</w:t>
      </w:r>
      <w:r>
        <w:rPr>
          <w:rFonts w:hint="eastAsia" w:eastAsia="方正仿宋_GBK"/>
          <w:color w:val="000000"/>
          <w:kern w:val="0"/>
          <w:sz w:val="33"/>
          <w:szCs w:val="33"/>
          <w:shd w:val="clear" w:color="auto" w:fill="FFFFFF"/>
          <w:lang w:val="zh-CN"/>
        </w:rPr>
        <w:t>深入分析项目需求，结合往年执行情况和工作实际，科学合理地编制预算，提高预算编制的准确性。加强预算执行监控，定期对预算执行情况进行分析和通报，对执行进度缓慢的项目及时督促整改。对于“三公”经费等严格管控的费用，提前做好规划和安排，确保在不违反制度的前提下，合理使用预算资金。对于确需调整预算的项目，严格按照规定的程序进行申报和审批，并及时做好调整后的预算执行跟踪。</w:t>
      </w:r>
      <w:r>
        <w:rPr>
          <w:rFonts w:hint="eastAsia" w:eastAsia="方正仿宋_GBK"/>
          <w:b/>
          <w:bCs/>
          <w:color w:val="000000"/>
          <w:kern w:val="0"/>
          <w:sz w:val="33"/>
          <w:szCs w:val="33"/>
          <w:shd w:val="clear" w:color="auto" w:fill="FFFFFF"/>
        </w:rPr>
        <w:t>三是</w:t>
      </w:r>
      <w:r>
        <w:rPr>
          <w:rFonts w:hint="eastAsia" w:eastAsia="方正仿宋_GBK"/>
          <w:b/>
          <w:bCs/>
          <w:color w:val="000000"/>
          <w:kern w:val="0"/>
          <w:sz w:val="33"/>
          <w:szCs w:val="33"/>
          <w:shd w:val="clear" w:color="auto" w:fill="FFFFFF"/>
          <w:lang w:val="zh-CN"/>
        </w:rPr>
        <w:t>优化内控制度。</w:t>
      </w:r>
      <w:r>
        <w:rPr>
          <w:rFonts w:hint="eastAsia" w:eastAsia="方正仿宋_GBK"/>
          <w:color w:val="000000"/>
          <w:kern w:val="0"/>
          <w:sz w:val="33"/>
          <w:szCs w:val="33"/>
          <w:shd w:val="clear" w:color="auto" w:fill="FFFFFF"/>
          <w:lang w:val="zh-CN"/>
        </w:rPr>
        <w:t>进一步完善财务约束监督体制，明确各岗位在财务管理中的职责和权限，形成相互制约、相互监督的工作机制。加强对财务人员的培训，提高其业务水平和责任意识，确保各项财务制度得到有效执行。定期对内控制度的执行情况进行检查和评估，及时发现制度中存在的漏洞和缺陷，并进行修订和完善。引入外部审计或专业机构的意见，对内部控制进行全面审查和评价，不断提升内控制度的科学性和有效性。</w:t>
      </w:r>
    </w:p>
    <w:p>
      <w:pPr>
        <w:pStyle w:val="21"/>
        <w:spacing w:line="560" w:lineRule="exact"/>
        <w:ind w:left="0" w:leftChars="0" w:firstLine="0" w:firstLineChars="0"/>
        <w:rPr>
          <w:rFonts w:ascii="Times New Roman"/>
          <w:sz w:val="32"/>
          <w:highlight w:val="yellow"/>
          <w:lang w:val="zh-CN"/>
        </w:rPr>
      </w:pPr>
    </w:p>
    <w:p>
      <w:pPr>
        <w:pStyle w:val="12"/>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widowControl/>
        <w:jc w:val="center"/>
        <w:rPr>
          <w:rFonts w:eastAsia="仿宋"/>
          <w:color w:val="000000" w:themeColor="text1"/>
          <w14:textFill>
            <w14:solidFill>
              <w14:schemeClr w14:val="tx1"/>
            </w14:solidFill>
          </w14:textFill>
        </w:rPr>
      </w:pPr>
      <w:bookmarkStart w:id="57" w:name="_Toc15396618"/>
      <w:r>
        <w:rPr>
          <w:rFonts w:hint="eastAsia" w:eastAsia="黑体"/>
          <w:color w:val="000000" w:themeColor="text1"/>
          <w:sz w:val="44"/>
          <w:szCs w:val="44"/>
          <w14:textFill>
            <w14:solidFill>
              <w14:schemeClr w14:val="tx1"/>
            </w14:solidFill>
          </w14:textFill>
        </w:rPr>
        <w:t>第</w:t>
      </w:r>
      <w:r>
        <w:rPr>
          <w:rStyle w:val="25"/>
          <w:rFonts w:hint="eastAsia" w:eastAsia="黑体"/>
          <w:color w:val="000000" w:themeColor="text1"/>
          <w14:textFill>
            <w14:solidFill>
              <w14:schemeClr w14:val="tx1"/>
            </w14:solidFill>
          </w14:textFill>
        </w:rPr>
        <w:t>五部分 附表</w:t>
      </w:r>
      <w:bookmarkEnd w:id="53"/>
      <w:bookmarkEnd w:id="57"/>
      <w:bookmarkStart w:id="58" w:name="_Toc15396619"/>
    </w:p>
    <w:p>
      <w:pPr>
        <w:pStyle w:val="18"/>
        <w:adjustRightInd w:val="0"/>
        <w:snapToGrid w:val="0"/>
        <w:spacing w:line="560" w:lineRule="exact"/>
        <w:jc w:val="left"/>
        <w:rPr>
          <w:rFonts w:eastAsia="仿宋_GB2312" w:cs="仿宋_GB2312"/>
          <w:sz w:val="32"/>
          <w:szCs w:val="32"/>
        </w:rPr>
      </w:pPr>
    </w:p>
    <w:p>
      <w:pPr>
        <w:pStyle w:val="18"/>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8"/>
    </w:p>
    <w:p>
      <w:pPr>
        <w:pStyle w:val="18"/>
        <w:adjustRightInd w:val="0"/>
        <w:snapToGrid w:val="0"/>
        <w:spacing w:line="560" w:lineRule="exact"/>
        <w:jc w:val="left"/>
        <w:rPr>
          <w:rFonts w:eastAsia="仿宋_GB2312" w:cs="仿宋_GB2312"/>
          <w:sz w:val="32"/>
          <w:szCs w:val="32"/>
        </w:rPr>
      </w:pPr>
      <w:bookmarkStart w:id="59" w:name="_Toc15396620"/>
      <w:r>
        <w:rPr>
          <w:rFonts w:hint="eastAsia" w:eastAsia="仿宋_GB2312" w:cs="仿宋_GB2312"/>
          <w:sz w:val="32"/>
          <w:szCs w:val="32"/>
        </w:rPr>
        <w:t>二、收入决算表</w:t>
      </w:r>
      <w:bookmarkEnd w:id="59"/>
    </w:p>
    <w:p>
      <w:pPr>
        <w:pStyle w:val="18"/>
        <w:adjustRightInd w:val="0"/>
        <w:snapToGrid w:val="0"/>
        <w:spacing w:line="560" w:lineRule="exact"/>
        <w:jc w:val="left"/>
        <w:rPr>
          <w:rFonts w:eastAsia="仿宋_GB2312" w:cs="仿宋_GB2312"/>
          <w:sz w:val="32"/>
          <w:szCs w:val="32"/>
        </w:rPr>
      </w:pPr>
      <w:bookmarkStart w:id="60" w:name="_Toc15396621"/>
      <w:r>
        <w:rPr>
          <w:rFonts w:hint="eastAsia" w:eastAsia="仿宋_GB2312" w:cs="仿宋_GB2312"/>
          <w:sz w:val="32"/>
          <w:szCs w:val="32"/>
        </w:rPr>
        <w:t>三、支出决算表</w:t>
      </w:r>
      <w:bookmarkEnd w:id="60"/>
    </w:p>
    <w:p>
      <w:pPr>
        <w:pStyle w:val="18"/>
        <w:adjustRightInd w:val="0"/>
        <w:snapToGrid w:val="0"/>
        <w:spacing w:line="560" w:lineRule="exact"/>
        <w:jc w:val="left"/>
        <w:rPr>
          <w:rFonts w:eastAsia="仿宋_GB2312" w:cs="仿宋_GB2312"/>
          <w:sz w:val="32"/>
          <w:szCs w:val="32"/>
        </w:rPr>
      </w:pPr>
      <w:bookmarkStart w:id="61" w:name="_Toc15396622"/>
      <w:r>
        <w:rPr>
          <w:rFonts w:hint="eastAsia" w:eastAsia="仿宋_GB2312" w:cs="仿宋_GB2312"/>
          <w:sz w:val="32"/>
          <w:szCs w:val="32"/>
        </w:rPr>
        <w:t>四、财政拨款收入支出决算总表</w:t>
      </w:r>
      <w:bookmarkEnd w:id="61"/>
    </w:p>
    <w:p>
      <w:pPr>
        <w:pStyle w:val="18"/>
        <w:adjustRightInd w:val="0"/>
        <w:snapToGrid w:val="0"/>
        <w:spacing w:line="560" w:lineRule="exact"/>
        <w:jc w:val="left"/>
        <w:rPr>
          <w:rFonts w:eastAsia="仿宋_GB2312" w:cs="仿宋_GB2312"/>
          <w:sz w:val="32"/>
          <w:szCs w:val="32"/>
        </w:rPr>
      </w:pPr>
      <w:bookmarkStart w:id="62" w:name="_Toc15396623"/>
      <w:r>
        <w:rPr>
          <w:rFonts w:hint="eastAsia" w:eastAsia="仿宋_GB2312" w:cs="仿宋_GB2312"/>
          <w:sz w:val="32"/>
          <w:szCs w:val="32"/>
        </w:rPr>
        <w:t>五、财政拨款支出决算明细表</w:t>
      </w:r>
      <w:bookmarkEnd w:id="62"/>
      <w:bookmarkStart w:id="63" w:name="_Toc15396624"/>
    </w:p>
    <w:p>
      <w:pPr>
        <w:pStyle w:val="18"/>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3"/>
    </w:p>
    <w:p>
      <w:pPr>
        <w:pStyle w:val="18"/>
        <w:adjustRightInd w:val="0"/>
        <w:snapToGrid w:val="0"/>
        <w:spacing w:line="560" w:lineRule="exact"/>
        <w:jc w:val="left"/>
        <w:rPr>
          <w:rFonts w:eastAsia="仿宋_GB2312" w:cs="仿宋_GB2312"/>
          <w:sz w:val="32"/>
          <w:szCs w:val="32"/>
        </w:rPr>
      </w:pPr>
      <w:bookmarkStart w:id="64" w:name="_Toc15396625"/>
      <w:r>
        <w:rPr>
          <w:rFonts w:hint="eastAsia" w:eastAsia="仿宋_GB2312" w:cs="仿宋_GB2312"/>
          <w:sz w:val="32"/>
          <w:szCs w:val="32"/>
        </w:rPr>
        <w:t>七、一般公共预算财政拨款支出决算明细表</w:t>
      </w:r>
      <w:bookmarkEnd w:id="64"/>
    </w:p>
    <w:p>
      <w:pPr>
        <w:pStyle w:val="18"/>
        <w:adjustRightInd w:val="0"/>
        <w:snapToGrid w:val="0"/>
        <w:spacing w:line="560" w:lineRule="exact"/>
        <w:jc w:val="left"/>
        <w:rPr>
          <w:rFonts w:eastAsia="仿宋_GB2312" w:cs="仿宋_GB2312"/>
          <w:sz w:val="32"/>
          <w:szCs w:val="32"/>
        </w:rPr>
      </w:pPr>
      <w:bookmarkStart w:id="65" w:name="_Toc15396626"/>
      <w:r>
        <w:rPr>
          <w:rFonts w:hint="eastAsia" w:eastAsia="仿宋_GB2312" w:cs="仿宋_GB2312"/>
          <w:sz w:val="32"/>
          <w:szCs w:val="32"/>
        </w:rPr>
        <w:t>八、一般公共预算财政拨款基本支出决算表</w:t>
      </w:r>
      <w:bookmarkEnd w:id="65"/>
    </w:p>
    <w:p>
      <w:pPr>
        <w:pStyle w:val="18"/>
        <w:adjustRightInd w:val="0"/>
        <w:snapToGrid w:val="0"/>
        <w:spacing w:line="560" w:lineRule="exact"/>
        <w:jc w:val="left"/>
        <w:rPr>
          <w:rFonts w:eastAsia="仿宋_GB2312" w:cs="仿宋_GB2312"/>
          <w:sz w:val="32"/>
          <w:szCs w:val="32"/>
        </w:rPr>
      </w:pPr>
      <w:bookmarkStart w:id="66" w:name="_Toc15396627"/>
      <w:r>
        <w:rPr>
          <w:rFonts w:hint="eastAsia" w:eastAsia="仿宋_GB2312" w:cs="仿宋_GB2312"/>
          <w:sz w:val="32"/>
          <w:szCs w:val="32"/>
        </w:rPr>
        <w:t>九、一般公共预算财政拨款项目支出决算表</w:t>
      </w:r>
      <w:bookmarkEnd w:id="66"/>
    </w:p>
    <w:p>
      <w:pPr>
        <w:pStyle w:val="18"/>
        <w:adjustRightInd w:val="0"/>
        <w:snapToGrid w:val="0"/>
        <w:spacing w:line="560" w:lineRule="exact"/>
        <w:jc w:val="left"/>
        <w:rPr>
          <w:rFonts w:eastAsia="仿宋_GB2312" w:cs="仿宋_GB2312"/>
          <w:sz w:val="32"/>
          <w:szCs w:val="32"/>
        </w:rPr>
      </w:pPr>
      <w:bookmarkStart w:id="67" w:name="_Toc15396628"/>
      <w:r>
        <w:rPr>
          <w:rFonts w:hint="eastAsia" w:eastAsia="仿宋_GB2312" w:cs="仿宋_GB2312"/>
          <w:sz w:val="32"/>
          <w:szCs w:val="32"/>
        </w:rPr>
        <w:t>十、</w:t>
      </w:r>
      <w:bookmarkEnd w:id="67"/>
      <w:r>
        <w:rPr>
          <w:rFonts w:hint="eastAsia" w:eastAsia="仿宋_GB2312" w:cs="仿宋_GB2312"/>
          <w:sz w:val="32"/>
          <w:szCs w:val="32"/>
        </w:rPr>
        <w:t>政府性基金预算财政拨款收入支出决算表</w:t>
      </w:r>
    </w:p>
    <w:p>
      <w:pPr>
        <w:pStyle w:val="18"/>
        <w:adjustRightInd w:val="0"/>
        <w:snapToGrid w:val="0"/>
        <w:spacing w:line="560" w:lineRule="exact"/>
        <w:jc w:val="left"/>
        <w:rPr>
          <w:rFonts w:eastAsia="仿宋_GB2312" w:cs="仿宋_GB2312"/>
          <w:sz w:val="32"/>
          <w:szCs w:val="32"/>
        </w:rPr>
      </w:pPr>
      <w:bookmarkStart w:id="68" w:name="_Toc15396629"/>
      <w:r>
        <w:rPr>
          <w:rFonts w:hint="eastAsia" w:eastAsia="仿宋_GB2312" w:cs="仿宋_GB2312"/>
          <w:sz w:val="32"/>
          <w:szCs w:val="32"/>
        </w:rPr>
        <w:t>十一、</w:t>
      </w:r>
      <w:bookmarkEnd w:id="68"/>
      <w:r>
        <w:rPr>
          <w:rFonts w:hint="eastAsia" w:eastAsia="仿宋_GB2312" w:cs="仿宋_GB2312"/>
          <w:sz w:val="32"/>
          <w:szCs w:val="32"/>
        </w:rPr>
        <w:t>国有资本经营预算财政拨款收入支出决算表</w:t>
      </w:r>
    </w:p>
    <w:p>
      <w:pPr>
        <w:pStyle w:val="18"/>
        <w:adjustRightInd w:val="0"/>
        <w:snapToGrid w:val="0"/>
        <w:spacing w:line="560" w:lineRule="exact"/>
        <w:jc w:val="left"/>
        <w:rPr>
          <w:rFonts w:eastAsia="仿宋_GB2312" w:cs="仿宋_GB2312"/>
          <w:sz w:val="32"/>
          <w:szCs w:val="32"/>
        </w:rPr>
      </w:pPr>
      <w:bookmarkStart w:id="69" w:name="_Toc15396630"/>
      <w:r>
        <w:rPr>
          <w:rFonts w:hint="eastAsia" w:eastAsia="仿宋_GB2312" w:cs="仿宋_GB2312"/>
          <w:sz w:val="32"/>
          <w:szCs w:val="32"/>
        </w:rPr>
        <w:t>十二、</w:t>
      </w:r>
      <w:bookmarkEnd w:id="69"/>
      <w:r>
        <w:rPr>
          <w:rFonts w:hint="eastAsia" w:eastAsia="仿宋_GB2312" w:cs="仿宋_GB2312"/>
          <w:sz w:val="32"/>
          <w:szCs w:val="32"/>
        </w:rPr>
        <w:t>国有资本经营预算财政拨款支出决算表</w:t>
      </w:r>
    </w:p>
    <w:p>
      <w:pPr>
        <w:pStyle w:val="18"/>
        <w:adjustRightInd w:val="0"/>
        <w:snapToGrid w:val="0"/>
        <w:spacing w:line="560" w:lineRule="exact"/>
        <w:jc w:val="left"/>
        <w:rPr>
          <w:rFonts w:eastAsia="仿宋_GB2312" w:cs="仿宋_GB2312"/>
          <w:sz w:val="32"/>
          <w:szCs w:val="32"/>
        </w:rPr>
      </w:pPr>
      <w:bookmarkStart w:id="70" w:name="_Toc15396631"/>
      <w:r>
        <w:rPr>
          <w:rFonts w:hint="eastAsia" w:eastAsia="仿宋_GB2312" w:cs="仿宋_GB2312"/>
          <w:sz w:val="32"/>
          <w:szCs w:val="32"/>
        </w:rPr>
        <w:t>十三、</w:t>
      </w:r>
      <w:bookmarkEnd w:id="70"/>
      <w:r>
        <w:rPr>
          <w:rFonts w:hint="eastAsia" w:eastAsia="仿宋_GB2312" w:cs="仿宋_GB2312"/>
          <w:sz w:val="32"/>
          <w:szCs w:val="32"/>
        </w:rPr>
        <w:t>财政拨款“三公”经费支出决算表</w:t>
      </w:r>
    </w:p>
    <w:p/>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- 1 -</w:t>
                          </w:r>
                          <w:r>
                            <w:rPr>
                              <w:rFonts w:hint="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4"/>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- 1 -</w:t>
                    </w:r>
                    <w:r>
                      <w:rPr>
                        <w:rFonts w:hint="eastAsia"/>
                        <w:sz w:val="32"/>
                        <w:szCs w:val="32"/>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sz w:val="32"/>
                              <w:szCs w:val="32"/>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- 2 -</w:t>
                          </w:r>
                          <w:r>
                            <w:rPr>
                              <w:rFonts w:hint="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14"/>
                      <w:rPr>
                        <w:rFonts w:hint="eastAsia" w:eastAsia="宋体"/>
                        <w:sz w:val="32"/>
                        <w:szCs w:val="32"/>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- 2 -</w:t>
                    </w:r>
                    <w:r>
                      <w:rPr>
                        <w:rFonts w:hint="eastAsia"/>
                        <w:sz w:val="32"/>
                        <w:szCs w:val="32"/>
                        <w:lang w:eastAsia="zh-CN"/>
                      </w:rPr>
                      <w:fldChar w:fldCharType="end"/>
                    </w:r>
                  </w:p>
                </w:txbxContent>
              </v:textbox>
            </v:shape>
          </w:pict>
        </mc:Fallback>
      </mc:AlternateContent>
    </w:r>
  </w:p>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838E4"/>
    <w:multiLevelType w:val="multilevel"/>
    <w:tmpl w:val="4C9838E4"/>
    <w:lvl w:ilvl="0" w:tentative="0">
      <w:start w:val="1"/>
      <w:numFmt w:val="japaneseCounting"/>
      <w:lvlText w:val="%1、"/>
      <w:lvlJc w:val="left"/>
      <w:pPr>
        <w:ind w:left="648" w:hanging="648"/>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CE"/>
    <w:rsid w:val="00030BD8"/>
    <w:rsid w:val="000441DF"/>
    <w:rsid w:val="000B44DA"/>
    <w:rsid w:val="000E0845"/>
    <w:rsid w:val="001827AC"/>
    <w:rsid w:val="001B2128"/>
    <w:rsid w:val="002500F5"/>
    <w:rsid w:val="002F4C98"/>
    <w:rsid w:val="00331028"/>
    <w:rsid w:val="00413716"/>
    <w:rsid w:val="005406B8"/>
    <w:rsid w:val="005C6B0B"/>
    <w:rsid w:val="00751189"/>
    <w:rsid w:val="007576CE"/>
    <w:rsid w:val="007A794F"/>
    <w:rsid w:val="00825116"/>
    <w:rsid w:val="00873ABD"/>
    <w:rsid w:val="009251FA"/>
    <w:rsid w:val="00936402"/>
    <w:rsid w:val="00946DC9"/>
    <w:rsid w:val="00A028CA"/>
    <w:rsid w:val="00A61F47"/>
    <w:rsid w:val="00AB722F"/>
    <w:rsid w:val="00B16A32"/>
    <w:rsid w:val="00B53E48"/>
    <w:rsid w:val="00C3536B"/>
    <w:rsid w:val="00CC3901"/>
    <w:rsid w:val="00CF388D"/>
    <w:rsid w:val="00DC65BA"/>
    <w:rsid w:val="00EF742A"/>
    <w:rsid w:val="00F26E2E"/>
    <w:rsid w:val="00FA4196"/>
    <w:rsid w:val="334B3F70"/>
    <w:rsid w:val="570936B6"/>
    <w:rsid w:val="6B2F4F43"/>
    <w:rsid w:val="6C672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3">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6"/>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9"/>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30"/>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3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50"/>
    <w:semiHidden/>
    <w:unhideWhenUsed/>
    <w:qFormat/>
    <w:uiPriority w:val="99"/>
    <w:pPr>
      <w:snapToGrid w:val="0"/>
      <w:jc w:val="left"/>
    </w:pPr>
    <w:rPr>
      <w:sz w:val="18"/>
      <w:szCs w:val="18"/>
    </w:rPr>
  </w:style>
  <w:style w:type="paragraph" w:styleId="12">
    <w:name w:val="Body Text"/>
    <w:basedOn w:val="1"/>
    <w:link w:val="47"/>
    <w:qFormat/>
    <w:uiPriority w:val="99"/>
    <w:pPr>
      <w:spacing w:beforeLines="30"/>
    </w:pPr>
    <w:rPr>
      <w:rFonts w:ascii="仿宋_GB2312" w:eastAsia="仿宋_GB2312"/>
      <w:kern w:val="0"/>
      <w:sz w:val="30"/>
    </w:rPr>
  </w:style>
  <w:style w:type="paragraph" w:styleId="13">
    <w:name w:val="Body Text Indent"/>
    <w:basedOn w:val="1"/>
    <w:link w:val="45"/>
    <w:semiHidden/>
    <w:unhideWhenUsed/>
    <w:uiPriority w:val="99"/>
    <w:pPr>
      <w:spacing w:after="120"/>
      <w:ind w:left="420" w:leftChars="200"/>
    </w:pPr>
  </w:style>
  <w:style w:type="paragraph" w:styleId="14">
    <w:name w:val="footer"/>
    <w:basedOn w:val="1"/>
    <w:link w:val="44"/>
    <w:unhideWhenUsed/>
    <w:qFormat/>
    <w:uiPriority w:val="99"/>
    <w:pPr>
      <w:tabs>
        <w:tab w:val="center" w:pos="4153"/>
        <w:tab w:val="right" w:pos="8306"/>
      </w:tabs>
      <w:snapToGrid w:val="0"/>
    </w:pPr>
    <w:rPr>
      <w:sz w:val="18"/>
      <w:szCs w:val="18"/>
    </w:rPr>
  </w:style>
  <w:style w:type="paragraph" w:styleId="15">
    <w:name w:val="header"/>
    <w:basedOn w:val="1"/>
    <w:link w:val="43"/>
    <w:unhideWhenUsed/>
    <w:qFormat/>
    <w:uiPriority w:val="99"/>
    <w:pP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Subtitle"/>
    <w:basedOn w:val="1"/>
    <w:next w:val="1"/>
    <w:link w:val="3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99"/>
    <w:pPr>
      <w:spacing w:beforeAutospacing="1" w:after="160" w:afterAutospacing="1" w:line="278" w:lineRule="auto"/>
      <w:jc w:val="left"/>
    </w:pPr>
    <w:rPr>
      <w:rFonts w:eastAsia="仿宋_GB2312"/>
      <w:kern w:val="0"/>
      <w:sz w:val="24"/>
    </w:rPr>
  </w:style>
  <w:style w:type="paragraph" w:styleId="20">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Body Text First Indent 2"/>
    <w:basedOn w:val="13"/>
    <w:link w:val="46"/>
    <w:unhideWhenUsed/>
    <w:qFormat/>
    <w:uiPriority w:val="99"/>
    <w:pPr>
      <w:ind w:left="200" w:firstLine="420" w:firstLineChars="200"/>
    </w:pPr>
    <w:rPr>
      <w:rFonts w:ascii="仿宋_GB2312"/>
      <w:szCs w:val="32"/>
    </w:rPr>
  </w:style>
  <w:style w:type="character" w:styleId="24">
    <w:name w:val="Strong"/>
    <w:qFormat/>
    <w:uiPriority w:val="99"/>
    <w:rPr>
      <w:b/>
    </w:rPr>
  </w:style>
  <w:style w:type="character" w:customStyle="1" w:styleId="25">
    <w:name w:val="标题 1 字符"/>
    <w:basedOn w:val="23"/>
    <w:link w:val="3"/>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3"/>
    <w:link w:val="4"/>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3"/>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3"/>
    <w:link w:val="6"/>
    <w:semiHidden/>
    <w:qFormat/>
    <w:uiPriority w:val="9"/>
    <w:rPr>
      <w:rFonts w:cstheme="majorBidi"/>
      <w:color w:val="2F5597" w:themeColor="accent1" w:themeShade="BF"/>
      <w:sz w:val="28"/>
      <w:szCs w:val="28"/>
    </w:rPr>
  </w:style>
  <w:style w:type="character" w:customStyle="1" w:styleId="29">
    <w:name w:val="标题 5 字符"/>
    <w:basedOn w:val="23"/>
    <w:link w:val="7"/>
    <w:semiHidden/>
    <w:qFormat/>
    <w:uiPriority w:val="9"/>
    <w:rPr>
      <w:rFonts w:cstheme="majorBidi"/>
      <w:color w:val="2F5597" w:themeColor="accent1" w:themeShade="BF"/>
      <w:sz w:val="24"/>
    </w:rPr>
  </w:style>
  <w:style w:type="character" w:customStyle="1" w:styleId="30">
    <w:name w:val="标题 6 字符"/>
    <w:basedOn w:val="23"/>
    <w:link w:val="8"/>
    <w:semiHidden/>
    <w:qFormat/>
    <w:uiPriority w:val="9"/>
    <w:rPr>
      <w:rFonts w:cstheme="majorBidi"/>
      <w:b/>
      <w:bCs/>
      <w:color w:val="2F5597" w:themeColor="accent1" w:themeShade="BF"/>
    </w:rPr>
  </w:style>
  <w:style w:type="character" w:customStyle="1" w:styleId="31">
    <w:name w:val="标题 7 字符"/>
    <w:basedOn w:val="23"/>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3"/>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3"/>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3"/>
    <w:link w:val="20"/>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3"/>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Intense Emphasis"/>
    <w:basedOn w:val="23"/>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3"/>
    <w:link w:val="40"/>
    <w:qFormat/>
    <w:uiPriority w:val="30"/>
    <w:rPr>
      <w:i/>
      <w:iCs/>
      <w:color w:val="2F5597" w:themeColor="accent1" w:themeShade="BF"/>
    </w:rPr>
  </w:style>
  <w:style w:type="character" w:customStyle="1" w:styleId="42">
    <w:name w:val="Intense Reference"/>
    <w:basedOn w:val="23"/>
    <w:qFormat/>
    <w:uiPriority w:val="32"/>
    <w:rPr>
      <w:b/>
      <w:bCs/>
      <w:smallCaps/>
      <w:color w:val="2F5597" w:themeColor="accent1" w:themeShade="BF"/>
      <w:spacing w:val="5"/>
    </w:rPr>
  </w:style>
  <w:style w:type="character" w:customStyle="1" w:styleId="43">
    <w:name w:val="页眉 字符"/>
    <w:basedOn w:val="23"/>
    <w:link w:val="15"/>
    <w:qFormat/>
    <w:uiPriority w:val="99"/>
    <w:rPr>
      <w:sz w:val="18"/>
      <w:szCs w:val="18"/>
    </w:rPr>
  </w:style>
  <w:style w:type="character" w:customStyle="1" w:styleId="44">
    <w:name w:val="页脚 字符"/>
    <w:basedOn w:val="23"/>
    <w:link w:val="14"/>
    <w:qFormat/>
    <w:uiPriority w:val="99"/>
    <w:rPr>
      <w:sz w:val="18"/>
      <w:szCs w:val="18"/>
    </w:rPr>
  </w:style>
  <w:style w:type="character" w:customStyle="1" w:styleId="45">
    <w:name w:val="正文文本缩进 字符"/>
    <w:basedOn w:val="23"/>
    <w:link w:val="13"/>
    <w:semiHidden/>
    <w:uiPriority w:val="99"/>
    <w:rPr>
      <w:rFonts w:ascii="Times New Roman" w:hAnsi="Times New Roman" w:eastAsia="宋体" w:cs="Times New Roman"/>
      <w:sz w:val="21"/>
      <w14:ligatures w14:val="none"/>
    </w:rPr>
  </w:style>
  <w:style w:type="character" w:customStyle="1" w:styleId="46">
    <w:name w:val="正文文本首行缩进 2 字符"/>
    <w:basedOn w:val="45"/>
    <w:link w:val="21"/>
    <w:qFormat/>
    <w:uiPriority w:val="99"/>
    <w:rPr>
      <w:rFonts w:ascii="仿宋_GB2312" w:hAnsi="Times New Roman" w:eastAsia="宋体" w:cs="Times New Roman"/>
      <w:sz w:val="21"/>
      <w:szCs w:val="32"/>
      <w14:ligatures w14:val="none"/>
    </w:rPr>
  </w:style>
  <w:style w:type="character" w:customStyle="1" w:styleId="47">
    <w:name w:val="正文文本 字符"/>
    <w:basedOn w:val="23"/>
    <w:link w:val="12"/>
    <w:qFormat/>
    <w:uiPriority w:val="99"/>
    <w:rPr>
      <w:rFonts w:ascii="仿宋_GB2312" w:hAnsi="Times New Roman" w:eastAsia="仿宋_GB2312" w:cs="Times New Roman"/>
      <w:kern w:val="0"/>
      <w:sz w:val="30"/>
      <w14:ligatures w14:val="none"/>
    </w:rPr>
  </w:style>
  <w:style w:type="paragraph" w:customStyle="1" w:styleId="4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14:ligatures w14:val="none"/>
    </w:rPr>
  </w:style>
  <w:style w:type="paragraph" w:customStyle="1" w:styleId="49">
    <w:name w:val="四号正文"/>
    <w:basedOn w:val="1"/>
    <w:qFormat/>
    <w:uiPriority w:val="0"/>
    <w:pPr>
      <w:spacing w:line="360" w:lineRule="auto"/>
    </w:pPr>
    <w:rPr>
      <w:rFonts w:ascii="??" w:hAnsi="??"/>
      <w:color w:val="000000"/>
      <w:kern w:val="0"/>
      <w:sz w:val="28"/>
      <w:szCs w:val="21"/>
      <w:lang w:val="zh-CN"/>
    </w:rPr>
  </w:style>
  <w:style w:type="character" w:customStyle="1" w:styleId="50">
    <w:name w:val="脚注文本 字符"/>
    <w:basedOn w:val="23"/>
    <w:link w:val="2"/>
    <w:semiHidden/>
    <w:qFormat/>
    <w:uiPriority w:val="99"/>
    <w:rPr>
      <w:rFonts w:ascii="Times New Roman" w:hAnsi="Times New Roman" w:eastAsia="宋体" w:cs="Times New Roman"/>
      <w:sz w:val="18"/>
      <w:szCs w:val="18"/>
      <w14:ligatures w14:val="none"/>
    </w:rPr>
  </w:style>
  <w:style w:type="paragraph" w:customStyle="1" w:styleId="51">
    <w:name w:val="Default"/>
    <w:qFormat/>
    <w:uiPriority w:val="0"/>
    <w:pPr>
      <w:widowControl w:val="0"/>
      <w:autoSpaceDE w:val="0"/>
      <w:autoSpaceDN w:val="0"/>
      <w:adjustRightInd w:val="0"/>
      <w:spacing w:after="0" w:line="240" w:lineRule="auto"/>
    </w:pPr>
    <w:rPr>
      <w:rFonts w:ascii="仿宋" w:hAnsi="Calibri" w:eastAsia="仿宋" w:cs="仿宋"/>
      <w:color w:val="000000"/>
      <w:kern w:val="0"/>
      <w:sz w:val="24"/>
      <w:szCs w:val="24"/>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2443\Desktop\2024&#20154;&#22823;&#20915;&#31639;&#20844;&#31034;&#36164;&#26009;\2024&#20154;&#22823;&#20915;&#31639;&#20844;&#31034;&#36164;&#26009;\&#20844;&#24320;&#20915;&#31639;&#27604;&#23545;&#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收、支决算总计变动情况图</a:t>
            </a:r>
            <a:endParaRPr lang="zh-CN" altLang="en-US"/>
          </a:p>
        </c:rich>
      </c:tx>
      <c:layout/>
      <c:overlay val="0"/>
      <c:spPr>
        <a:noFill/>
        <a:ln w="25400">
          <a:noFill/>
        </a:ln>
      </c:spPr>
    </c:title>
    <c:autoTitleDeleted val="0"/>
    <c:plotArea>
      <c:layout/>
      <c:barChart>
        <c:barDir val="col"/>
        <c:grouping val="clustered"/>
        <c:varyColors val="0"/>
        <c:ser>
          <c:idx val="0"/>
          <c:order val="0"/>
          <c:tx>
            <c:strRef>
              <c:f>Sheet1!$B$5</c:f>
              <c:strCache>
                <c:ptCount val="1"/>
                <c:pt idx="0">
                  <c:v>2023</c:v>
                </c:pt>
              </c:strCache>
            </c:strRef>
          </c:tx>
          <c:spPr>
            <a:solidFill>
              <a:srgbClr val="9999FF"/>
            </a:solidFill>
            <a:ln w="12700">
              <a:solidFill>
                <a:srgbClr val="000000"/>
              </a:solidFill>
              <a:prstDash val="solid"/>
            </a:ln>
          </c:spPr>
          <c:invertIfNegative val="0"/>
          <c:dLbls>
            <c:dLbl>
              <c:idx val="0"/>
              <c:layout/>
              <c:numFmt formatCode="General" sourceLinked="1"/>
              <c:spPr>
                <a:noFill/>
                <a:ln w="25400">
                  <a:noFill/>
                </a:ln>
                <a:effectLst/>
              </c:spPr>
              <c:txPr>
                <a:bodyPr rot="0" spcFirstLastPara="0" vertOverflow="ellipsis" vert="horz" wrap="square" lIns="38100" tIns="19050" rIns="38100" bIns="19050"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w="25400">
                  <a:noFill/>
                </a:ln>
                <a:effectLst/>
              </c:spPr>
              <c:txPr>
                <a:bodyPr rot="0" spcFirstLastPara="0" vertOverflow="ellipsis" vert="horz" wrap="square" lIns="38100" tIns="19050" rIns="38100" bIns="19050"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Sheet1!$C$4:$D$4</c:f>
              <c:strCache>
                <c:ptCount val="2"/>
                <c:pt idx="0">
                  <c:v>收入</c:v>
                </c:pt>
                <c:pt idx="1">
                  <c:v>支出</c:v>
                </c:pt>
              </c:strCache>
            </c:strRef>
          </c:cat>
          <c:val>
            <c:numRef>
              <c:f>Sheet1!$C$5:$D$5</c:f>
              <c:numCache>
                <c:formatCode>#,##0.00</c:formatCode>
                <c:ptCount val="2"/>
                <c:pt idx="0">
                  <c:v>813.33</c:v>
                </c:pt>
                <c:pt idx="1">
                  <c:v>813.33</c:v>
                </c:pt>
              </c:numCache>
            </c:numRef>
          </c:val>
        </c:ser>
        <c:ser>
          <c:idx val="1"/>
          <c:order val="1"/>
          <c:tx>
            <c:strRef>
              <c:f>Sheet1!$B$6</c:f>
              <c:strCache>
                <c:ptCount val="1"/>
                <c:pt idx="0">
                  <c:v>2024</c:v>
                </c:pt>
              </c:strCache>
            </c:strRef>
          </c:tx>
          <c:spPr>
            <a:solidFill>
              <a:srgbClr val="993366"/>
            </a:solidFill>
            <a:ln w="12700">
              <a:solidFill>
                <a:srgbClr val="000000"/>
              </a:solidFill>
              <a:prstDash val="solid"/>
            </a:ln>
          </c:spPr>
          <c:invertIfNegative val="0"/>
          <c:dLbls>
            <c:dLbl>
              <c:idx val="0"/>
              <c:layout/>
              <c:numFmt formatCode="General" sourceLinked="1"/>
              <c:spPr>
                <a:noFill/>
                <a:ln w="25400">
                  <a:noFill/>
                </a:ln>
                <a:effectLst/>
              </c:spPr>
              <c:txPr>
                <a:bodyPr rot="0" spcFirstLastPara="0" vertOverflow="ellipsis" vert="horz" wrap="square" lIns="38100" tIns="19050" rIns="38100" bIns="19050"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w="25400">
                  <a:noFill/>
                </a:ln>
                <a:effectLst/>
              </c:spPr>
              <c:txPr>
                <a:bodyPr rot="0" spcFirstLastPara="0" vertOverflow="ellipsis" vert="horz" wrap="square" lIns="38100" tIns="19050" rIns="38100" bIns="19050"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Sheet1!$C$4:$D$4</c:f>
              <c:strCache>
                <c:ptCount val="2"/>
                <c:pt idx="0">
                  <c:v>收入</c:v>
                </c:pt>
                <c:pt idx="1">
                  <c:v>支出</c:v>
                </c:pt>
              </c:strCache>
            </c:strRef>
          </c:cat>
          <c:val>
            <c:numRef>
              <c:f>Sheet1!$C$6:$D$6</c:f>
              <c:numCache>
                <c:formatCode>General</c:formatCode>
                <c:ptCount val="2"/>
                <c:pt idx="0">
                  <c:v>708.77</c:v>
                </c:pt>
                <c:pt idx="1">
                  <c:v>708.77</c:v>
                </c:pt>
              </c:numCache>
            </c:numRef>
          </c:val>
        </c:ser>
        <c:dLbls>
          <c:showLegendKey val="0"/>
          <c:showVal val="0"/>
          <c:showCatName val="0"/>
          <c:showSerName val="0"/>
          <c:showPercent val="0"/>
          <c:showBubbleSize val="0"/>
        </c:dLbls>
        <c:gapWidth val="150"/>
        <c:axId val="1115119616"/>
        <c:axId val="1"/>
      </c:barChart>
      <c:catAx>
        <c:axId val="111511961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noMultiLvlLbl val="0"/>
      </c:catAx>
      <c:valAx>
        <c:axId val="1"/>
        <c:scaling>
          <c:orientation val="minMax"/>
        </c:scaling>
        <c:delete val="0"/>
        <c:axPos val="l"/>
        <c:majorGridlines>
          <c:spPr>
            <a:ln w="3175" cap="flat" cmpd="sng" algn="ctr">
              <a:solidFill>
                <a:srgbClr val="000000"/>
              </a:solidFill>
              <a:prstDash val="solid"/>
              <a:round/>
            </a:ln>
          </c:spPr>
        </c:majorGridlines>
        <c:numFmt formatCode="#,##0.00"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8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15119616"/>
        <c:crosses val="autoZero"/>
        <c:crossBetween val="between"/>
      </c:valAx>
      <c:spPr>
        <a:solidFill>
          <a:srgbClr val="C0C0C0"/>
        </a:solidFill>
        <a:ln w="3175">
          <a:solidFill>
            <a:srgbClr val="808080"/>
          </a:solidFill>
          <a:prstDash val="solid"/>
        </a:ln>
      </c:spPr>
    </c:plotArea>
    <c:legend>
      <c:legendPos val="r"/>
      <c:layout>
        <c:manualLayout>
          <c:xMode val="edge"/>
          <c:yMode val="edge"/>
          <c:x val="0.504839886900657"/>
          <c:y val="0.216223239871406"/>
          <c:w val="0.163992574725691"/>
          <c:h val="0.056758600466244"/>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83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02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收入决算结构图</a:t>
            </a:r>
            <a:endParaRPr lang="zh-CN" altLang="en-US"/>
          </a:p>
        </c:rich>
      </c:tx>
      <c:layout>
        <c:manualLayout>
          <c:xMode val="edge"/>
          <c:yMode val="edge"/>
          <c:x val="0.0138748906386701"/>
          <c:y val="0.0289855072463768"/>
        </c:manualLayout>
      </c:layout>
      <c:overlay val="0"/>
      <c:spPr>
        <a:noFill/>
        <a:ln w="25400">
          <a:noFill/>
        </a:ln>
      </c:spPr>
    </c:title>
    <c:autoTitleDeleted val="0"/>
    <c:plotArea>
      <c:layout>
        <c:manualLayout>
          <c:layoutTarget val="inner"/>
          <c:xMode val="edge"/>
          <c:yMode val="edge"/>
          <c:x val="0.47"/>
          <c:y val="0.19675"/>
          <c:w val="0.3605"/>
          <c:h val="0.706"/>
        </c:manualLayout>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Lbl>
              <c:idx val="0"/>
              <c:layout>
                <c:manualLayout>
                  <c:x val="0.0727751594122539"/>
                  <c:y val="-0.0158688177730759"/>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395065151095093"/>
                  <c:y val="-0.00396720444326898"/>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0812309398392"/>
                  <c:y val="-0.0833112933086485"/>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10812309398392"/>
                  <c:y val="-0.0238032266596139"/>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 sourceLinked="0"/>
            <c:spPr>
              <a:noFill/>
              <a:ln w="25400">
                <a:noFill/>
              </a:ln>
              <a:effectLst/>
            </c:spPr>
            <c:txPr>
              <a:bodyPr rot="0" spcFirstLastPara="0" vertOverflow="ellipsis" vert="horz" wrap="square" lIns="38100" tIns="19050" rIns="38100" bIns="19050" anchor="ctr" anchorCtr="1">
                <a:spAutoFit/>
              </a:bodyPr>
              <a:lstStyle/>
              <a:p>
                <a:pPr>
                  <a:defRPr lang="zh-CN" sz="7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Sheet1!$H$4:$K$4</c:f>
              <c:strCache>
                <c:ptCount val="4"/>
                <c:pt idx="0">
                  <c:v>一般公共预算财政拨款收入</c:v>
                </c:pt>
                <c:pt idx="1">
                  <c:v>政府性基金预算财政拨款收入</c:v>
                </c:pt>
                <c:pt idx="2">
                  <c:v>国有资本经营预算财政拨款</c:v>
                </c:pt>
                <c:pt idx="3">
                  <c:v>其他收入</c:v>
                </c:pt>
              </c:strCache>
            </c:strRef>
          </c:cat>
          <c:val>
            <c:numRef>
              <c:f>Sheet1!$H$5:$K$5</c:f>
              <c:numCache>
                <c:formatCode>General</c:formatCode>
                <c:ptCount val="4"/>
                <c:pt idx="0">
                  <c:v>708.77</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0400012387129467"/>
          <c:y val="0.292762980587605"/>
          <c:w val="0.313343036584749"/>
          <c:h val="0.200006392678661"/>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7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77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9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支出决算结构图</a:t>
            </a:r>
            <a:endParaRPr lang="zh-CN" altLang="en-US"/>
          </a:p>
        </c:rich>
      </c:tx>
      <c:layout/>
      <c:overlay val="0"/>
      <c:spPr>
        <a:noFill/>
        <a:ln w="25400">
          <a:noFill/>
        </a:ln>
      </c:spPr>
    </c:title>
    <c:autoTitleDeleted val="0"/>
    <c:plotArea>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0"/>
              <c:layout/>
              <c:numFmt formatCode="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1"/>
              <c:showBubbleSize val="0"/>
              <c:extLst>
                <c:ext xmlns:c15="http://schemas.microsoft.com/office/drawing/2012/chart" uri="{CE6537A1-D6FC-4f65-9D91-7224C49458BB}">
                  <c15:layout>
                    <c:manualLayout>
                      <c:w val="0.13728720483251"/>
                      <c:h val="0.06775956284153"/>
                    </c:manualLayout>
                  </c15:layout>
                </c:ext>
              </c:extLst>
            </c:dLbl>
            <c:dLbl>
              <c:idx val="1"/>
              <c:layout/>
              <c:numFmt formatCode="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1"/>
              <c:showBubbleSize val="0"/>
              <c:extLst>
                <c:ext xmlns:c15="http://schemas.microsoft.com/office/drawing/2012/chart" uri="{CE6537A1-D6FC-4f65-9D91-7224C49458BB}"/>
              </c:extLst>
            </c:dLbl>
            <c:numFmt formatCode="0%" sourceLinked="0"/>
            <c:spPr>
              <a:noFill/>
              <a:ln w="25400">
                <a:noFill/>
              </a:ln>
              <a:effectLst/>
            </c:spPr>
            <c:txPr>
              <a:bodyPr rot="0" spcFirstLastPara="0" vertOverflow="ellipsis" vert="horz" wrap="square" lIns="38100" tIns="19050" rIns="38100" bIns="19050" anchor="ctr" anchorCtr="1">
                <a:spAutoFit/>
              </a:bodyPr>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Sheet1!$N$4:$O$4</c:f>
              <c:strCache>
                <c:ptCount val="2"/>
                <c:pt idx="0">
                  <c:v>基本支出</c:v>
                </c:pt>
                <c:pt idx="1">
                  <c:v>项目支出</c:v>
                </c:pt>
              </c:strCache>
            </c:strRef>
          </c:cat>
          <c:val>
            <c:numRef>
              <c:f>Sheet1!$N$5:$O$5</c:f>
              <c:numCache>
                <c:formatCode>General</c:formatCode>
                <c:ptCount val="2"/>
                <c:pt idx="0">
                  <c:v>593.46</c:v>
                </c:pt>
                <c:pt idx="1">
                  <c:v>115.31</c:v>
                </c:pt>
              </c:numCache>
            </c:numRef>
          </c:val>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0.390456749240412"/>
          <c:y val="0.904947128513753"/>
          <c:w val="0.268540474862388"/>
          <c:h val="0.0622970849339178"/>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68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01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财政拨款收、支决算总计变动情况</a:t>
            </a:r>
            <a:endParaRPr lang="zh-CN" altLang="en-US"/>
          </a:p>
        </c:rich>
      </c:tx>
      <c:layout/>
      <c:overlay val="0"/>
      <c:spPr>
        <a:noFill/>
        <a:ln w="25400">
          <a:noFill/>
        </a:ln>
      </c:spPr>
    </c:title>
    <c:autoTitleDeleted val="0"/>
    <c:plotArea>
      <c:layout/>
      <c:barChart>
        <c:barDir val="col"/>
        <c:grouping val="clustered"/>
        <c:varyColors val="0"/>
        <c:ser>
          <c:idx val="0"/>
          <c:order val="0"/>
          <c:tx>
            <c:strRef>
              <c:f>Sheet1!$B$28</c:f>
              <c:strCache>
                <c:ptCount val="1"/>
                <c:pt idx="0">
                  <c:v>2023</c:v>
                </c:pt>
              </c:strCache>
            </c:strRef>
          </c:tx>
          <c:spPr>
            <a:solidFill>
              <a:srgbClr val="9999FF"/>
            </a:solidFill>
            <a:ln w="12700">
              <a:solidFill>
                <a:srgbClr val="000000"/>
              </a:solidFill>
              <a:prstDash val="solid"/>
            </a:ln>
          </c:spPr>
          <c:invertIfNegative val="0"/>
          <c:dLbls>
            <c:dLbl>
              <c:idx val="0"/>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Sheet1!$C$27:$D$27</c:f>
              <c:strCache>
                <c:ptCount val="2"/>
                <c:pt idx="0">
                  <c:v>收入</c:v>
                </c:pt>
                <c:pt idx="1">
                  <c:v>支出</c:v>
                </c:pt>
              </c:strCache>
            </c:strRef>
          </c:cat>
          <c:val>
            <c:numRef>
              <c:f>Sheet1!$C$28:$D$28</c:f>
              <c:numCache>
                <c:formatCode>#,##0.00</c:formatCode>
                <c:ptCount val="2"/>
                <c:pt idx="0">
                  <c:v>813.33</c:v>
                </c:pt>
                <c:pt idx="1">
                  <c:v>813.33</c:v>
                </c:pt>
              </c:numCache>
            </c:numRef>
          </c:val>
        </c:ser>
        <c:ser>
          <c:idx val="1"/>
          <c:order val="1"/>
          <c:tx>
            <c:strRef>
              <c:f>Sheet1!$B$29</c:f>
              <c:strCache>
                <c:ptCount val="1"/>
                <c:pt idx="0">
                  <c:v>2024</c:v>
                </c:pt>
              </c:strCache>
            </c:strRef>
          </c:tx>
          <c:spPr>
            <a:solidFill>
              <a:srgbClr val="993366"/>
            </a:solidFill>
            <a:ln w="12700">
              <a:solidFill>
                <a:srgbClr val="000000"/>
              </a:solidFill>
              <a:prstDash val="solid"/>
            </a:ln>
          </c:spPr>
          <c:invertIfNegative val="0"/>
          <c:dLbls>
            <c:dLbl>
              <c:idx val="0"/>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Sheet1!$C$27:$D$27</c:f>
              <c:strCache>
                <c:ptCount val="2"/>
                <c:pt idx="0">
                  <c:v>收入</c:v>
                </c:pt>
                <c:pt idx="1">
                  <c:v>支出</c:v>
                </c:pt>
              </c:strCache>
            </c:strRef>
          </c:cat>
          <c:val>
            <c:numRef>
              <c:f>Sheet1!$C$29:$D$29</c:f>
              <c:numCache>
                <c:formatCode>General</c:formatCode>
                <c:ptCount val="2"/>
                <c:pt idx="0">
                  <c:v>708.77</c:v>
                </c:pt>
                <c:pt idx="1">
                  <c:v>708.77</c:v>
                </c:pt>
              </c:numCache>
            </c:numRef>
          </c:val>
        </c:ser>
        <c:dLbls>
          <c:showLegendKey val="0"/>
          <c:showVal val="0"/>
          <c:showCatName val="0"/>
          <c:showSerName val="0"/>
          <c:showPercent val="0"/>
          <c:showBubbleSize val="0"/>
        </c:dLbls>
        <c:gapWidth val="150"/>
        <c:axId val="1115121056"/>
        <c:axId val="1"/>
      </c:barChart>
      <c:catAx>
        <c:axId val="111512105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noMultiLvlLbl val="0"/>
      </c:catAx>
      <c:valAx>
        <c:axId val="1"/>
        <c:scaling>
          <c:orientation val="minMax"/>
        </c:scaling>
        <c:delete val="0"/>
        <c:axPos val="l"/>
        <c:majorGridlines>
          <c:spPr>
            <a:ln w="3175" cap="flat" cmpd="sng" algn="ctr">
              <a:solidFill>
                <a:srgbClr val="000000"/>
              </a:solidFill>
              <a:prstDash val="solid"/>
              <a:round/>
            </a:ln>
          </c:spPr>
        </c:majorGridlines>
        <c:numFmt formatCode="#,##0.00"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15121056"/>
        <c:crosses val="autoZero"/>
        <c:crossBetween val="between"/>
      </c:valAx>
      <c:spPr>
        <a:solidFill>
          <a:srgbClr val="C0C0C0"/>
        </a:solidFill>
        <a:ln w="3175">
          <a:solidFill>
            <a:srgbClr val="808080"/>
          </a:solidFill>
          <a:prstDash val="solid"/>
        </a:ln>
      </c:spPr>
    </c:plotArea>
    <c:legend>
      <c:legendPos val="r"/>
      <c:layout>
        <c:manualLayout>
          <c:xMode val="edge"/>
          <c:yMode val="edge"/>
          <c:x val="0.510526655889303"/>
          <c:y val="0.215353733027004"/>
          <c:w val="0.139644055875604"/>
          <c:h val="0.0569325960875988"/>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69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76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76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一般公共预算财政拨款支出决算变动情况</a:t>
            </a:r>
            <a:endParaRPr lang="zh-CN" altLang="en-US"/>
          </a:p>
        </c:rich>
      </c:tx>
      <c:layout/>
      <c:overlay val="0"/>
      <c:spPr>
        <a:noFill/>
        <a:ln w="25400">
          <a:noFill/>
        </a:ln>
      </c:spPr>
    </c:title>
    <c:autoTitleDeleted val="0"/>
    <c:plotArea>
      <c:layout/>
      <c:barChart>
        <c:barDir val="col"/>
        <c:grouping val="clustered"/>
        <c:varyColors val="0"/>
        <c:ser>
          <c:idx val="1"/>
          <c:order val="0"/>
          <c:tx>
            <c:strRef>
              <c:f>一般公共预算财政拨款支出决算变动情况</c:f>
              <c:strCache>
                <c:ptCount val="1"/>
                <c:pt idx="0">
                  <c:v>一般公共预算财政拨款支出决算变动情况</c:v>
                </c:pt>
              </c:strCache>
            </c:strRef>
          </c:tx>
          <c:spPr>
            <a:solidFill>
              <a:srgbClr val="993366"/>
            </a:solidFill>
            <a:ln w="12700">
              <a:solidFill>
                <a:srgbClr val="000000"/>
              </a:solidFill>
              <a:prstDash val="solid"/>
            </a:ln>
          </c:spPr>
          <c:invertIfNegative val="0"/>
          <c:dLbls>
            <c:dLbl>
              <c:idx val="0"/>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w="25400">
                  <a:noFill/>
                </a:ln>
                <a:effectLst/>
              </c:spPr>
              <c:txPr>
                <a:bodyPr rot="0" spcFirstLastPara="0" vertOverflow="ellipsis" vert="horz" wrap="square" lIns="38100" tIns="19050" rIns="38100" bIns="19050"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Sheet1!$H$27:$I$27</c:f>
              <c:numCache>
                <c:formatCode>General</c:formatCode>
                <c:ptCount val="2"/>
                <c:pt idx="0">
                  <c:v>2023</c:v>
                </c:pt>
                <c:pt idx="1">
                  <c:v>2024</c:v>
                </c:pt>
              </c:numCache>
            </c:numRef>
          </c:cat>
          <c:val>
            <c:numRef>
              <c:f>Sheet1!$H$28:$I$28</c:f>
              <c:numCache>
                <c:formatCode>#,##0.00</c:formatCode>
                <c:ptCount val="2"/>
                <c:pt idx="0">
                  <c:v>813.33</c:v>
                </c:pt>
                <c:pt idx="1" c:formatCode="General">
                  <c:v>708.77</c:v>
                </c:pt>
              </c:numCache>
            </c:numRef>
          </c:val>
        </c:ser>
        <c:dLbls>
          <c:showLegendKey val="0"/>
          <c:showVal val="0"/>
          <c:showCatName val="0"/>
          <c:showSerName val="0"/>
          <c:showPercent val="0"/>
          <c:showBubbleSize val="0"/>
        </c:dLbls>
        <c:gapWidth val="150"/>
        <c:axId val="1302850128"/>
        <c:axId val="1"/>
      </c:barChart>
      <c:catAx>
        <c:axId val="1302850128"/>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noMultiLvlLbl val="0"/>
      </c:catAx>
      <c:valAx>
        <c:axId val="1"/>
        <c:scaling>
          <c:orientation val="minMax"/>
        </c:scaling>
        <c:delete val="0"/>
        <c:axPos val="l"/>
        <c:majorGridlines>
          <c:spPr>
            <a:ln w="3175" cap="flat" cmpd="sng" algn="ctr">
              <a:solidFill>
                <a:srgbClr val="000000"/>
              </a:solidFill>
              <a:prstDash val="solid"/>
              <a:round/>
            </a:ln>
          </c:spPr>
        </c:majorGridlines>
        <c:numFmt formatCode="#,##0.00"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76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302850128"/>
        <c:crosses val="autoZero"/>
        <c:crossBetween val="between"/>
      </c:valAx>
      <c:spPr>
        <a:solidFill>
          <a:srgbClr val="C0C0C0"/>
        </a:solidFill>
        <a:ln w="3175">
          <a:solidFill>
            <a:srgbClr val="808080"/>
          </a:solidFill>
          <a:prstDash val="solid"/>
        </a:ln>
      </c:spPr>
    </c:plotArea>
    <c:legend>
      <c:legendPos val="r"/>
      <c:layout>
        <c:manualLayout>
          <c:xMode val="edge"/>
          <c:yMode val="edge"/>
          <c:x val="0.356375576585379"/>
          <c:y val="0.890885131070612"/>
          <c:w val="0.46910662632157"/>
          <c:h val="0.061948966067824"/>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69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76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20" b="1" i="0" u="sng"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一般公共预算财政拨款支出决算情况</a:t>
            </a:r>
            <a:endParaRPr lang="zh-CN" altLang="en-US"/>
          </a:p>
        </c:rich>
      </c:tx>
      <c:layout/>
      <c:overlay val="0"/>
      <c:spPr>
        <a:noFill/>
        <a:ln w="25400">
          <a:noFill/>
        </a:ln>
      </c:spPr>
    </c:title>
    <c:autoTitleDeleted val="0"/>
    <c:plotArea>
      <c:layout>
        <c:manualLayout>
          <c:layoutTarget val="inner"/>
          <c:xMode val="edge"/>
          <c:yMode val="edge"/>
          <c:x val="0.24375"/>
          <c:y val="0.29"/>
          <c:w val="0.28825"/>
          <c:h val="0.51525"/>
        </c:manualLayout>
      </c:layout>
      <c:pieChart>
        <c:varyColors val="1"/>
        <c:ser>
          <c:idx val="0"/>
          <c:order val="0"/>
          <c:spPr>
            <a:solidFill>
              <a:srgbClr val="9999FF"/>
            </a:solidFill>
            <a:ln w="12700">
              <a:solidFill>
                <a:srgbClr val="000000"/>
              </a:solidFill>
              <a:prstDash val="solid"/>
            </a:ln>
          </c:spPr>
          <c:explosion val="0"/>
          <c:dPt>
            <c:idx val="0"/>
            <c:bubble3D val="0"/>
            <c:spPr>
              <a:solidFill>
                <a:schemeClr val="accent1">
                  <a:lumMod val="20000"/>
                  <a:lumOff val="80000"/>
                </a:schemeClr>
              </a:solidFill>
              <a:ln w="12700">
                <a:solidFill>
                  <a:srgbClr val="000000">
                    <a:alpha val="100000"/>
                  </a:srgbClr>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chemeClr val="accent1">
                  <a:lumMod val="60000"/>
                  <a:lumOff val="40000"/>
                </a:schemeClr>
              </a:solidFill>
              <a:ln w="12700">
                <a:solidFill>
                  <a:srgbClr val="000000">
                    <a:alpha val="100000"/>
                  </a:srgbClr>
                </a:solidFill>
                <a:prstDash val="solid"/>
              </a:ln>
            </c:spPr>
          </c:dPt>
          <c:dPt>
            <c:idx val="5"/>
            <c:bubble3D val="0"/>
            <c:spPr>
              <a:solidFill>
                <a:schemeClr val="accent2">
                  <a:lumMod val="40000"/>
                  <a:lumOff val="60000"/>
                </a:schemeClr>
              </a:solidFill>
              <a:ln w="12700">
                <a:solidFill>
                  <a:srgbClr val="000000">
                    <a:alpha val="100000"/>
                  </a:srgbClr>
                </a:solidFill>
                <a:prstDash val="solid"/>
              </a:ln>
            </c:spPr>
          </c:dPt>
          <c:dPt>
            <c:idx val="6"/>
            <c:bubble3D val="0"/>
            <c:spPr>
              <a:solidFill>
                <a:srgbClr val="9999FF"/>
              </a:solidFill>
              <a:ln w="12700">
                <a:solidFill>
                  <a:srgbClr val="000000"/>
                </a:solidFill>
                <a:prstDash val="solid"/>
              </a:ln>
            </c:spPr>
          </c:dPt>
          <c:dLbls>
            <c:dLbl>
              <c:idx val="0"/>
              <c:layout>
                <c:manualLayout>
                  <c:x val="0.0590009823511341"/>
                  <c:y val="-0.114067576348278"/>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5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manualLayout>
                      <c:w val="0.11688868410568"/>
                      <c:h val="0.0513970110461339"/>
                    </c:manualLayout>
                  </c15:layout>
                </c:ext>
              </c:extLst>
            </c:dLbl>
            <c:dLbl>
              <c:idx val="1"/>
              <c:layout>
                <c:manualLayout>
                  <c:x val="0.0173915688117201"/>
                  <c:y val="-0.0791318117399068"/>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5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manualLayout>
                      <c:w val="0.11688868410568"/>
                      <c:h val="0.0448992852501624"/>
                    </c:manualLayout>
                  </c15:layout>
                </c:ext>
              </c:extLst>
            </c:dLbl>
            <c:dLbl>
              <c:idx val="2"/>
              <c:layout>
                <c:manualLayout>
                  <c:x val="-0.0118884255922239"/>
                  <c:y val="-0.0191913145359754"/>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5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439509371873128"/>
                  <c:y val="-0.00819915785380632"/>
                </c:manualLayout>
              </c:layout>
              <c:numFmt formatCode="0%" sourceLinked="0"/>
              <c:spPr>
                <a:noFill/>
                <a:ln w="25400">
                  <a:noFill/>
                </a:ln>
                <a:effectLst/>
              </c:spPr>
              <c:txPr>
                <a:bodyPr rot="0" spcFirstLastPara="0" vertOverflow="ellipsis" vert="horz" wrap="square" lIns="38100" tIns="19050" rIns="38100" bIns="19050" anchor="ctr" anchorCtr="1"/>
                <a:lstStyle/>
                <a:p>
                  <a:pPr>
                    <a:defRPr lang="zh-CN" sz="75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0.0387740029542097"/>
                  <c:y val="-0.052938062466913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6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5"/>
              <c:layout>
                <c:manualLayout>
                  <c:x val="-0.0415435745937962"/>
                  <c:y val="-0.021175224986765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6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6"/>
              <c:layout>
                <c:manualLayout>
                  <c:x val="0.0304652880354505"/>
                  <c:y val="-0.10322922181048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6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 sourceLinked="0"/>
            <c:spPr>
              <a:noFill/>
              <a:ln w="25400">
                <a:noFill/>
              </a:ln>
              <a:effectLst/>
            </c:spPr>
            <c:txPr>
              <a:bodyPr rot="0" spcFirstLastPara="0" vertOverflow="ellipsis" vert="horz" wrap="square" lIns="38100" tIns="19050" rIns="38100" bIns="19050" anchor="ctr" anchorCtr="1">
                <a:spAutoFit/>
              </a:bodyPr>
              <a:lstStyle/>
              <a:p>
                <a:pPr>
                  <a:defRPr lang="zh-CN" sz="106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Sheet1!$M$26:$S$26</c:f>
              <c:strCache>
                <c:ptCount val="4"/>
                <c:pt idx="0">
                  <c:v>一般公共服务支出</c:v>
                </c:pt>
                <c:pt idx="1">
                  <c:v>社会保障和就业支出</c:v>
                </c:pt>
                <c:pt idx="2">
                  <c:v>卫生健康支出</c:v>
                </c:pt>
                <c:pt idx="3">
                  <c:v>住房保障支出</c:v>
                </c:pt>
              </c:strCache>
            </c:strRef>
          </c:cat>
          <c:val>
            <c:numRef>
              <c:f>Sheet1!$M$27:$S$27</c:f>
              <c:numCache>
                <c:formatCode>General</c:formatCode>
                <c:ptCount val="7"/>
                <c:pt idx="0">
                  <c:v>467.87</c:v>
                </c:pt>
                <c:pt idx="1">
                  <c:v>176.67</c:v>
                </c:pt>
                <c:pt idx="2">
                  <c:v>33.11</c:v>
                </c:pt>
                <c:pt idx="3">
                  <c:v>31.12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89476465904785"/>
          <c:y val="0.555573055627712"/>
          <c:w val="0.269996666480361"/>
          <c:h val="0.415217757363869"/>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975" b="0" i="0" u="sng"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65" b="0" i="0" u="sng"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783545197740113"/>
          <c:y val="0.0181532951289398"/>
        </c:manualLayout>
      </c:layout>
      <c:overlay val="0"/>
      <c:spPr>
        <a:noFill/>
        <a:ln w="25400">
          <a:noFill/>
        </a:ln>
      </c:spPr>
      <c:txPr>
        <a:bodyPr rot="0" spcFirstLastPara="0" vertOverflow="ellipsis" vert="horz" wrap="square" anchor="ctr" anchorCtr="1"/>
        <a:lstStyle/>
        <a:p>
          <a:pPr>
            <a:defRPr lang="zh-CN" sz="10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31975"/>
          <c:y val="0.2935"/>
          <c:w val="0.26575"/>
          <c:h val="0.55975"/>
        </c:manualLayout>
      </c:layout>
      <c:pieChart>
        <c:varyColors val="1"/>
        <c:ser>
          <c:idx val="0"/>
          <c:order val="0"/>
          <c:tx>
            <c:strRef>
              <c:f>“三公”经费财政拨款支出结构</c:f>
              <c:strCache>
                <c:ptCount val="1"/>
                <c:pt idx="0">
                  <c:v>“三公”经费财政拨款支出结构</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3175">
                <a:solidFill>
                  <a:srgbClr val="000000"/>
                </a:solidFill>
                <a:prstDash val="solid"/>
              </a:ln>
            </c:spPr>
          </c:dPt>
          <c:dPt>
            <c:idx val="2"/>
            <c:bubble3D val="0"/>
            <c:spPr>
              <a:solidFill>
                <a:srgbClr val="FFFFCC"/>
              </a:solidFill>
              <a:ln w="12700">
                <a:solidFill>
                  <a:srgbClr val="000000"/>
                </a:solidFill>
                <a:prstDash val="solid"/>
              </a:ln>
            </c:spPr>
          </c:dPt>
          <c:dLbls>
            <c:dLbl>
              <c:idx val="0"/>
              <c:layout/>
              <c:numFmt formatCode="0%" sourceLinked="0"/>
              <c:spPr>
                <a:noFill/>
                <a:ln w="25400">
                  <a:noFill/>
                </a:ln>
                <a:effectLst/>
              </c:spPr>
              <c:txPr>
                <a:bodyPr rot="0" spcFirstLastPara="0" vertOverflow="ellipsis" vert="horz" wrap="square" lIns="38100" tIns="19050" rIns="38100" bIns="19050" anchor="ctr" anchorCtr="1"/>
                <a:lstStyle/>
                <a:p>
                  <a:pPr>
                    <a:defRPr lang="zh-CN" sz="8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1"/>
              <c:showBubbleSize val="0"/>
              <c:extLst>
                <c:ext xmlns:c15="http://schemas.microsoft.com/office/drawing/2012/chart" uri="{CE6537A1-D6FC-4f65-9D91-7224C49458BB}"/>
              </c:extLst>
            </c:dLbl>
            <c:dLbl>
              <c:idx val="1"/>
              <c:layout/>
              <c:numFmt formatCode="0%" sourceLinked="0"/>
              <c:spPr>
                <a:noFill/>
                <a:ln w="25400">
                  <a:noFill/>
                </a:ln>
                <a:effectLst/>
              </c:spPr>
              <c:txPr>
                <a:bodyPr rot="0" spcFirstLastPara="0" vertOverflow="ellipsis" vert="horz" wrap="square" lIns="38100" tIns="19050" rIns="38100" bIns="19050" anchor="ctr" anchorCtr="1"/>
                <a:lstStyle/>
                <a:p>
                  <a:pPr>
                    <a:defRPr lang="zh-CN" sz="8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1"/>
              <c:showBubbleSize val="0"/>
              <c:extLst>
                <c:ext xmlns:c15="http://schemas.microsoft.com/office/drawing/2012/chart" uri="{CE6537A1-D6FC-4f65-9D91-7224C49458BB}"/>
              </c:extLst>
            </c:dLbl>
            <c:dLbl>
              <c:idx val="2"/>
              <c:layout/>
              <c:numFmt formatCode="0%" sourceLinked="0"/>
              <c:spPr>
                <a:noFill/>
                <a:ln w="25400">
                  <a:noFill/>
                </a:ln>
                <a:effectLst/>
              </c:spPr>
              <c:txPr>
                <a:bodyPr rot="0" spcFirstLastPara="0" vertOverflow="ellipsis" vert="horz" wrap="square" lIns="38100" tIns="19050" rIns="38100" bIns="19050" anchor="ctr" anchorCtr="1"/>
                <a:lstStyle/>
                <a:p>
                  <a:pPr>
                    <a:defRPr lang="zh-CN" sz="8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1"/>
              <c:showBubbleSize val="0"/>
              <c:extLst>
                <c:ext xmlns:c15="http://schemas.microsoft.com/office/drawing/2012/chart" uri="{CE6537A1-D6FC-4f65-9D91-7224C49458BB}"/>
              </c:extLst>
            </c:dLbl>
            <c:numFmt formatCode="0%" sourceLinked="0"/>
            <c:spPr>
              <a:noFill/>
              <a:ln w="25400">
                <a:noFill/>
              </a:ln>
              <a:effectLst/>
            </c:spPr>
            <c:txPr>
              <a:bodyPr rot="0" spcFirstLastPara="0" vertOverflow="ellipsis" vert="horz" wrap="square" lIns="38100" tIns="19050" rIns="38100" bIns="19050" anchor="ctr" anchorCtr="1">
                <a:spAutoFit/>
              </a:bodyPr>
              <a:lstStyle/>
              <a:p>
                <a:pPr>
                  <a:defRPr lang="zh-CN" sz="8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Sheet1!$B$49:$D$49</c:f>
              <c:strCache>
                <c:ptCount val="3"/>
                <c:pt idx="0">
                  <c:v>因公出国（境）费支出决算</c:v>
                </c:pt>
                <c:pt idx="1">
                  <c:v>公务用车购置及运行维护费支出决算</c:v>
                </c:pt>
                <c:pt idx="2">
                  <c:v>公务接待费支出决算</c:v>
                </c:pt>
              </c:strCache>
            </c:strRef>
          </c:cat>
          <c:val>
            <c:numRef>
              <c:f>Sheet1!$B$50:$D$50</c:f>
              <c:numCache>
                <c:formatCode>General</c:formatCode>
                <c:ptCount val="3"/>
                <c:pt idx="0">
                  <c:v>0</c:v>
                </c:pt>
                <c:pt idx="2">
                  <c:v>0.58</c:v>
                </c:pt>
              </c:numCache>
            </c:numRef>
          </c:val>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0.667818849934011"/>
          <c:y val="0.447006843606526"/>
          <c:w val="0.310179821162243"/>
          <c:h val="0.280811991496407"/>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8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695" b="0" i="1"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10786</Words>
  <Characters>11600</Characters>
  <Lines>74</Lines>
  <Paragraphs>207</Paragraphs>
  <TotalTime>4</TotalTime>
  <ScaleCrop>false</ScaleCrop>
  <LinksUpToDate>false</LinksUpToDate>
  <CharactersWithSpaces>11639</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2025-10-27T20:46:00Z</dcterms:created>
  <dc:creator>1244385194@qq.com</dc:creator>
  <cp:lastModifiedBy>Administrator</cp:lastModifiedBy>
  <dcterms:modified xsi:type="dcterms:W3CDTF">2025-10-30T01:10:19Z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