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E105">
      <w:pPr>
        <w:pStyle w:val="4"/>
        <w:ind w:left="0" w:firstLine="0" w:firstLineChars="0"/>
        <w:rPr>
          <w:rFonts w:hint="eastAsia" w:ascii="方正黑体_GBK" w:eastAsia="方正黑体_GBK" w:cs="方正黑体_GBK"/>
          <w:szCs w:val="32"/>
          <w:lang w:bidi="ar"/>
        </w:rPr>
      </w:pPr>
      <w:r>
        <w:rPr>
          <w:rFonts w:hint="eastAsia" w:ascii="方正黑体_GBK" w:eastAsia="方正黑体_GBK" w:cs="方正黑体_GBK"/>
          <w:szCs w:val="32"/>
          <w:lang w:bidi="ar"/>
        </w:rPr>
        <w:t>附件3</w:t>
      </w:r>
    </w:p>
    <w:p w14:paraId="652C388F">
      <w:pPr>
        <w:pStyle w:val="4"/>
        <w:adjustRightInd w:val="0"/>
        <w:snapToGrid w:val="0"/>
        <w:spacing w:line="160" w:lineRule="atLeast"/>
        <w:ind w:left="0" w:firstLine="0" w:firstLineChars="0"/>
        <w:jc w:val="center"/>
        <w:rPr>
          <w:rFonts w:hint="eastAsia" w:ascii="方正小标宋_GBK" w:eastAsia="方正小标宋_GBK" w:cs="方正小标宋_GBK"/>
          <w:b/>
          <w:bCs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eastAsia="方正小标宋_GBK" w:cs="方正小标宋_GBK"/>
          <w:b/>
          <w:bCs/>
          <w:color w:val="auto"/>
          <w:kern w:val="0"/>
          <w:sz w:val="44"/>
          <w:szCs w:val="44"/>
          <w:u w:val="none"/>
          <w:lang w:val="en-US" w:eastAsia="zh-CN" w:bidi="ar"/>
        </w:rPr>
        <w:t>四川省慈善组织保值增值投资活动情况统计表</w:t>
      </w:r>
    </w:p>
    <w:p w14:paraId="0DD84834">
      <w:pPr>
        <w:pStyle w:val="4"/>
        <w:adjustRightInd w:val="0"/>
        <w:snapToGrid w:val="0"/>
        <w:spacing w:line="160" w:lineRule="atLeast"/>
        <w:ind w:left="0" w:firstLine="0" w:firstLineChars="0"/>
        <w:jc w:val="center"/>
        <w:rPr>
          <w:rFonts w:hint="default" w:ascii="Times New Roman" w:hAnsi="Times New Roman" w:eastAsia="黑体" w:cs="Times New Roman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1"/>
          <w:szCs w:val="21"/>
          <w:u w:val="none"/>
          <w:lang w:val="en-US" w:eastAsia="zh-CN" w:bidi="ar"/>
        </w:rPr>
        <w:t>慈善组织名称：</w:t>
      </w:r>
      <w:r>
        <w:rPr>
          <w:rFonts w:hint="eastAsia" w:ascii="Times New Roman" w:hAnsi="Times New Roman" w:eastAsia="黑体" w:cs="Times New Roman"/>
          <w:color w:val="auto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eastAsia="黑体" w:cs="Times New Roman"/>
          <w:color w:val="auto"/>
          <w:kern w:val="0"/>
          <w:sz w:val="21"/>
          <w:szCs w:val="21"/>
          <w:u w:val="none"/>
          <w:lang w:val="en-US" w:eastAsia="zh-CN" w:bidi="ar"/>
        </w:rPr>
        <w:t>单位：万元</w:t>
      </w:r>
    </w:p>
    <w:tbl>
      <w:tblPr>
        <w:tblStyle w:val="2"/>
        <w:tblW w:w="15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487"/>
        <w:gridCol w:w="514"/>
        <w:gridCol w:w="1046"/>
        <w:gridCol w:w="836"/>
        <w:gridCol w:w="793"/>
        <w:gridCol w:w="685"/>
        <w:gridCol w:w="579"/>
        <w:gridCol w:w="900"/>
        <w:gridCol w:w="664"/>
        <w:gridCol w:w="900"/>
        <w:gridCol w:w="1136"/>
        <w:gridCol w:w="878"/>
        <w:gridCol w:w="686"/>
        <w:gridCol w:w="989"/>
        <w:gridCol w:w="909"/>
        <w:gridCol w:w="900"/>
      </w:tblGrid>
      <w:tr w14:paraId="3B9B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0E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C0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投资金额（万元）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AB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购买机构（委托机构、股权投资企业、借款企业或个人）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FB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投资起始时间（**年**月-**年**月）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B9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投资金额占上年年末净资产的比例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E1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是否已到期收回本金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36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投资收益（万元）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C7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是否属于不得用于投资的财产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BE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直接进行股权投资的被投资方经营范围（此项仅限于股权投资填写）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A5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是否经理事会组成人员三分之二以上同意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70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是否属于关联交易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96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  <w:p w14:paraId="31E38B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</w:tr>
      <w:tr w14:paraId="51EB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2F8D"/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7915"/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0ED6"/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4093"/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DA5B"/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FE41"/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ED17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07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在投资期间需要拨付的限定性资金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4E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接受政府资助的财产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BF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捐赠协议约定不得投资的财产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1A7B"/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F0E1"/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F7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是否存在关联交易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2A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是否按照慈善法第十四条进行决策回避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2C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23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关联交易情况是否在慈善中国信息公开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21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w w:val="80"/>
                <w:kern w:val="0"/>
                <w:sz w:val="21"/>
                <w:szCs w:val="21"/>
                <w:u w:val="none"/>
                <w:lang w:val="en-US" w:eastAsia="zh-CN" w:bidi="ar"/>
              </w:rPr>
              <w:t>投资行为是否在慈善中国信息公开</w:t>
            </w:r>
          </w:p>
        </w:tc>
      </w:tr>
      <w:tr w14:paraId="0B920DA4">
        <w:trPr>
          <w:cantSplit/>
          <w:trHeight w:val="567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6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投资活动开展情况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6E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直接购买《慈善组织保值增值投资活动管理暂行办法》第四条第一项的资产管理产品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94F0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E7F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3A3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8B7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E04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9C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B539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ED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FA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D0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03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99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1C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05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FE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2C9F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2158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42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7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通过发起设立、并购、参股等方式直接进行股权投资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D4F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4A4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F40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779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7F2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1EF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85F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AB8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6784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320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C3E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47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374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029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7AE6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5B012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BC89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53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7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将财产委托给受金融监督管理部门监管的机构进行投资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BEC8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410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526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A8D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460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DFD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1158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DF8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D48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DAA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32F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2DF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DDF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3E5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966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4CD1C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66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是否进行下列投资活动（有，就在对应项中填写金额）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0B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直接买卖股票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6A3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1DD6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8B2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60E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1DF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0477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A85E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A951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3294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6E93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D699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C17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9107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641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5C9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233E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3FD0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CE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直接购买商品及金融衍生品类产品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811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41F2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4C39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0607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966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F47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5C01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0A15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A21E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0337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7EC8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C63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B75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FC39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CEA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71E3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D47E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A2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投资人身保险产品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040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8C3D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38E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7D14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EA6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E71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3150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CF9A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0606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DE73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EEC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BD1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417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C78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32C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00D0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799D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BE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以投资名义向个人、企业提供借款（多笔借款应分栏列出）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C87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BA8E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BBA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C17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4C2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ACB4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C829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34CD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0FF3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7783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D8F8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E62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E7F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2BC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AB6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2029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DE7F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CA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pacing w:val="-11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不符合国家产业政策的投资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AB9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CF04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131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B80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F99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200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E6BC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536D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A826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E3A0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642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423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3583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D7D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7F80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0CC9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E232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38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可能使本组织承担无限责任的投资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85CB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E11A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19B4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BA0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A59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9A0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B9EE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3A88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B3E1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4D33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4797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D82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EF3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71B8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F60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6494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E485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C1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违背本组织宗旨、可能损害信誉的投资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5608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E803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7201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2C7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3085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5AF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5FEA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2B24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FC47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044E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C6B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008C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4FE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F8F7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51E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  <w:tr w14:paraId="7115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791A"/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27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非法集资等国家法律法规禁止的其他活动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DE8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E861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5EC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976D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AF5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30F6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831B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869F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2B52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8E71">
            <w:pPr>
              <w:adjustRightInd w:val="0"/>
              <w:snapToGrid w:val="0"/>
              <w:spacing w:line="240" w:lineRule="exact"/>
              <w:jc w:val="lef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636F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B7DE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D1DA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3677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3682">
            <w:pPr>
              <w:adjustRightInd w:val="0"/>
              <w:snapToGrid w:val="0"/>
              <w:spacing w:line="240" w:lineRule="exact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</w:p>
        </w:tc>
      </w:tr>
    </w:tbl>
    <w:p w14:paraId="7A997961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673E22-50B4-403E-908B-404302C2CE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E7535E-DFE7-462C-AE75-B5F6C085B4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63A854-5906-463A-BCAF-C16A89E31E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7BAC6C-A670-4862-AC44-3799D1A0117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73C47"/>
    <w:rsid w:val="3E17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样式（方正仿宋简）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2026-04-27T07:56:00Z</dcterms:created>
  <dc:creator>WPS_1755445116</dc:creator>
  <cp:lastModifiedBy>WPS_1755445116</cp:lastModifiedBy>
  <dcterms:modified xsi:type="dcterms:W3CDTF">2026-04-27T07:57:53Z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9B4286139C3146ADAF17D42A221E4EE9_11</vt:lpwstr>
  </property>
  <property fmtid="{D5CDD505-2E9C-101B-9397-08002B2CF9AE}" pid="4" name="KSOTemplateDocerSaveRecord">
    <vt:lpwstr>eyJoZGlkIjoiNmRkMTdkNjRiM2QyMmFlNmU1ZjQ4ZTJiMjg5Y2EzZWMiLCJ1c2VySWQiOiIxNzI4NzA2ODU5In0=</vt:lpwstr>
  </property>
</Properties>
</file>