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61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攀枝花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市东区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科技计划</w:t>
      </w:r>
    </w:p>
    <w:p w14:paraId="416209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揭榜挂帅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项目管理办法（试行）</w:t>
      </w:r>
    </w:p>
    <w:p w14:paraId="4FFEC2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br w:type="textWrapping"/>
      </w: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第一章 总则</w:t>
      </w:r>
      <w:bookmarkStart w:id="0" w:name="_GoBack"/>
      <w:bookmarkEnd w:id="0"/>
    </w:p>
    <w:p w14:paraId="1474E7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为推动我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科技领域“放管服”改革，进一步完善攀枝花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市东区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科技计划项目管理体系，探索改革科技项目组织模式，坚持目标导向和结果导向，以“揭榜挂帅”方式开展有组织的科研，充分调动和整合各方优势资源，集中力量攻克制约我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重点产业发展、关系社会发展的重大科学问题、关键核心技术、关键共性技术、重大科技成果转化难题，不断强化科技创新对经济社会发展的支撑作用，特制定本办法。</w:t>
      </w:r>
    </w:p>
    <w:p w14:paraId="560D3E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攀枝花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市东区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科技计划“揭榜挂帅”项目（以下简称“揭榜挂帅”项目）包括技术攻关类和成果转化类两类项目，其中技术攻关类分为行业共性技术攻关项目和企业出题项目两类。</w:t>
      </w:r>
    </w:p>
    <w:p w14:paraId="188A92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技术攻关类项目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8F636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1.行业共性技术攻关项目聚焦服务国家重大战略任务和我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高质量发展的重大技术需求，符合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委全会决定、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政府工作报告、科技创新规划等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政府决策部署，突出对重点产业重大科学问题、关键核心技术、关键共性技术、自主可控技术以及公益事业的重大科技支撑。</w:t>
      </w:r>
    </w:p>
    <w:p w14:paraId="37DFDE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2.企业出题项目聚焦我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重点产业企业提出的关键核心技术攻关需求，提升企业技术创新能力，强化企业创新主体地位。</w:t>
      </w:r>
    </w:p>
    <w:p w14:paraId="5B3EAD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（二）成果转化类项目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重点推动更多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内外的重大科技成果在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转化落地，形成产品和加速产业化。</w:t>
      </w:r>
    </w:p>
    <w:p w14:paraId="2843C5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第二章 条件要求</w:t>
      </w:r>
    </w:p>
    <w:p w14:paraId="73DD78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行业共性技术攻关项目揭榜方牵头单位应为注册地在攀枝花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行政区域内且具有独立法人资格的高校、科研院所、企业、新型研发机构等，应满足以下条件：</w:t>
      </w:r>
    </w:p>
    <w:p w14:paraId="644674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需具有良好的科研道德和社会诚信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3ABDE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级科技计划项目限制申报记录，未被列入联合惩戒名单，近三年内无不良信用记录或违法行为。</w:t>
      </w:r>
    </w:p>
    <w:p w14:paraId="07BCDC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第四条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企业出题项目技术需求企业应为注册地在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行政区域内且具有独立法人资格的企业，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除需满足第三条（一）（二）外，还应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满足以下条件：</w:t>
      </w:r>
    </w:p>
    <w:p w14:paraId="419BFE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对前沿技术、关键核心技术、关键零部件、材料及工艺等有内在迫切需求，在项目攻关成功后能率先在本企业推广应用，能够显著提升企业核心竞争力。</w:t>
      </w:r>
    </w:p>
    <w:p w14:paraId="2FFC4F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具有保障项目实施的资金投入，能够提供项目实施的配套条件。</w:t>
      </w:r>
    </w:p>
    <w:p w14:paraId="767671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第五条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企业出题项目揭榜方应是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中华人民共和国境内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具有法人资格的高校、科研院所、企业、新型研发机构等，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除需满足第三条（一）（二）外，还应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满足以下条件：</w:t>
      </w:r>
    </w:p>
    <w:p w14:paraId="5EE9E5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有较强的研发实力、良好的科研条件、稳定的科研人员队伍。</w:t>
      </w:r>
    </w:p>
    <w:p w14:paraId="297816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能针对发榜项目需求，提出攻克关键核心技术的可行性方案，掌握自主知识产权。具有成果转化的技术支撑队伍与有关经验，能协助发榜方完成技术应用落地实施。</w:t>
      </w:r>
    </w:p>
    <w:p w14:paraId="17C986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揭榜方与技术需求企业无隶属或股权等关联关系。</w:t>
      </w:r>
    </w:p>
    <w:p w14:paraId="031FE9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第六条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成果转化类项目技术转让方应是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中华人民共和国境内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具有法人资格的高校、科研机构、科技型企业等，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除需满足第三条（一）（二）外，还应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满足以下条件：</w:t>
      </w:r>
    </w:p>
    <w:p w14:paraId="0AA0DE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在关键核心技术攻关中已取得重大突破，拥有成熟科技成果，拟转化的成果具备产业化和推广应用条件，且符合攀枝花企业和重点产业创新发展需求。</w:t>
      </w:r>
    </w:p>
    <w:p w14:paraId="6EE705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具有拟转化成果的自主知识产权，明确的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场用户和应用范围，能够对攀枝花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产业转型升级发挥关键推动作用。</w:t>
      </w:r>
    </w:p>
    <w:p w14:paraId="681F05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拥有成果转化的支撑队伍，能主动参与和协助转化。</w:t>
      </w:r>
    </w:p>
    <w:p w14:paraId="6A69C6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第七条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成果转化类项目揭榜方应是注册地在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行政区域内，具有独立法人资格且拥有技术需求和应用场景的企业等，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除需满足第三条（一）（二）外，还应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满足以下条件：</w:t>
      </w:r>
    </w:p>
    <w:p w14:paraId="01075A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拥有较强的成果转化应用队伍，能够提出科学合理的成果转化方案。</w:t>
      </w:r>
    </w:p>
    <w:p w14:paraId="5FE6F5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能够提供成果转化所需的资金、场地、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场等配套条件。</w:t>
      </w:r>
    </w:p>
    <w:p w14:paraId="299551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638" w:leftChars="304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积极开展示范应用，努力扩大经济和社会效益。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揭榜方与技术转让方无隶属或股权等关联关系。</w:t>
      </w:r>
    </w:p>
    <w:p w14:paraId="7FA770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第三章 组织管理</w:t>
      </w:r>
    </w:p>
    <w:p w14:paraId="7AE0C5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第八条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“揭榜挂帅”项目管理主要包括需求征集、需求论证、发布榜单、揭榜申报、评审遴选、组织对接、项目立项、签订揭榜协议、项目实施管理、任务验收和绩效评价等环节。</w:t>
      </w:r>
    </w:p>
    <w:p w14:paraId="7847E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需求征集。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发布需求征集通知，需求方填报“揭榜挂帅”项目需求，主要包括：需求背景、需求内容、拟解决关键技术及其指标、成果转化内容与形式、时限要求、项目总投入及对揭榜方要求、产权归属、利益分配等内容。</w:t>
      </w:r>
    </w:p>
    <w:p w14:paraId="1575FA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需求论证。针对征集的“揭榜挂帅”项目需求，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科技局组织专家对项目需求进行论证，遴选出符合我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重点领域和产业发展急需的关键核心技术和重大科技成果。</w:t>
      </w:r>
    </w:p>
    <w:p w14:paraId="01E6D8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发布榜单。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科技局根据专家论证意见，经与技术需求企业或成果转让方共同商定后，向社会公开发布。</w:t>
      </w:r>
    </w:p>
    <w:p w14:paraId="005A32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揭榜申报。各有关单位结合榜单要求及自身情况，单独或联合其他单位，填报揭榜申报书。</w:t>
      </w:r>
    </w:p>
    <w:p w14:paraId="1ADB85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评审遴选。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组织技术专家、财务专家和技术需求企业或成果转让方，共同对揭榜方的资质条件、揭榜方案可行性、经费预算的合理性等进行评审，提出揭榜方建议名单，核定“揭榜挂帅”项目经费总额，向社会公示揭榜结果。</w:t>
      </w:r>
    </w:p>
    <w:p w14:paraId="0A44C0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组织对接。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科技局组织技术需求企业或成果转让方、揭榜方对接，充分洽谈，细化落实有关内容要求并签署合同。</w:t>
      </w:r>
    </w:p>
    <w:p w14:paraId="237548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（七）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项目立项。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科技局将公示无异议的“揭榜挂帅”项目及资金分配建议方案会商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财政局，按要求报批后下达项目计划。</w:t>
      </w:r>
    </w:p>
    <w:p w14:paraId="7A41CD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（八）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签订揭榜协议。项目计划下达后，由技术需求企业或成果转让方、揭榜方、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科技局正式签订揭榜协议，细化考核节点、考核方式和考核要求，明确经费额度及拨付方式、奖惩措施和成果归属等约定。</w:t>
      </w:r>
    </w:p>
    <w:p w14:paraId="55E05D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（九）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项目实施管理。项目实施过程中的监管，行业共性技术攻关项目主要由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科技局负责，技术攻关类企业出题项目主要由技术需求企业负责，成果转化类项目主要由揭榜方负责。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科技局将对行业共性技术攻关项目开展考核，依据揭榜协议约定，按照考核情况分阶段拨付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级财政科技专项资金，对于实施不力的项目及时叫停。</w:t>
      </w:r>
    </w:p>
    <w:p w14:paraId="611E5E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（十）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任务验收和绩效评价。项目到期后，由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科技局组织专家和技术需求企业或成果转让方，通过现场验收、用户试用和第三方评测等方式共同对“揭榜挂帅”项目进行任务验收和绩效评价。用户意见作为形成项目验收结论的重要考量。</w:t>
      </w:r>
    </w:p>
    <w:p w14:paraId="14912E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第九条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“揭榜挂帅”项目一般不得变更技术需求企业或成果转让方、揭榜方。因故造成项目无法执行的，经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科技局与发榜方共同审核同意后，可以延期实施或终止或撤销。项目执行期延期只能申请1次，延期时间不超过1年。终止的项目，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科技局组织专家进行咨询论证，形成终止结论，要求有关单位退回结余财政科技资金。撤销的项目，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科技局组织专家进行咨询论证，形成撤销结论，明确有关责任，要求有关单位退回已拨付的财政科技资金，并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酌情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将有关单位或个人纳入科研不良信用行为记录。</w:t>
      </w:r>
    </w:p>
    <w:p w14:paraId="395599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第四章 资金支持及拨付</w:t>
      </w:r>
    </w:p>
    <w:p w14:paraId="2152B1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“揭榜挂帅”项目财政科技专项资金支持方式。</w:t>
      </w:r>
    </w:p>
    <w:p w14:paraId="78E23C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（一）技术攻关类项目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2916D6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1.行业共性技术攻关项目。该类项目由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级财政科技专项资金采取前补助方式支持揭榜方牵头单位，参照《攀枝花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计划项目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专项资金管理办法》进行管理。</w:t>
      </w:r>
    </w:p>
    <w:p w14:paraId="3557BE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2.企业出题项目。该类项目以技术需求企业投入为主，技术需求企业与揭榜方签订技术开发合同，项目合同金额不低于200万元（含）。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级财政科技专项资金采取后补助方式按合同金额的40%补助技术需求企业，单个项目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级财政科技专项资金补助最高不超过100万元。</w:t>
      </w:r>
    </w:p>
    <w:p w14:paraId="7E8563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（二）成果转化类项目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该类项目以揭榜方投入为主，成果转让方与揭榜方签订技术转让合同或技术许可合同，合同金额不低于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00万元（含）。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级财政科技专项资金采取后补助方式按合同金额的40%补助揭榜方，单个项目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级财政科技专项资金补助最高不超过200万元。</w:t>
      </w:r>
    </w:p>
    <w:p w14:paraId="53AAB1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第十一条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“揭榜挂帅”项目财政科技专项资金拨付方式。</w:t>
      </w:r>
    </w:p>
    <w:p w14:paraId="1A260B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采取“里程碑”考核，立项后给予立项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中期考核通过后，给予立项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级财政科技专项资金的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项目完成后对技术进行验收和绩效评价，结论为优秀或合格的拨付剩余资金。</w:t>
      </w:r>
    </w:p>
    <w:p w14:paraId="012773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第五章 监督管理</w:t>
      </w:r>
    </w:p>
    <w:p w14:paraId="344FB4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第十二条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“揭榜挂帅”项目各方应按照国家有关法律法规的规定，需在揭榜协议中约定知识产权的归属和利益分配，避免产生知识产权纠纷。</w:t>
      </w:r>
    </w:p>
    <w:p w14:paraId="550D14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第十三条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的各方应认真履行揭榜协议的各项约定，为项目任务目标的完成提供条件保障和支撑，及时报告影响项目实施的重大事项和重大问题以及取得的重大进展。技术攻关类项目的发榜方、成果转化类项目的揭榜方要加强项目实施进度的督促，并按约定拨付资金。</w:t>
      </w:r>
    </w:p>
    <w:p w14:paraId="09B050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第十四条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“揭榜挂帅”项目各方应在技术攻关或成果转化的过程中，本着实事求是的精神，严格遵循科研诚信、科技伦理等有关规定，坚决杜绝弄虚作假、串通控榜等不良行为发生。对弄虚作假或串通骗取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财政科技专项资金的行为，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科技局会同有关部门按照有关规定给予严肃处理。有关部门将全程跟踪和监督检查，并严肃追究违规行为的有关责任。</w:t>
      </w:r>
    </w:p>
    <w:p w14:paraId="38A2CE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第十五条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本办法自2026年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月1日起施行，有效期2年。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850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3607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3607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48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4EB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A15EF"/>
    <w:rsid w:val="1AFA7F58"/>
    <w:rsid w:val="1B3A15EF"/>
    <w:rsid w:val="218136F8"/>
    <w:rsid w:val="25922ECD"/>
    <w:rsid w:val="26F50BF6"/>
    <w:rsid w:val="2A0B3707"/>
    <w:rsid w:val="2AA0747E"/>
    <w:rsid w:val="2C3A179D"/>
    <w:rsid w:val="2E28089F"/>
    <w:rsid w:val="325A093B"/>
    <w:rsid w:val="3C277440"/>
    <w:rsid w:val="3D232B5B"/>
    <w:rsid w:val="41771430"/>
    <w:rsid w:val="4D611881"/>
    <w:rsid w:val="570E1063"/>
    <w:rsid w:val="57DC29B5"/>
    <w:rsid w:val="583814F6"/>
    <w:rsid w:val="5B0F6FF4"/>
    <w:rsid w:val="68A47FBA"/>
    <w:rsid w:val="6E3034D4"/>
    <w:rsid w:val="76BF6CC5"/>
    <w:rsid w:val="76CB1B74"/>
    <w:rsid w:val="7B11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3705</Words>
  <Characters>3732</Characters>
  <Lines>0</Lines>
  <Paragraphs>0</Paragraphs>
  <TotalTime>10</TotalTime>
  <ScaleCrop>false</ScaleCrop>
  <LinksUpToDate>false</LinksUpToDate>
  <CharactersWithSpaces>3769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2026-03-30T01:30:00Z</dcterms:created>
  <dc:creator>WPS</dc:creator>
  <cp:lastModifiedBy>WPS</cp:lastModifiedBy>
  <cp:lastPrinted>2026-04-27T05:27:26Z</cp:lastPrinted>
  <dcterms:modified xsi:type="dcterms:W3CDTF">2026-04-27T05:28:51Z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63747FB5C64C43968DD4F7ABE9699FED_11</vt:lpwstr>
  </property>
  <property fmtid="{D5CDD505-2E9C-101B-9397-08002B2CF9AE}" pid="4" name="KSOTemplateDocerSaveRecord">
    <vt:lpwstr>eyJoZGlkIjoiYWUyNjVjYTQxYzdlZGUzNDEyMjNmNDg3NzJiNGYxN2YiLCJ1c2VySWQiOiI3NjEzMTk2MzQifQ==</vt:lpwstr>
  </property>
</Properties>
</file>