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91AB5" w14:textId="77777777" w:rsidR="00B762F9" w:rsidRDefault="009F7EF0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攀枝花市东区促进科技创新及</w:t>
      </w:r>
      <w:proofErr w:type="gramStart"/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产业建圈强链</w:t>
      </w:r>
      <w:proofErr w:type="gramEnd"/>
    </w:p>
    <w:p w14:paraId="6CA2A6EE" w14:textId="77777777" w:rsidR="00B762F9" w:rsidRDefault="009F7EF0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若干措施</w:t>
      </w:r>
    </w:p>
    <w:p w14:paraId="18236089" w14:textId="77777777" w:rsidR="00B762F9" w:rsidRDefault="009F7EF0">
      <w:pPr>
        <w:snapToGrid w:val="0"/>
        <w:spacing w:line="580" w:lineRule="exact"/>
        <w:jc w:val="center"/>
        <w:rPr>
          <w:rFonts w:ascii="方正楷体_GBK" w:eastAsia="方正楷体_GBK" w:hAnsi="方正楷体_GBK" w:cs="方正楷体_GBK"/>
          <w:b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/>
          <w:bCs/>
          <w:sz w:val="32"/>
          <w:szCs w:val="32"/>
        </w:rPr>
        <w:t>（征求意见稿）</w:t>
      </w:r>
    </w:p>
    <w:p w14:paraId="5896AC16" w14:textId="77777777" w:rsidR="00B762F9" w:rsidRDefault="00B762F9">
      <w:pPr>
        <w:rPr>
          <w:rFonts w:ascii="方正仿宋_GBK" w:eastAsia="方正仿宋_GBK" w:hAnsi="方正仿宋_GBK" w:cs="方正仿宋_GBK"/>
          <w:sz w:val="32"/>
          <w:szCs w:val="32"/>
        </w:rPr>
      </w:pPr>
    </w:p>
    <w:p w14:paraId="222C55CF" w14:textId="77777777" w:rsidR="00B762F9" w:rsidRDefault="009F7EF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为深入贯彻落实《关于坚定不移推进工业强区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以建圈强链推动产业高质量发展的实施意见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（修订）</w:t>
      </w:r>
      <w:r>
        <w:rPr>
          <w:rFonts w:ascii="Times New Roman" w:eastAsia="方正仿宋_GBK" w:hAnsi="Times New Roman" w:cs="Times New Roman"/>
          <w:sz w:val="32"/>
          <w:szCs w:val="32"/>
        </w:rPr>
        <w:t>》，聚焦钒钛钢铁新材料、清洁能源、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人工智能、绿色食品</w:t>
      </w:r>
      <w:r>
        <w:rPr>
          <w:rFonts w:ascii="Times New Roman" w:eastAsia="方正仿宋_GBK" w:hAnsi="Times New Roman" w:cs="Times New Roman"/>
          <w:sz w:val="32"/>
          <w:szCs w:val="32"/>
        </w:rPr>
        <w:t>等</w:t>
      </w:r>
      <w:r>
        <w:rPr>
          <w:rFonts w:ascii="Times New Roman" w:eastAsia="方正仿宋_GBK" w:hAnsi="Times New Roman" w:cs="Times New Roman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个产业生态圈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建强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条重点产业链，实施科技创新驱动发展战略，加快构建具有区域特色的现代化产业体系，推动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全区</w:t>
      </w:r>
      <w:r>
        <w:rPr>
          <w:rFonts w:ascii="Times New Roman" w:eastAsia="方正仿宋_GBK" w:hAnsi="Times New Roman" w:cs="Times New Roman"/>
          <w:sz w:val="32"/>
          <w:szCs w:val="32"/>
        </w:rPr>
        <w:t>经济社会高质量发展，结合本区实际，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特</w:t>
      </w:r>
      <w:r>
        <w:rPr>
          <w:rFonts w:ascii="Times New Roman" w:eastAsia="方正仿宋_GBK" w:hAnsi="Times New Roman" w:cs="Times New Roman"/>
          <w:sz w:val="32"/>
          <w:szCs w:val="32"/>
        </w:rPr>
        <w:t>制定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以下</w:t>
      </w:r>
      <w:r>
        <w:rPr>
          <w:rFonts w:ascii="Times New Roman" w:eastAsia="方正仿宋_GBK" w:hAnsi="Times New Roman" w:cs="Times New Roman"/>
          <w:sz w:val="32"/>
          <w:szCs w:val="32"/>
        </w:rPr>
        <w:t>措施。</w:t>
      </w:r>
    </w:p>
    <w:p w14:paraId="2D72ADAA" w14:textId="77777777" w:rsidR="00B762F9" w:rsidRDefault="009F7EF0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一、增强现有企业发展能力。</w:t>
      </w:r>
    </w:p>
    <w:p w14:paraId="352EAC88" w14:textId="77777777" w:rsidR="00B762F9" w:rsidRDefault="009F7EF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鼓励重点产业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链企业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通过技术改造、增资扩产等方式做大做强，调优调高，增强自身实力和产业链带动力。支持企业采用新技术、新设备、新工艺、新材料和新标准，在重点行业、高端产品、关键环节实施技术改造，加大设备更新投资力度。〔责任单位：区经济和信息化局，区发展和改革局、区商务局、区农业农村和交通水利局、园区管委会经济运行部〕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p w14:paraId="0902F8DA" w14:textId="77777777" w:rsidR="00B762F9" w:rsidRDefault="009F7EF0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二、支持科技创新平台建设。</w:t>
      </w:r>
    </w:p>
    <w:p w14:paraId="74C6F81D" w14:textId="77777777" w:rsidR="00B762F9" w:rsidRDefault="009F7EF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支持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新型科创平台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建设，鼓励企业、高校院所等积极吸纳上下游企业、科技服务及投资机构，联合建设、运营中试研发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等科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创平台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，面向产业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链开展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概念验证、中试熟化、小批量生产等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服务，支持平台取得的科技成果向产业链转移转化。强化重大创新平台引领，鼓励企业积极创建国家、省、市、区级企业技术中心、创新中心、工程技术研究中心、中试研发平台、重点实验室、新型研发机构等。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鼓励科创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平台开放共享，面向产业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链开放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共享重大科研基础设施和大型科研仪器，将检验检测、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高性能算力等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功能纳入服务范围。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责任单位：区科学技术局，区发展和改革局、区经济和信息化局、区商务局、园区管委会科技创新部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</w:p>
    <w:p w14:paraId="16738E0E" w14:textId="77777777" w:rsidR="00B762F9" w:rsidRDefault="009F7EF0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三、推动产业技术研发攻关。</w:t>
      </w:r>
    </w:p>
    <w:p w14:paraId="457F744D" w14:textId="77777777" w:rsidR="00B762F9" w:rsidRDefault="009F7EF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定期向重点产业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链企业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征求重大技术需求，完善“揭榜挂帅”攻关机制，实施科技计划项目、技术创新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与应用发展重点项目和企业科技攻关联合行动计划等，突破产业关键核心技术，支持企业研发投入增长。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责任单位：区科学技术局，相关产业链牵头单位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</w:p>
    <w:p w14:paraId="6D139774" w14:textId="77777777" w:rsidR="00B762F9" w:rsidRDefault="009F7EF0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四、开展重点企业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培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优育强。</w:t>
      </w:r>
    </w:p>
    <w:p w14:paraId="549F3649" w14:textId="3481233E" w:rsidR="00B762F9" w:rsidRDefault="009F7EF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为有效培育壮大市场主体、增强经济发展新动能，全面提升重点产业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链企业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核心竞争力和产业整体能级，构建梯度培育体系，支持企业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上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、上榜（国家单项冠军、专精特新“小巨人”等榜单）、上云、上市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。支持企业积极申报国家高新技术企业、科技型中小企业，鼓励产业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链企业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依法合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组建产业联盟、行业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协会，制定行业章程标准规范。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责任单位：区经济和信息化局、区科学技术局、区财政局，区市场监督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管理局、区民政局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</w:p>
    <w:p w14:paraId="47223599" w14:textId="77777777" w:rsidR="00B762F9" w:rsidRDefault="009F7EF0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五、加大重点领域招引力度。</w:t>
      </w:r>
    </w:p>
    <w:p w14:paraId="6953EFCA" w14:textId="77777777" w:rsidR="00B762F9" w:rsidRDefault="009F7EF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依据产业链招商图谱，梳理目标企业清单，实施精准招商计划，紧盯关键节点、骨干企业，推进精准招商。支持围绕重点产业链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链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主企业延链、强链、补链、固链，推动引进配套企业、上下游企业和生态合作伙伴，培育大中小企业融通发展的产业集群。支持重点产业链招引项目落地建设，实行专班协调推进工作机制，积极协助项目争取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各级产业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政策，全面保障项目建成投运。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责任单位：区经济合作局，各产业链牵头部门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</w:p>
    <w:p w14:paraId="0CCC4598" w14:textId="77777777" w:rsidR="00B762F9" w:rsidRDefault="009F7EF0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六、推动企业数字化绿色化转型。</w:t>
      </w:r>
    </w:p>
    <w:p w14:paraId="37E60788" w14:textId="77777777" w:rsidR="00B762F9" w:rsidRDefault="009F7EF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支持人工智能赋能千行百业，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重点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鼓励算力服务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与应用、算法能力增强、大模型研发、数据要素供给、标杆应用场景建设等。鼓励重点产业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链企业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开展全流程、全过程、全链条数字化转型，加快产业绿色化转型；鼓励企业创建国家、省级绿色工厂、绿色供应链、绿色数据中心试点或节水型企业示范单位等。〔责任单位：区经济和信息化局、区科学技术局，区发展和改革局、园区管委会经济运行部〕</w:t>
      </w:r>
    </w:p>
    <w:p w14:paraId="017700C5" w14:textId="77777777" w:rsidR="00B762F9" w:rsidRDefault="009F7EF0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七、强化产业人才培育支持。</w:t>
      </w:r>
    </w:p>
    <w:p w14:paraId="1C5B8418" w14:textId="77777777" w:rsidR="00B762F9" w:rsidRDefault="009F7EF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聚焦集聚重点产业人才队伍，对新引进的低空经济、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人工智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能</w:t>
      </w:r>
      <w:r>
        <w:rPr>
          <w:rFonts w:ascii="Times New Roman" w:eastAsia="方正仿宋_GBK" w:hAnsi="Times New Roman" w:cs="Times New Roman"/>
          <w:sz w:val="32"/>
          <w:szCs w:val="32"/>
        </w:rPr>
        <w:t>、清洁能源等重点新兴产业紧缺人才，未达到高层次人才认定标准，但掌握关键核心技术、具备产业引领能力的，可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参考相关政策</w:t>
      </w:r>
      <w:r>
        <w:rPr>
          <w:rFonts w:ascii="Times New Roman" w:eastAsia="方正仿宋_GBK" w:hAnsi="Times New Roman" w:cs="Times New Roman"/>
          <w:sz w:val="32"/>
          <w:szCs w:val="32"/>
        </w:rPr>
        <w:t>，给予安家补助、人才公寓、健康体检、政务绿色通道等个性化支持。对成功引荐并促成重点产业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链项目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在东区建成投产的第三方企业或个人，根据项目实际到位投资额或对产业的带动效应，给予引荐奖励。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重点产业链企业、高新技术企业引进科技人才达要求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的按照一定比例奖励用人单位用于科技研发。</w:t>
      </w:r>
      <w:r>
        <w:rPr>
          <w:rFonts w:ascii="Times New Roman" w:eastAsia="方正仿宋_GBK" w:hAnsi="Times New Roman" w:cs="Times New Roman"/>
          <w:sz w:val="32"/>
          <w:szCs w:val="32"/>
        </w:rPr>
        <w:t>围绕</w:t>
      </w:r>
      <w:r>
        <w:rPr>
          <w:rFonts w:ascii="Times New Roman" w:eastAsia="方正仿宋_GBK" w:hAnsi="Times New Roman" w:cs="Times New Roman"/>
          <w:sz w:val="32"/>
          <w:szCs w:val="32"/>
        </w:rPr>
        <w:t>“7</w:t>
      </w:r>
      <w:r>
        <w:rPr>
          <w:rFonts w:ascii="Times New Roman" w:eastAsia="方正仿宋_GBK" w:hAnsi="Times New Roman" w:cs="Times New Roman"/>
          <w:sz w:val="32"/>
          <w:szCs w:val="32"/>
        </w:rPr>
        <w:t>圈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链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重点产业领域设立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东区建圈强链突出贡献人才团队奖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，根据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企业生产经营或项目建设等情况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制定公开、透明的评选标准，对符合标准、贡献突出</w:t>
      </w:r>
      <w:r>
        <w:rPr>
          <w:rFonts w:ascii="Times New Roman" w:eastAsia="方正仿宋_GBK" w:hAnsi="Times New Roman" w:cs="Times New Roman"/>
          <w:sz w:val="32"/>
          <w:szCs w:val="32"/>
        </w:rPr>
        <w:t>的人才团队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予以奖励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每年</w:t>
      </w:r>
      <w:r>
        <w:rPr>
          <w:rFonts w:ascii="Times New Roman" w:eastAsia="方正仿宋_GBK" w:hAnsi="Times New Roman" w:cs="Times New Roman"/>
          <w:sz w:val="32"/>
          <w:szCs w:val="32"/>
        </w:rPr>
        <w:t>每条产业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链最多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不超过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个人才团队。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责任单位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: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区委人才办，区委宣传部、区发展和改革局、区经济和信息化局、区科学技术局、区商务局、区文化电视广播和旅游局、区人力资源和社会保障局、区经济合作局、园区管委会党群工作部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</w:p>
    <w:p w14:paraId="2C69F154" w14:textId="77777777" w:rsidR="00B762F9" w:rsidRDefault="009F7EF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本措施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自印发之日起施行，有效期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年。已有政策条款与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本措施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不一致的，按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就高不重复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的原则执行；执行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本措施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过程中如遇到国家、省重大政策变动，有关措施作相应调整。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本措施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所需经费纳入财政预算管理，根据当年财力状况予以保障。各项措施实施细则由相关牵头单位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自行制定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sectPr w:rsidR="00B762F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0007"/>
    <w:rsid w:val="EFFD0007"/>
    <w:rsid w:val="FFFF26AA"/>
    <w:rsid w:val="009F7EF0"/>
    <w:rsid w:val="00B762F9"/>
    <w:rsid w:val="1E76724B"/>
    <w:rsid w:val="3295061D"/>
    <w:rsid w:val="52AE1A33"/>
    <w:rsid w:val="57AA21CB"/>
    <w:rsid w:val="5DF37AC0"/>
    <w:rsid w:val="5FF6FBFF"/>
    <w:rsid w:val="5FFBFBAA"/>
    <w:rsid w:val="75BA5794"/>
    <w:rsid w:val="76DE8676"/>
    <w:rsid w:val="76E361D9"/>
    <w:rsid w:val="79A6D837"/>
    <w:rsid w:val="7BFF32A4"/>
    <w:rsid w:val="7FBDBE90"/>
    <w:rsid w:val="7FEE1AD8"/>
    <w:rsid w:val="7FFDB858"/>
    <w:rsid w:val="B756F0D1"/>
    <w:rsid w:val="BDF715E5"/>
    <w:rsid w:val="D9F996F5"/>
    <w:rsid w:val="DBF39EBC"/>
    <w:rsid w:val="DE770FB3"/>
    <w:rsid w:val="DFF93AF2"/>
    <w:rsid w:val="E777E442"/>
    <w:rsid w:val="EFD715B4"/>
    <w:rsid w:val="EFFD0007"/>
    <w:rsid w:val="F3FFE5A2"/>
    <w:rsid w:val="F9794EF8"/>
    <w:rsid w:val="FF3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刘昱</dc:creator>
  <cp:lastModifiedBy>Administrator</cp:lastModifiedBy>
  <cp:revision>2</cp:revision>
  <dcterms:created xsi:type="dcterms:W3CDTF">2026-03-21T09:55:00Z</dcterms:created>
  <dcterms:modified xsi:type="dcterms:W3CDTF">2026-04-08T07:29:00Z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2177C2E0130C47CB82CC11EC7748E8F6_13</vt:lpwstr>
  </property>
  <property fmtid="{D5CDD505-2E9C-101B-9397-08002B2CF9AE}" pid="4" name="KSOTemplateDocerSaveRecord">
    <vt:lpwstr>eyJoZGlkIjoiYWUyNjVjYTQxYzdlZGUzNDEyMjNmNDg3NzJiNGYxN2YiLCJ1c2VySWQiOiI3NjEzMTk2MzQifQ==</vt:lpwstr>
  </property>
</Properties>
</file>