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E1E7B">
      <w:pPr>
        <w:pStyle w:val="6"/>
        <w:spacing w:line="360" w:lineRule="auto"/>
        <w:ind w:firstLine="482"/>
        <w:rPr>
          <w:rFonts w:ascii="宋体" w:hAnsi="宋体" w:cs="宋体"/>
          <w:color w:val="auto"/>
          <w:sz w:val="36"/>
          <w:szCs w:val="36"/>
        </w:rPr>
      </w:pPr>
      <w:bookmarkStart w:id="0" w:name="_Toc29754"/>
      <w:r>
        <w:rPr>
          <w:rFonts w:hint="eastAsia" w:ascii="宋体" w:hAnsi="宋体" w:cs="宋体"/>
          <w:color w:val="auto"/>
          <w:kern w:val="44"/>
          <w:sz w:val="36"/>
          <w:szCs w:val="36"/>
        </w:rPr>
        <w:t>评审方法</w:t>
      </w:r>
      <w:bookmarkEnd w:id="0"/>
      <w:bookmarkStart w:id="1" w:name="_Toc101250640"/>
      <w:bookmarkStart w:id="2" w:name="_Toc209847065"/>
      <w:bookmarkStart w:id="3" w:name="_Toc101174146"/>
      <w:bookmarkStart w:id="4" w:name="_Toc101338358"/>
      <w:bookmarkStart w:id="5" w:name="_Toc430773924"/>
    </w:p>
    <w:p w14:paraId="70D8675F">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1.总则</w:t>
      </w:r>
    </w:p>
    <w:p w14:paraId="65F6517C">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 xml:space="preserve">1.1 </w:t>
      </w:r>
      <w:r>
        <w:rPr>
          <w:rFonts w:hint="eastAsia" w:ascii="宋体" w:hAnsi="宋体" w:eastAsia="宋体" w:cs="宋体"/>
          <w:color w:val="auto"/>
          <w:sz w:val="24"/>
          <w:szCs w:val="24"/>
          <w:lang w:val="en-US" w:eastAsia="zh-CN"/>
        </w:rPr>
        <w:t>参考</w:t>
      </w:r>
      <w:r>
        <w:rPr>
          <w:rFonts w:hint="eastAsia" w:ascii="宋体" w:hAnsi="宋体" w:eastAsia="宋体" w:cs="宋体"/>
          <w:color w:val="auto"/>
          <w:sz w:val="24"/>
          <w:szCs w:val="24"/>
        </w:rPr>
        <w:t>《中华人民共和国政府采购法》《中华人民共和国政府采购法实施条例》《政府采购竞争性磋商采购方式管理暂行办法》等法律制度，结合本采购项目特点制定本磋商方法。</w:t>
      </w:r>
    </w:p>
    <w:p w14:paraId="64B31724">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1.2 磋商工作由采购代理机构负责组织，具体磋商由采购代理机构依法组建的磋商小组负责。</w:t>
      </w:r>
    </w:p>
    <w:p w14:paraId="62FD7554">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1.3 磋商工作应遵循公平、公正、科学及择优的原则，并以相同的磋商程序和标准对待所有的供应商。</w:t>
      </w:r>
    </w:p>
    <w:p w14:paraId="36C2C0BB">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1.4 磋商小组按照磋商文件规定的磋商程序、评分方法和标准进行评审，并独立履行下列职责：</w:t>
      </w:r>
    </w:p>
    <w:p w14:paraId="55C82AC9">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（一）熟悉和理解磋商文件，确定磋商文件内容是否违反国家有关强制性规定或者磋商文件存在歧义、重大缺陷，根据需要书面要求采购人、采购代理机构对磋商文件作出解释；</w:t>
      </w:r>
    </w:p>
    <w:p w14:paraId="19A5BC06">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（二）审查供应商响应文件是否满足磋商文件要求，并作出公正评价；</w:t>
      </w:r>
    </w:p>
    <w:p w14:paraId="16A8ED91">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（三）根据需要要求供应商对响应文件中含义不明确、同类问题表述不一致或者有明显文字和计算错误的内容等作出必要的澄清、说明或者更正；</w:t>
      </w:r>
    </w:p>
    <w:p w14:paraId="1CF376FB">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（四）推荐成交供应商，或者受采购人委托确定成交供应商；</w:t>
      </w:r>
    </w:p>
    <w:p w14:paraId="18D1BD11">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（五）起草评审报告并进行签署；</w:t>
      </w:r>
    </w:p>
    <w:p w14:paraId="0B363C22">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（六）向采购人/采购代理机构、财政部门或者其他监督部门报告非法干预评审工作的行为；</w:t>
      </w:r>
    </w:p>
    <w:p w14:paraId="52B3D4C3">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（七）法律、法规和规章规定的其他职责。</w:t>
      </w:r>
    </w:p>
    <w:p w14:paraId="5A5B9DB8">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1.5磋商过程独立、保密。供应商非法干预磋商过程的，其响应文件作无效处理。</w:t>
      </w:r>
    </w:p>
    <w:p w14:paraId="6F763C51">
      <w:pPr>
        <w:spacing w:line="360" w:lineRule="auto"/>
        <w:ind w:firstLine="447" w:firstLineChars="213"/>
        <w:rPr>
          <w:rFonts w:ascii="宋体" w:hAnsi="宋体" w:cs="宋体"/>
          <w:color w:val="auto"/>
        </w:rPr>
      </w:pPr>
    </w:p>
    <w:p w14:paraId="45CBCD75">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2.磋商程序</w:t>
      </w:r>
    </w:p>
    <w:p w14:paraId="667AA71E">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2.1审查磋商文件和停止评审。</w:t>
      </w:r>
    </w:p>
    <w:p w14:paraId="5C8B6929">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7276D030">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2.1.2 本磋商文件有下列情形之一的，磋商小组应当停止评审：</w:t>
      </w:r>
    </w:p>
    <w:p w14:paraId="68BA743B">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（1）磋商文件的规定存在歧义、重大缺陷的；</w:t>
      </w:r>
    </w:p>
    <w:p w14:paraId="52A5DF90">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（2）磋商文件明显以不合理条件对供应商实行差别待遇或者歧视待遇的；</w:t>
      </w:r>
    </w:p>
    <w:p w14:paraId="066AED9D">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（3）磋商文件将供应商的资格条件列为评分因素的；</w:t>
      </w:r>
    </w:p>
    <w:p w14:paraId="5D847F03">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（4）磋商文件载明的成交原则不合法的；</w:t>
      </w:r>
    </w:p>
    <w:p w14:paraId="6DB5848C">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（5）磋商文件有违反国家其他有关强制性规定的情形。</w:t>
      </w:r>
    </w:p>
    <w:p w14:paraId="643EA7FA">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2.1.3 出现本条2.1.2规定应当停止评审情形的，磋商小组应当向采购组织单位书面说明情况。除本条规定的情形外，磋商小组不得以任何方式和理由停止评审。</w:t>
      </w:r>
    </w:p>
    <w:p w14:paraId="5397EDE8">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2.2资格性审查。</w:t>
      </w:r>
    </w:p>
    <w:p w14:paraId="6C4446F4">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2.2.1本项目需要磋商小组进行资格性检查。</w:t>
      </w:r>
    </w:p>
    <w:p w14:paraId="1A2A7F32">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磋商小组应依据法律法规和磋商文件的规定，对响应文件是否按照规定要求提供资格性证明材料、是否属于禁止参加磋商的供应商等进行审查，以确定供应商是否具备磋商资格。</w:t>
      </w:r>
    </w:p>
    <w:p w14:paraId="529A3842">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2.2.2资格性审查结束后，磋商小组应当出具资格性审查报告，没有通过资格审查的供应商，磋商小组应当在资格审查报告中说明原因。</w:t>
      </w:r>
    </w:p>
    <w:p w14:paraId="450D0A0C">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2.2.3采购人或者采购代理机构宣布未通过资格性审查的供应商名单时，应当告知供应商未通过审查的原因。</w:t>
      </w:r>
    </w:p>
    <w:p w14:paraId="7B2579D3">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2.3 通过资格性审查的供应商不足3家的，终止本次采购活动，并发布终止采购活动公告。</w:t>
      </w:r>
    </w:p>
    <w:p w14:paraId="6F6A9991">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2.4 根据《财政部关于政府采购竞争性磋商采购方式管理暂行办法有关问题的补充通知》财库[2015]124号的规定：磋商项目为政府购买服务项目（含政府和社会资本合作项目），在采购过程中符合要求的供应商（社会资本）只有2家的，竞争性磋商采购活动可以继续进行。</w:t>
      </w:r>
    </w:p>
    <w:p w14:paraId="47E901AC">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2.5磋商。</w:t>
      </w:r>
    </w:p>
    <w:p w14:paraId="490EAA6E">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2.5.1磋商小组所有成员集中与单一供应商分别进行一轮或多轮磋商，并给予所有参加磋商的供应商平等的磋商机会。磋商顺序以现场抽签的方式确定。磋商过程中，磋商小组可以根据磋商情况调整磋商轮次。</w:t>
      </w:r>
    </w:p>
    <w:p w14:paraId="6AE2A306">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2.5.2每轮磋商开始前，磋商小组应根据磋商文件的规定，并结合各供应商的响应文件拟定磋商内容。</w:t>
      </w:r>
    </w:p>
    <w:p w14:paraId="1757E403">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2.5.3在磋商过程中，磋商小组可以根据磋商文件和磋商情况实质性变动磋商文件的技术、服务要求以及合同草案条款，但不得变动磋商文件中的其他内容。实质性变动的内容，须经采购人代表书面确认。</w:t>
      </w:r>
    </w:p>
    <w:p w14:paraId="76520913">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2.5.4对磋商文件作出的实质性变动是磋商文件的有效组成部分，磋商小组应当及时以书面形式同时通知所有参加磋商的供应商。</w:t>
      </w:r>
    </w:p>
    <w:p w14:paraId="53B26713">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2FEA57CB">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rPr>
        <w:t>2.5.6磋商过程中，</w:t>
      </w:r>
      <w:r>
        <w:rPr>
          <w:rFonts w:hint="eastAsia" w:hAnsi="宋体" w:cs="宋体"/>
          <w:color w:val="auto"/>
          <w:sz w:val="24"/>
          <w:szCs w:val="24"/>
          <w:lang w:val="zh-CN"/>
        </w:rPr>
        <w:t>磋商小组对响应文件的有效性、完整性和响应程度进行审查，审查中发现供应商响应文件属于下列情况之一的，应按照无效响应文件处理：</w:t>
      </w:r>
    </w:p>
    <w:p w14:paraId="470200B7">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（1）响应文件正副本数量不足的；</w:t>
      </w:r>
    </w:p>
    <w:p w14:paraId="610F782E">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w:t>
      </w:r>
      <w:r>
        <w:rPr>
          <w:rFonts w:hint="eastAsia" w:hAnsi="宋体" w:cs="宋体"/>
          <w:color w:val="auto"/>
          <w:sz w:val="24"/>
          <w:szCs w:val="24"/>
        </w:rPr>
        <w:t>2</w:t>
      </w:r>
      <w:r>
        <w:rPr>
          <w:rFonts w:hint="eastAsia" w:hAnsi="宋体" w:cs="宋体"/>
          <w:color w:val="auto"/>
          <w:sz w:val="24"/>
          <w:szCs w:val="24"/>
          <w:lang w:val="zh-CN"/>
        </w:rPr>
        <w:t>）响应文件组成明显不符合采购文件的规定要求，影响评审委员会评判的；</w:t>
      </w:r>
    </w:p>
    <w:p w14:paraId="02F6D9AB">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w:t>
      </w:r>
      <w:r>
        <w:rPr>
          <w:rFonts w:hint="eastAsia" w:hAnsi="宋体" w:cs="宋体"/>
          <w:color w:val="auto"/>
          <w:sz w:val="24"/>
          <w:szCs w:val="24"/>
        </w:rPr>
        <w:t>3</w:t>
      </w:r>
      <w:r>
        <w:rPr>
          <w:rFonts w:hint="eastAsia" w:hAnsi="宋体" w:cs="宋体"/>
          <w:color w:val="auto"/>
          <w:sz w:val="24"/>
          <w:szCs w:val="24"/>
          <w:lang w:val="zh-CN"/>
        </w:rPr>
        <w:t>）响应文件的语言、计量单位、知识产权、响应有效期等不符合采购文件的规定，影响磋商小组评判的；</w:t>
      </w:r>
    </w:p>
    <w:p w14:paraId="02363A77">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（4）经最终磋商后，供应商的响应文件仍不能完全响应采购文件的实质性要求的；</w:t>
      </w:r>
    </w:p>
    <w:p w14:paraId="59B2BCA6">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w:t>
      </w:r>
      <w:r>
        <w:rPr>
          <w:rFonts w:hint="eastAsia" w:hAnsi="宋体" w:cs="宋体"/>
          <w:color w:val="auto"/>
          <w:sz w:val="24"/>
          <w:szCs w:val="24"/>
        </w:rPr>
        <w:t>5</w:t>
      </w:r>
      <w:r>
        <w:rPr>
          <w:rFonts w:hint="eastAsia" w:hAnsi="宋体" w:cs="宋体"/>
          <w:color w:val="auto"/>
          <w:sz w:val="24"/>
          <w:szCs w:val="24"/>
          <w:lang w:val="zh-CN"/>
        </w:rPr>
        <w:t>）未载明或者载明的采购项目履约时间、方式、数量及其他采购合同实质性内容与本竞争性磋商文件要求不一致，且采购单位无法接受的。</w:t>
      </w:r>
    </w:p>
    <w:p w14:paraId="2A92DBFC">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 xml:space="preserve"> （</w:t>
      </w:r>
      <w:r>
        <w:rPr>
          <w:rFonts w:hint="eastAsia" w:hAnsi="宋体" w:cs="宋体"/>
          <w:color w:val="auto"/>
          <w:sz w:val="24"/>
          <w:szCs w:val="24"/>
        </w:rPr>
        <w:t>6</w:t>
      </w:r>
      <w:r>
        <w:rPr>
          <w:rFonts w:hint="eastAsia" w:hAnsi="宋体" w:cs="宋体"/>
          <w:color w:val="auto"/>
          <w:sz w:val="24"/>
          <w:szCs w:val="24"/>
          <w:lang w:val="zh-CN"/>
        </w:rPr>
        <w:t>）属于竞争性磋商文件中无效响应情形的。</w:t>
      </w:r>
    </w:p>
    <w:p w14:paraId="74E47666">
      <w:pPr>
        <w:pStyle w:val="5"/>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rPr>
        <w:t>2.5.7</w:t>
      </w:r>
      <w:r>
        <w:rPr>
          <w:rFonts w:hint="eastAsia" w:hAnsi="宋体" w:cs="宋体"/>
          <w:color w:val="auto"/>
          <w:sz w:val="24"/>
          <w:szCs w:val="24"/>
          <w:lang w:val="zh-CN"/>
        </w:rPr>
        <w:t>但磋商小组对响应文件签署、盖章等进行审查过程中，有下列情形的，磋商小组应当评定为不影响整个响应文件有效性和采购活动公平竞争，并通过响应文件的有效性审查：</w:t>
      </w:r>
    </w:p>
    <w:p w14:paraId="4980012E">
      <w:pPr>
        <w:pStyle w:val="5"/>
        <w:numPr>
          <w:ilvl w:val="0"/>
          <w:numId w:val="1"/>
        </w:numPr>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响应文件存在个别地方（总数不能超过2个）没有法定代表人/单位负责人签字，但有法定代表人/单位负责人的私人印章或者有效授权代理人签字的；</w:t>
      </w:r>
    </w:p>
    <w:p w14:paraId="61CCA783">
      <w:pPr>
        <w:pStyle w:val="5"/>
        <w:numPr>
          <w:ilvl w:val="0"/>
          <w:numId w:val="1"/>
        </w:numPr>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响应文件除采购文件明确要求加盖单位(法人)公章的以外，其他地方以相关专用章加盖的；</w:t>
      </w:r>
    </w:p>
    <w:p w14:paraId="1DBF5347">
      <w:pPr>
        <w:pStyle w:val="5"/>
        <w:numPr>
          <w:ilvl w:val="0"/>
          <w:numId w:val="1"/>
        </w:numPr>
        <w:snapToGrid w:val="0"/>
        <w:spacing w:line="360" w:lineRule="auto"/>
        <w:ind w:firstLine="511" w:firstLineChars="213"/>
        <w:rPr>
          <w:rFonts w:hAnsi="宋体" w:cs="宋体"/>
          <w:color w:val="auto"/>
          <w:sz w:val="24"/>
          <w:szCs w:val="24"/>
          <w:lang w:val="zh-CN"/>
        </w:rPr>
      </w:pPr>
      <w:r>
        <w:rPr>
          <w:rFonts w:hint="eastAsia" w:hAnsi="宋体" w:cs="宋体"/>
          <w:color w:val="auto"/>
          <w:sz w:val="24"/>
          <w:szCs w:val="24"/>
          <w:lang w:val="zh-CN"/>
        </w:rPr>
        <w:t>以骑缝章的形式代替响应文件内容逐页盖章的（但是骑缝章模糊不清，印章名称无法辨认的除外）。</w:t>
      </w:r>
    </w:p>
    <w:p w14:paraId="7F0AB81D">
      <w:pPr>
        <w:pStyle w:val="5"/>
        <w:snapToGrid w:val="0"/>
        <w:spacing w:line="360" w:lineRule="auto"/>
        <w:ind w:firstLine="511" w:firstLineChars="213"/>
        <w:rPr>
          <w:rFonts w:hAnsi="宋体" w:cs="宋体"/>
          <w:color w:val="auto"/>
          <w:sz w:val="24"/>
          <w:szCs w:val="24"/>
        </w:rPr>
      </w:pPr>
      <w:r>
        <w:rPr>
          <w:rFonts w:hint="eastAsia" w:hAnsi="宋体" w:cs="宋体"/>
          <w:color w:val="auto"/>
          <w:sz w:val="24"/>
          <w:szCs w:val="24"/>
        </w:rPr>
        <w:t>磋商小组</w:t>
      </w:r>
      <w:r>
        <w:rPr>
          <w:rFonts w:hint="eastAsia" w:hAnsi="宋体" w:cs="宋体"/>
          <w:color w:val="auto"/>
          <w:sz w:val="24"/>
          <w:szCs w:val="24"/>
          <w:lang w:val="zh-CN"/>
        </w:rPr>
        <w:t>对所有响应文件的有效性、完整性和响应程度进行审查</w:t>
      </w:r>
      <w:r>
        <w:rPr>
          <w:rFonts w:hint="eastAsia" w:hAnsi="宋体" w:cs="宋体"/>
          <w:color w:val="auto"/>
          <w:sz w:val="24"/>
          <w:szCs w:val="24"/>
        </w:rPr>
        <w:t>后，向采购</w:t>
      </w:r>
      <w:r>
        <w:rPr>
          <w:rFonts w:hint="eastAsia" w:hAnsi="宋体" w:cs="宋体"/>
          <w:color w:val="auto"/>
          <w:sz w:val="24"/>
          <w:szCs w:val="24"/>
          <w:lang w:val="zh-CN"/>
        </w:rPr>
        <w:t>代理机构</w:t>
      </w:r>
      <w:r>
        <w:rPr>
          <w:rFonts w:hint="eastAsia" w:hAnsi="宋体" w:cs="宋体"/>
          <w:color w:val="auto"/>
          <w:sz w:val="24"/>
          <w:szCs w:val="24"/>
        </w:rPr>
        <w:t>出具</w:t>
      </w:r>
      <w:r>
        <w:rPr>
          <w:rFonts w:hint="eastAsia" w:hAnsi="宋体" w:cs="宋体"/>
          <w:color w:val="auto"/>
          <w:sz w:val="24"/>
          <w:szCs w:val="24"/>
          <w:lang w:val="zh-CN"/>
        </w:rPr>
        <w:t>有效性、完整性和响应程度</w:t>
      </w:r>
      <w:r>
        <w:rPr>
          <w:rFonts w:hint="eastAsia" w:hAnsi="宋体" w:cs="宋体"/>
          <w:color w:val="auto"/>
          <w:sz w:val="24"/>
          <w:szCs w:val="24"/>
        </w:rPr>
        <w:t>审查报告，确定继续磋商的供应商名单。没有通过</w:t>
      </w:r>
      <w:r>
        <w:rPr>
          <w:rFonts w:hint="eastAsia" w:hAnsi="宋体" w:cs="宋体"/>
          <w:color w:val="auto"/>
          <w:sz w:val="24"/>
          <w:szCs w:val="24"/>
          <w:lang w:val="zh-CN"/>
        </w:rPr>
        <w:t>有效性、完整性和响应程度</w:t>
      </w:r>
      <w:r>
        <w:rPr>
          <w:rFonts w:hint="eastAsia" w:hAnsi="宋体" w:cs="宋体"/>
          <w:color w:val="auto"/>
          <w:sz w:val="24"/>
          <w:szCs w:val="24"/>
        </w:rPr>
        <w:t>审查的供应商，磋商小组应在</w:t>
      </w:r>
      <w:r>
        <w:rPr>
          <w:rFonts w:hint="eastAsia" w:hAnsi="宋体" w:cs="宋体"/>
          <w:color w:val="auto"/>
          <w:sz w:val="24"/>
          <w:szCs w:val="24"/>
          <w:lang w:val="zh-CN"/>
        </w:rPr>
        <w:t>有效性、完整性和响应程度</w:t>
      </w:r>
      <w:r>
        <w:rPr>
          <w:rFonts w:hint="eastAsia" w:hAnsi="宋体" w:cs="宋体"/>
          <w:color w:val="auto"/>
          <w:sz w:val="24"/>
          <w:szCs w:val="24"/>
        </w:rPr>
        <w:t>审查报告中说明原因。</w:t>
      </w:r>
    </w:p>
    <w:p w14:paraId="44226008">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2.5.8磋商过程中，磋商的任何一方不得透露与磋商有关的其他供应商的技术资料、价格和其他信息。</w:t>
      </w:r>
    </w:p>
    <w:p w14:paraId="632820C8">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2.5.9磋商过程中，磋商小组发现或者知晓供应商存在违法、违纪行为的，磋商小组应当将该供应商响应文件作无效处理，不允许其提交最后报价。</w:t>
      </w:r>
    </w:p>
    <w:p w14:paraId="49925D01">
      <w:pPr>
        <w:pStyle w:val="2"/>
        <w:keepNext w:val="0"/>
        <w:keepLines w:val="0"/>
        <w:spacing w:before="0" w:after="0" w:line="360" w:lineRule="auto"/>
        <w:ind w:firstLine="511" w:firstLineChars="213"/>
        <w:rPr>
          <w:rFonts w:ascii="宋体" w:hAnsi="宋体" w:eastAsia="宋体" w:cs="宋体"/>
          <w:color w:val="auto"/>
          <w:sz w:val="24"/>
          <w:szCs w:val="24"/>
        </w:rPr>
      </w:pPr>
      <w:r>
        <w:rPr>
          <w:rFonts w:hint="eastAsia" w:ascii="宋体" w:hAnsi="宋体" w:eastAsia="宋体" w:cs="宋体"/>
          <w:color w:val="auto"/>
          <w:sz w:val="24"/>
          <w:szCs w:val="24"/>
        </w:rPr>
        <w:t>2.5.10磋商完成后，磋商小组应出具磋商情况记录表，磋商情况记录表需包含磋商内容、磋商意见、实质性变动内容等。</w:t>
      </w:r>
    </w:p>
    <w:p w14:paraId="4C384735">
      <w:pPr>
        <w:spacing w:line="360" w:lineRule="auto"/>
        <w:ind w:firstLine="511" w:firstLineChars="213"/>
        <w:rPr>
          <w:rFonts w:ascii="宋体" w:hAnsi="宋体" w:cs="宋体"/>
          <w:color w:val="auto"/>
          <w:sz w:val="24"/>
        </w:rPr>
      </w:pPr>
      <w:r>
        <w:rPr>
          <w:rFonts w:hint="eastAsia" w:ascii="宋体" w:hAnsi="宋体" w:cs="宋体"/>
          <w:color w:val="auto"/>
          <w:sz w:val="24"/>
        </w:rPr>
        <w:t>2.6最终报价。</w:t>
      </w:r>
    </w:p>
    <w:p w14:paraId="115D4C48">
      <w:pPr>
        <w:spacing w:line="360" w:lineRule="auto"/>
        <w:ind w:firstLine="511" w:firstLineChars="213"/>
        <w:rPr>
          <w:rFonts w:ascii="宋体" w:hAnsi="宋体" w:cs="宋体"/>
          <w:color w:val="auto"/>
          <w:sz w:val="24"/>
        </w:rPr>
      </w:pPr>
      <w:r>
        <w:rPr>
          <w:rFonts w:hint="eastAsia" w:ascii="宋体" w:hAnsi="宋体" w:cs="宋体"/>
          <w:color w:val="auto"/>
          <w:sz w:val="24"/>
        </w:rPr>
        <w:t>2.6.1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82C817A">
      <w:pPr>
        <w:spacing w:line="360" w:lineRule="auto"/>
        <w:ind w:firstLine="511" w:firstLineChars="213"/>
        <w:rPr>
          <w:rFonts w:ascii="宋体" w:hAnsi="宋体" w:cs="宋体"/>
          <w:color w:val="auto"/>
          <w:sz w:val="24"/>
        </w:rPr>
      </w:pPr>
      <w:r>
        <w:rPr>
          <w:rFonts w:hint="eastAsia" w:ascii="宋体" w:hAnsi="宋体" w:cs="宋体"/>
          <w:color w:val="auto"/>
          <w:sz w:val="24"/>
        </w:rPr>
        <w:t>2.6.2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327126DF">
      <w:pPr>
        <w:spacing w:line="360" w:lineRule="auto"/>
        <w:ind w:firstLine="511" w:firstLineChars="213"/>
        <w:rPr>
          <w:rFonts w:ascii="宋体" w:hAnsi="宋体" w:cs="宋体"/>
          <w:color w:val="auto"/>
          <w:sz w:val="24"/>
        </w:rPr>
      </w:pPr>
      <w:r>
        <w:rPr>
          <w:rFonts w:hint="eastAsia" w:ascii="宋体" w:hAnsi="宋体" w:cs="宋体"/>
          <w:color w:val="auto"/>
          <w:sz w:val="24"/>
        </w:rPr>
        <w:t>2.6.3供应商最后报价应当由法定代表人/主要负责人/本人或其授权代表签字确认（</w:t>
      </w:r>
      <w:r>
        <w:rPr>
          <w:rFonts w:hint="eastAsia" w:ascii="宋体" w:hAnsi="宋体" w:cs="宋体"/>
          <w:b/>
          <w:color w:val="auto"/>
          <w:sz w:val="24"/>
        </w:rPr>
        <w:t>注：</w:t>
      </w:r>
      <w:r>
        <w:rPr>
          <w:rFonts w:hint="eastAsia" w:ascii="宋体" w:hAnsi="宋体" w:cs="宋体"/>
          <w:color w:val="auto"/>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311CE298">
      <w:pPr>
        <w:spacing w:line="360" w:lineRule="auto"/>
        <w:ind w:firstLine="511" w:firstLineChars="213"/>
        <w:rPr>
          <w:rFonts w:ascii="宋体" w:hAnsi="宋体" w:cs="宋体"/>
          <w:color w:val="auto"/>
          <w:sz w:val="24"/>
        </w:rPr>
      </w:pPr>
      <w:r>
        <w:rPr>
          <w:rFonts w:hint="eastAsia" w:ascii="宋体" w:hAnsi="宋体" w:cs="宋体"/>
          <w:color w:val="auto"/>
          <w:sz w:val="24"/>
        </w:rPr>
        <w:t>2.6.4报价如果出现下列不一致的，可按以下原则进行修改：</w:t>
      </w:r>
    </w:p>
    <w:p w14:paraId="46F8C442">
      <w:pPr>
        <w:spacing w:line="360" w:lineRule="auto"/>
        <w:ind w:firstLine="511" w:firstLineChars="213"/>
        <w:rPr>
          <w:rFonts w:ascii="宋体" w:hAnsi="宋体" w:cs="宋体"/>
          <w:color w:val="auto"/>
          <w:sz w:val="24"/>
        </w:rPr>
      </w:pPr>
      <w:r>
        <w:rPr>
          <w:rFonts w:hint="eastAsia" w:ascii="宋体" w:hAnsi="宋体" w:cs="宋体"/>
          <w:color w:val="auto"/>
          <w:sz w:val="24"/>
        </w:rPr>
        <w:t>（一）</w:t>
      </w:r>
      <w:r>
        <w:rPr>
          <w:rFonts w:hint="eastAsia" w:ascii="宋体" w:hAnsi="宋体" w:cs="宋体"/>
          <w:color w:val="auto"/>
          <w:kern w:val="0"/>
          <w:sz w:val="24"/>
        </w:rPr>
        <w:t>大写金额和小写金额不一致的，以大写金额为准</w:t>
      </w:r>
      <w:r>
        <w:rPr>
          <w:rFonts w:hint="eastAsia" w:ascii="宋体" w:hAnsi="宋体" w:cs="宋体"/>
          <w:color w:val="auto"/>
          <w:sz w:val="24"/>
        </w:rPr>
        <w:t>，但大写金额文字存在错误的，应当先对大写金额的文字错误进行澄清、说明或者更正，再行修正。</w:t>
      </w:r>
    </w:p>
    <w:p w14:paraId="100807A6">
      <w:pPr>
        <w:spacing w:line="360" w:lineRule="auto"/>
        <w:ind w:firstLine="511" w:firstLineChars="213"/>
        <w:rPr>
          <w:rFonts w:ascii="宋体" w:hAnsi="宋体" w:cs="宋体"/>
          <w:color w:val="auto"/>
          <w:sz w:val="24"/>
        </w:rPr>
      </w:pPr>
      <w:r>
        <w:rPr>
          <w:rFonts w:hint="eastAsia" w:ascii="宋体" w:hAnsi="宋体" w:cs="宋体"/>
          <w:color w:val="auto"/>
          <w:sz w:val="24"/>
        </w:rPr>
        <w:t>（二）</w:t>
      </w:r>
      <w:r>
        <w:rPr>
          <w:rFonts w:hint="eastAsia" w:ascii="宋体" w:hAnsi="宋体" w:cs="宋体"/>
          <w:color w:val="auto"/>
          <w:kern w:val="0"/>
          <w:sz w:val="24"/>
        </w:rPr>
        <w:t>总价金额与按单价汇总金额不一致的，以单价金额计算结果为准，</w:t>
      </w:r>
      <w:r>
        <w:rPr>
          <w:rFonts w:hint="eastAsia" w:ascii="宋体" w:hAnsi="宋体" w:cs="宋体"/>
          <w:color w:val="auto"/>
          <w:sz w:val="24"/>
        </w:rPr>
        <w:t>但</w:t>
      </w:r>
      <w:r>
        <w:rPr>
          <w:rFonts w:hint="eastAsia" w:ascii="宋体" w:hAnsi="宋体" w:cs="宋体"/>
          <w:color w:val="auto"/>
          <w:kern w:val="0"/>
          <w:sz w:val="24"/>
        </w:rPr>
        <w:t>单价或者单价汇总金额存在数字或者</w:t>
      </w:r>
      <w:r>
        <w:rPr>
          <w:rFonts w:hint="eastAsia" w:ascii="宋体" w:hAnsi="宋体" w:cs="宋体"/>
          <w:color w:val="auto"/>
          <w:sz w:val="24"/>
        </w:rPr>
        <w:t>文字错误的，应当先对</w:t>
      </w:r>
      <w:r>
        <w:rPr>
          <w:rFonts w:hint="eastAsia" w:ascii="宋体" w:hAnsi="宋体" w:cs="宋体"/>
          <w:color w:val="auto"/>
          <w:kern w:val="0"/>
          <w:sz w:val="24"/>
        </w:rPr>
        <w:t>数字或者</w:t>
      </w:r>
      <w:r>
        <w:rPr>
          <w:rFonts w:hint="eastAsia" w:ascii="宋体" w:hAnsi="宋体" w:cs="宋体"/>
          <w:color w:val="auto"/>
          <w:sz w:val="24"/>
        </w:rPr>
        <w:t>文字错误进行澄清、说明或者更正，再行修正。</w:t>
      </w:r>
    </w:p>
    <w:p w14:paraId="1416816D">
      <w:pPr>
        <w:spacing w:line="360" w:lineRule="auto"/>
        <w:ind w:firstLine="511" w:firstLineChars="213"/>
        <w:rPr>
          <w:rFonts w:ascii="宋体" w:hAnsi="宋体" w:cs="宋体"/>
          <w:color w:val="auto"/>
          <w:sz w:val="24"/>
        </w:rPr>
      </w:pPr>
      <w:r>
        <w:rPr>
          <w:rFonts w:hint="eastAsia" w:ascii="宋体" w:hAnsi="宋体" w:cs="宋体"/>
          <w:color w:val="auto"/>
          <w:sz w:val="24"/>
        </w:rPr>
        <w:t>（三）单价金额小数点</w:t>
      </w:r>
      <w:r>
        <w:rPr>
          <w:rFonts w:hint="eastAsia" w:ascii="宋体" w:hAnsi="宋体" w:cs="宋体"/>
          <w:color w:val="auto"/>
          <w:kern w:val="0"/>
          <w:sz w:val="24"/>
        </w:rPr>
        <w:t>或者百分比有明显错位的</w:t>
      </w:r>
      <w:r>
        <w:rPr>
          <w:rFonts w:hint="eastAsia" w:ascii="宋体" w:hAnsi="宋体" w:cs="宋体"/>
          <w:color w:val="auto"/>
          <w:sz w:val="24"/>
        </w:rPr>
        <w:t>，以总价为准，修正单价。</w:t>
      </w:r>
    </w:p>
    <w:p w14:paraId="0BD30133">
      <w:pPr>
        <w:spacing w:line="360" w:lineRule="auto"/>
        <w:ind w:firstLine="511" w:firstLineChars="213"/>
        <w:jc w:val="left"/>
        <w:rPr>
          <w:rFonts w:ascii="宋体" w:hAnsi="宋体" w:cs="宋体"/>
          <w:color w:val="auto"/>
          <w:kern w:val="0"/>
          <w:sz w:val="24"/>
        </w:rPr>
      </w:pPr>
      <w:r>
        <w:rPr>
          <w:rFonts w:hint="eastAsia" w:ascii="宋体" w:hAnsi="宋体"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8DC0CF2">
      <w:pPr>
        <w:spacing w:line="360" w:lineRule="auto"/>
        <w:ind w:firstLine="511" w:firstLineChars="213"/>
        <w:rPr>
          <w:rFonts w:ascii="宋体" w:hAnsi="宋体" w:cs="宋体"/>
          <w:color w:val="auto"/>
          <w:sz w:val="24"/>
        </w:rPr>
      </w:pPr>
      <w:r>
        <w:rPr>
          <w:rFonts w:hint="eastAsia" w:ascii="宋体" w:hAnsi="宋体" w:cs="宋体"/>
          <w:color w:val="auto"/>
          <w:sz w:val="24"/>
        </w:rPr>
        <w:t>不得未经澄清、说明或者更正，直接将供应商响应文件作为无效处理。对不同文字文本响应文件的解释发生异议的，以中文文本为准。</w:t>
      </w:r>
    </w:p>
    <w:p w14:paraId="1847D066">
      <w:pPr>
        <w:spacing w:line="360" w:lineRule="auto"/>
        <w:ind w:firstLine="511" w:firstLineChars="213"/>
        <w:rPr>
          <w:rFonts w:ascii="宋体" w:hAnsi="宋体" w:cs="宋体"/>
          <w:color w:val="auto"/>
          <w:sz w:val="24"/>
        </w:rPr>
      </w:pPr>
      <w:r>
        <w:rPr>
          <w:rFonts w:hint="eastAsia" w:ascii="宋体" w:hAnsi="宋体" w:cs="宋体"/>
          <w:color w:val="auto"/>
          <w:sz w:val="24"/>
        </w:rPr>
        <w:t>2.7比较与评价。由磋商小组采用综合评分法对提交最后报价的供应商的响应文件和最后报价进行综合评分，具体要求详见本章综合评分部分。</w:t>
      </w:r>
    </w:p>
    <w:p w14:paraId="49F55069">
      <w:pPr>
        <w:spacing w:line="360" w:lineRule="auto"/>
        <w:ind w:firstLine="511" w:firstLineChars="213"/>
        <w:rPr>
          <w:rFonts w:ascii="宋体" w:hAnsi="宋体" w:cs="宋体"/>
          <w:color w:val="auto"/>
          <w:sz w:val="24"/>
        </w:rPr>
      </w:pPr>
      <w:r>
        <w:rPr>
          <w:rFonts w:hint="eastAsia" w:ascii="宋体" w:hAnsi="宋体" w:cs="宋体"/>
          <w:color w:val="auto"/>
          <w:sz w:val="24"/>
        </w:rPr>
        <w:t>2.8推荐成交候选供应商。磋商小组应当根据综合评分情况，按照评审得分由高到低顺序推荐三家以上（符合本章2.4的规定情况的可以为2家）成交候选供应商，并编写磋商报告。评审得分相同的，按照最后报价由低到高的顺序推荐。评审得分且最后报价相同的，按照技术指标优劣顺序推荐。评审得分且最后报价且技术指标分项得分均相同的，优先选择不发达地区或少数民族地区或脱贫攻坚地区的供应商。评审得分且最后报价且技术指标分项得分均相同，无供应商属于不发达地区或少数民族地区或脱贫攻坚地区的或供应商均属于不发达地区或少数民族地区或脱贫攻坚地区的并列。（不发达地区或脱贫攻坚地区的供应商需提供属于不发达地区或脱贫攻坚地区的相关证明材料，少数民族地区提供相关证明材料或供应商注册地为少数民族地区。）</w:t>
      </w:r>
    </w:p>
    <w:p w14:paraId="566FA2F6">
      <w:pPr>
        <w:spacing w:line="360" w:lineRule="auto"/>
        <w:ind w:firstLine="511" w:firstLineChars="213"/>
        <w:rPr>
          <w:rFonts w:ascii="宋体" w:hAnsi="宋体" w:cs="宋体"/>
          <w:color w:val="auto"/>
          <w:sz w:val="24"/>
        </w:rPr>
      </w:pPr>
      <w:r>
        <w:rPr>
          <w:rFonts w:hint="eastAsia" w:ascii="宋体" w:hAnsi="宋体" w:cs="宋体"/>
          <w:color w:val="auto"/>
          <w:sz w:val="24"/>
        </w:rPr>
        <w:t>2.9磋商小组复核。磋商小组评分汇总结束后，磋商小组应当进行评审复核，对拟推荐为成交候选供应商的、报价最低的、供应商资格审查未通过的、供应商响应文件作无效处理的重点复核。</w:t>
      </w:r>
    </w:p>
    <w:p w14:paraId="419A3FF8">
      <w:pPr>
        <w:spacing w:line="360" w:lineRule="auto"/>
        <w:ind w:firstLine="511" w:firstLineChars="213"/>
        <w:rPr>
          <w:rFonts w:ascii="宋体" w:hAnsi="宋体" w:cs="宋体"/>
          <w:color w:val="auto"/>
          <w:sz w:val="24"/>
        </w:rPr>
      </w:pPr>
      <w:r>
        <w:rPr>
          <w:rFonts w:hint="eastAsia" w:ascii="宋体" w:hAnsi="宋体" w:cs="宋体"/>
          <w:color w:val="auto"/>
          <w:sz w:val="24"/>
        </w:rPr>
        <w:t>2.10采购组织单位现场复核评审结果。</w:t>
      </w:r>
    </w:p>
    <w:p w14:paraId="60C2154B">
      <w:pPr>
        <w:spacing w:line="360" w:lineRule="auto"/>
        <w:ind w:firstLine="511" w:firstLineChars="213"/>
        <w:rPr>
          <w:rFonts w:ascii="宋体" w:hAnsi="宋体" w:cs="宋体"/>
          <w:color w:val="auto"/>
          <w:sz w:val="24"/>
        </w:rPr>
      </w:pPr>
      <w:r>
        <w:rPr>
          <w:rFonts w:hint="eastAsia" w:ascii="宋体" w:hAnsi="宋体" w:cs="宋体"/>
          <w:color w:val="auto"/>
          <w:sz w:val="24"/>
        </w:rPr>
        <w:t>2.10.1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543D1610">
      <w:pPr>
        <w:spacing w:line="360" w:lineRule="auto"/>
        <w:ind w:firstLine="511" w:firstLineChars="213"/>
        <w:rPr>
          <w:rFonts w:ascii="宋体" w:hAnsi="宋体" w:cs="宋体"/>
          <w:color w:val="auto"/>
          <w:sz w:val="24"/>
        </w:rPr>
      </w:pPr>
      <w:r>
        <w:rPr>
          <w:rFonts w:hint="eastAsia" w:ascii="宋体" w:hAnsi="宋体" w:cs="宋体"/>
          <w:color w:val="auto"/>
          <w:sz w:val="24"/>
        </w:rPr>
        <w:t>（1）资格性审查认定错误的；</w:t>
      </w:r>
    </w:p>
    <w:p w14:paraId="7EE25BF8">
      <w:pPr>
        <w:spacing w:line="360" w:lineRule="auto"/>
        <w:ind w:firstLine="511" w:firstLineChars="213"/>
        <w:rPr>
          <w:rFonts w:ascii="宋体" w:hAnsi="宋体" w:cs="宋体"/>
          <w:color w:val="auto"/>
          <w:sz w:val="24"/>
        </w:rPr>
      </w:pPr>
      <w:r>
        <w:rPr>
          <w:rFonts w:hint="eastAsia" w:ascii="宋体" w:hAnsi="宋体" w:cs="宋体"/>
          <w:color w:val="auto"/>
          <w:sz w:val="24"/>
        </w:rPr>
        <w:t>（2）分值汇总计算错误的；</w:t>
      </w:r>
    </w:p>
    <w:p w14:paraId="537640C5">
      <w:pPr>
        <w:spacing w:line="360" w:lineRule="auto"/>
        <w:ind w:firstLine="511" w:firstLineChars="213"/>
        <w:rPr>
          <w:rFonts w:ascii="宋体" w:hAnsi="宋体" w:cs="宋体"/>
          <w:color w:val="auto"/>
          <w:sz w:val="24"/>
        </w:rPr>
      </w:pPr>
      <w:r>
        <w:rPr>
          <w:rFonts w:hint="eastAsia" w:ascii="宋体" w:hAnsi="宋体" w:cs="宋体"/>
          <w:color w:val="auto"/>
          <w:sz w:val="24"/>
        </w:rPr>
        <w:t>（3）分项评分超出评分标准范围的；</w:t>
      </w:r>
    </w:p>
    <w:p w14:paraId="6A0BB3E6">
      <w:pPr>
        <w:spacing w:line="360" w:lineRule="auto"/>
        <w:ind w:firstLine="511" w:firstLineChars="213"/>
        <w:rPr>
          <w:rFonts w:ascii="宋体" w:hAnsi="宋体" w:cs="宋体"/>
          <w:color w:val="auto"/>
          <w:sz w:val="24"/>
        </w:rPr>
      </w:pPr>
      <w:r>
        <w:rPr>
          <w:rFonts w:hint="eastAsia" w:ascii="宋体" w:hAnsi="宋体" w:cs="宋体"/>
          <w:color w:val="auto"/>
          <w:sz w:val="24"/>
        </w:rPr>
        <w:t>（4）客观评分不一致的。</w:t>
      </w:r>
    </w:p>
    <w:p w14:paraId="7A4C13BA">
      <w:pPr>
        <w:spacing w:line="360" w:lineRule="auto"/>
        <w:ind w:firstLine="511" w:firstLineChars="213"/>
        <w:rPr>
          <w:rFonts w:ascii="宋体" w:hAnsi="宋体" w:cs="宋体"/>
          <w:color w:val="auto"/>
          <w:sz w:val="24"/>
        </w:rPr>
      </w:pPr>
      <w:r>
        <w:rPr>
          <w:rFonts w:hint="eastAsia" w:ascii="宋体" w:hAnsi="宋体" w:cs="宋体"/>
          <w:color w:val="auto"/>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14:paraId="0E539F7A">
      <w:pPr>
        <w:spacing w:line="360" w:lineRule="auto"/>
        <w:ind w:firstLine="511" w:firstLineChars="213"/>
        <w:rPr>
          <w:rFonts w:ascii="宋体" w:hAnsi="宋体" w:cs="宋体"/>
          <w:color w:val="auto"/>
          <w:sz w:val="24"/>
        </w:rPr>
      </w:pPr>
      <w:r>
        <w:rPr>
          <w:rFonts w:hint="eastAsia" w:ascii="宋体" w:hAnsi="宋体" w:cs="宋体"/>
          <w:color w:val="auto"/>
          <w:sz w:val="24"/>
        </w:rPr>
        <w:t>采购代理机构复核过程中，磋商小组成员不得离开评审现场。</w:t>
      </w:r>
    </w:p>
    <w:p w14:paraId="67CBECA3">
      <w:pPr>
        <w:spacing w:line="360" w:lineRule="auto"/>
        <w:ind w:firstLine="511" w:firstLineChars="213"/>
        <w:rPr>
          <w:rFonts w:ascii="宋体" w:hAnsi="宋体" w:cs="宋体"/>
          <w:color w:val="auto"/>
          <w:sz w:val="24"/>
        </w:rPr>
      </w:pPr>
      <w:r>
        <w:rPr>
          <w:rFonts w:hint="eastAsia" w:ascii="宋体" w:hAnsi="宋体" w:cs="宋体"/>
          <w:color w:val="auto"/>
          <w:sz w:val="24"/>
        </w:rPr>
        <w:t>2.10.2有下列情形之一的，不得现场修改评审结果：</w:t>
      </w:r>
    </w:p>
    <w:p w14:paraId="68F2519C">
      <w:pPr>
        <w:spacing w:line="360" w:lineRule="auto"/>
        <w:ind w:firstLine="511" w:firstLineChars="213"/>
        <w:rPr>
          <w:rFonts w:ascii="宋体" w:hAnsi="宋体" w:cs="宋体"/>
          <w:color w:val="auto"/>
          <w:sz w:val="24"/>
        </w:rPr>
      </w:pPr>
      <w:r>
        <w:rPr>
          <w:rFonts w:hint="eastAsia" w:ascii="宋体" w:hAnsi="宋体" w:cs="宋体"/>
          <w:color w:val="auto"/>
          <w:sz w:val="24"/>
        </w:rPr>
        <w:t>（1）磋商小组已经出具磋商报告并且离开评审现场的；</w:t>
      </w:r>
    </w:p>
    <w:p w14:paraId="222A8539">
      <w:pPr>
        <w:spacing w:line="360" w:lineRule="auto"/>
        <w:ind w:firstLine="511" w:firstLineChars="213"/>
        <w:rPr>
          <w:rFonts w:ascii="宋体" w:hAnsi="宋体" w:cs="宋体"/>
          <w:color w:val="auto"/>
          <w:sz w:val="24"/>
        </w:rPr>
      </w:pPr>
      <w:r>
        <w:rPr>
          <w:rFonts w:hint="eastAsia" w:ascii="宋体" w:hAnsi="宋体" w:cs="宋体"/>
          <w:color w:val="auto"/>
          <w:sz w:val="24"/>
        </w:rPr>
        <w:t>（2）采购代理机构现场复核时，复核工作人员数量不足的；</w:t>
      </w:r>
    </w:p>
    <w:p w14:paraId="04F1D027">
      <w:pPr>
        <w:spacing w:line="360" w:lineRule="auto"/>
        <w:ind w:firstLine="511" w:firstLineChars="213"/>
        <w:rPr>
          <w:rFonts w:ascii="宋体" w:hAnsi="宋体" w:cs="宋体"/>
          <w:color w:val="auto"/>
          <w:sz w:val="24"/>
        </w:rPr>
      </w:pPr>
      <w:r>
        <w:rPr>
          <w:rFonts w:hint="eastAsia" w:ascii="宋体" w:hAnsi="宋体" w:cs="宋体"/>
          <w:color w:val="auto"/>
          <w:sz w:val="24"/>
        </w:rPr>
        <w:t>（3）采购代理机构现场复核时，没有采购监督人员现场监督的；</w:t>
      </w:r>
    </w:p>
    <w:p w14:paraId="1205F73C">
      <w:pPr>
        <w:spacing w:line="360" w:lineRule="auto"/>
        <w:ind w:firstLine="511" w:firstLineChars="213"/>
        <w:rPr>
          <w:rFonts w:ascii="宋体" w:hAnsi="宋体" w:cs="宋体"/>
          <w:color w:val="auto"/>
          <w:sz w:val="24"/>
        </w:rPr>
      </w:pPr>
      <w:r>
        <w:rPr>
          <w:rFonts w:hint="eastAsia" w:ascii="宋体" w:hAnsi="宋体" w:cs="宋体"/>
          <w:color w:val="auto"/>
          <w:sz w:val="24"/>
        </w:rPr>
        <w:t>（4）采购代理机构现场复核内容超出规定范围的；</w:t>
      </w:r>
    </w:p>
    <w:p w14:paraId="09BA2C5B">
      <w:pPr>
        <w:spacing w:line="360" w:lineRule="auto"/>
        <w:ind w:firstLine="511" w:firstLineChars="213"/>
        <w:rPr>
          <w:rFonts w:ascii="宋体" w:hAnsi="宋体" w:cs="宋体"/>
          <w:color w:val="auto"/>
          <w:sz w:val="24"/>
        </w:rPr>
      </w:pPr>
      <w:r>
        <w:rPr>
          <w:rFonts w:hint="eastAsia" w:ascii="宋体" w:hAnsi="宋体" w:cs="宋体"/>
          <w:color w:val="auto"/>
          <w:sz w:val="24"/>
        </w:rPr>
        <w:t>（5）采购代理机构未提供书面建议的。</w:t>
      </w:r>
    </w:p>
    <w:p w14:paraId="435287D4">
      <w:pPr>
        <w:spacing w:line="360" w:lineRule="auto"/>
        <w:ind w:firstLine="511" w:firstLineChars="213"/>
        <w:rPr>
          <w:rFonts w:ascii="宋体" w:hAnsi="宋体" w:cs="宋体"/>
          <w:color w:val="auto"/>
          <w:sz w:val="24"/>
        </w:rPr>
      </w:pPr>
      <w:r>
        <w:rPr>
          <w:rFonts w:hint="eastAsia" w:ascii="宋体" w:hAnsi="宋体" w:cs="宋体"/>
          <w:color w:val="auto"/>
          <w:sz w:val="24"/>
        </w:rPr>
        <w:t>2.11编写磋商报告。磋商小组推荐成交候选供应商后，应向采购代理机构出具磋商报告。磋商报告应当包括以下主要内容：</w:t>
      </w:r>
    </w:p>
    <w:p w14:paraId="60D4FB1B">
      <w:pPr>
        <w:spacing w:line="360" w:lineRule="auto"/>
        <w:ind w:firstLine="511" w:firstLineChars="213"/>
        <w:rPr>
          <w:rFonts w:ascii="宋体" w:hAnsi="宋体" w:cs="宋体"/>
          <w:color w:val="auto"/>
          <w:sz w:val="24"/>
        </w:rPr>
      </w:pPr>
      <w:r>
        <w:rPr>
          <w:rFonts w:hint="eastAsia" w:ascii="宋体" w:hAnsi="宋体" w:cs="宋体"/>
          <w:color w:val="auto"/>
          <w:sz w:val="24"/>
        </w:rPr>
        <w:t>（1）邀请供应商参加采购活动的具体方式和相关情况；</w:t>
      </w:r>
    </w:p>
    <w:p w14:paraId="546B6E35">
      <w:pPr>
        <w:spacing w:line="360" w:lineRule="auto"/>
        <w:ind w:firstLine="511" w:firstLineChars="213"/>
        <w:rPr>
          <w:rFonts w:ascii="宋体" w:hAnsi="宋体" w:cs="宋体"/>
          <w:color w:val="auto"/>
          <w:sz w:val="24"/>
        </w:rPr>
      </w:pPr>
      <w:r>
        <w:rPr>
          <w:rFonts w:hint="eastAsia" w:ascii="宋体" w:hAnsi="宋体" w:cs="宋体"/>
          <w:color w:val="auto"/>
          <w:sz w:val="24"/>
        </w:rPr>
        <w:t>（2）响应文件开启日期和地点；</w:t>
      </w:r>
    </w:p>
    <w:p w14:paraId="64A1CFEC">
      <w:pPr>
        <w:spacing w:line="360" w:lineRule="auto"/>
        <w:ind w:firstLine="511" w:firstLineChars="213"/>
        <w:rPr>
          <w:rFonts w:ascii="宋体" w:hAnsi="宋体" w:cs="宋体"/>
          <w:color w:val="auto"/>
          <w:sz w:val="24"/>
        </w:rPr>
      </w:pPr>
      <w:r>
        <w:rPr>
          <w:rFonts w:hint="eastAsia" w:ascii="宋体" w:hAnsi="宋体" w:cs="宋体"/>
          <w:color w:val="auto"/>
          <w:sz w:val="24"/>
        </w:rPr>
        <w:t>（3）获取磋商文件的供应商名单和磋商小组成员名单；</w:t>
      </w:r>
    </w:p>
    <w:p w14:paraId="02E7ED11">
      <w:pPr>
        <w:spacing w:line="360" w:lineRule="auto"/>
        <w:ind w:firstLine="511" w:firstLineChars="213"/>
        <w:rPr>
          <w:rFonts w:ascii="宋体" w:hAnsi="宋体" w:cs="宋体"/>
          <w:color w:val="auto"/>
          <w:sz w:val="24"/>
        </w:rPr>
      </w:pPr>
      <w:r>
        <w:rPr>
          <w:rFonts w:hint="eastAsia" w:ascii="宋体" w:hAnsi="宋体" w:cs="宋体"/>
          <w:color w:val="auto"/>
          <w:sz w:val="24"/>
        </w:rPr>
        <w:t>（4）评审情况记录和说明，包括对供应商的资格审查情况、供应商响应文件审查情况、磋商情况、报价情况等；</w:t>
      </w:r>
    </w:p>
    <w:p w14:paraId="57B357CF">
      <w:pPr>
        <w:spacing w:line="360" w:lineRule="auto"/>
        <w:ind w:firstLine="511" w:firstLineChars="213"/>
        <w:rPr>
          <w:rFonts w:ascii="宋体" w:hAnsi="宋体" w:cs="宋体"/>
          <w:color w:val="auto"/>
          <w:sz w:val="24"/>
        </w:rPr>
      </w:pPr>
      <w:r>
        <w:rPr>
          <w:rFonts w:hint="eastAsia" w:ascii="宋体" w:hAnsi="宋体" w:cs="宋体"/>
          <w:color w:val="auto"/>
          <w:sz w:val="24"/>
        </w:rPr>
        <w:t>（5）提出的成交候选供应商的排序名单及理由。</w:t>
      </w:r>
    </w:p>
    <w:p w14:paraId="58FDB63C">
      <w:pPr>
        <w:spacing w:line="360" w:lineRule="auto"/>
        <w:ind w:firstLine="511" w:firstLineChars="213"/>
        <w:rPr>
          <w:rFonts w:ascii="宋体" w:hAnsi="宋体" w:cs="宋体"/>
          <w:color w:val="auto"/>
          <w:sz w:val="24"/>
        </w:rPr>
      </w:pPr>
      <w:r>
        <w:rPr>
          <w:rFonts w:hint="eastAsia" w:ascii="宋体" w:hAnsi="宋体" w:cs="宋体"/>
          <w:color w:val="auto"/>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F3F621D">
      <w:pPr>
        <w:spacing w:line="360" w:lineRule="auto"/>
        <w:ind w:firstLine="511" w:firstLineChars="213"/>
        <w:rPr>
          <w:rFonts w:ascii="宋体" w:hAnsi="宋体" w:cs="宋体"/>
          <w:color w:val="auto"/>
          <w:sz w:val="24"/>
        </w:rPr>
      </w:pPr>
      <w:r>
        <w:rPr>
          <w:rFonts w:hint="eastAsia" w:ascii="宋体" w:hAnsi="宋体" w:cs="宋体"/>
          <w:color w:val="auto"/>
          <w:sz w:val="24"/>
        </w:rPr>
        <w:t>2.12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47DFA35B">
      <w:pPr>
        <w:spacing w:line="360" w:lineRule="auto"/>
        <w:ind w:firstLine="511" w:firstLineChars="213"/>
        <w:rPr>
          <w:rFonts w:ascii="宋体" w:hAnsi="宋体" w:cs="宋体"/>
          <w:color w:val="auto"/>
          <w:sz w:val="24"/>
        </w:rPr>
      </w:pPr>
      <w:r>
        <w:rPr>
          <w:rFonts w:hint="eastAsia" w:ascii="宋体" w:hAnsi="宋体" w:cs="宋体"/>
          <w:color w:val="auto"/>
          <w:sz w:val="24"/>
        </w:rPr>
        <w:t>2.13供应商澄清、说明</w:t>
      </w:r>
    </w:p>
    <w:p w14:paraId="5347B8D9">
      <w:pPr>
        <w:spacing w:line="360" w:lineRule="auto"/>
        <w:ind w:firstLine="511" w:firstLineChars="213"/>
        <w:rPr>
          <w:rFonts w:ascii="宋体" w:hAnsi="宋体" w:cs="宋体"/>
          <w:color w:val="auto"/>
          <w:sz w:val="24"/>
        </w:rPr>
      </w:pPr>
      <w:r>
        <w:rPr>
          <w:rFonts w:hint="eastAsia" w:ascii="宋体" w:hAnsi="宋体" w:cs="宋体"/>
          <w:color w:val="auto"/>
          <w:sz w:val="24"/>
        </w:rPr>
        <w:t>2.13.1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3E388B">
      <w:pPr>
        <w:spacing w:line="360" w:lineRule="auto"/>
        <w:ind w:firstLine="511" w:firstLineChars="213"/>
        <w:rPr>
          <w:rFonts w:ascii="宋体" w:hAnsi="宋体" w:cs="宋体"/>
          <w:color w:val="auto"/>
          <w:sz w:val="24"/>
        </w:rPr>
      </w:pPr>
      <w:r>
        <w:rPr>
          <w:rFonts w:hint="eastAsia" w:ascii="宋体" w:hAnsi="宋体" w:cs="宋体"/>
          <w:color w:val="auto"/>
          <w:sz w:val="24"/>
        </w:rPr>
        <w:t>2.14.2磋商小组要求供应商澄清、说明或者更正响应文件应当以书面形式作出。供应商的澄清、说明或者更正应当由法定代表人/主要负责人/本人或其授权代表签字（</w:t>
      </w:r>
      <w:r>
        <w:rPr>
          <w:rFonts w:hint="eastAsia" w:ascii="宋体" w:hAnsi="宋体" w:cs="宋体"/>
          <w:b/>
          <w:color w:val="auto"/>
          <w:sz w:val="24"/>
        </w:rPr>
        <w:t>注：</w:t>
      </w:r>
      <w:r>
        <w:rPr>
          <w:rFonts w:hint="eastAsia" w:ascii="宋体" w:hAnsi="宋体" w:cs="宋体"/>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03B0E286">
      <w:pPr>
        <w:spacing w:line="360" w:lineRule="auto"/>
        <w:ind w:firstLine="511" w:firstLineChars="213"/>
        <w:rPr>
          <w:rFonts w:ascii="宋体" w:hAnsi="宋体" w:cs="宋体"/>
          <w:color w:val="auto"/>
          <w:sz w:val="24"/>
        </w:rPr>
      </w:pPr>
      <w:r>
        <w:rPr>
          <w:rFonts w:hint="eastAsia" w:ascii="宋体" w:hAnsi="宋体" w:cs="宋体"/>
          <w:color w:val="auto"/>
          <w:sz w:val="24"/>
        </w:rPr>
        <w:t>2.15终止磋商采购活动。</w:t>
      </w:r>
    </w:p>
    <w:p w14:paraId="4A7A730B">
      <w:pPr>
        <w:spacing w:line="360" w:lineRule="auto"/>
        <w:ind w:firstLine="511" w:firstLineChars="213"/>
        <w:rPr>
          <w:rFonts w:ascii="宋体" w:hAnsi="宋体" w:cs="宋体"/>
          <w:color w:val="auto"/>
          <w:sz w:val="24"/>
        </w:rPr>
      </w:pPr>
      <w:r>
        <w:rPr>
          <w:rFonts w:hint="eastAsia" w:ascii="宋体" w:hAnsi="宋体" w:cs="宋体"/>
          <w:color w:val="auto"/>
          <w:sz w:val="24"/>
        </w:rPr>
        <w:t>出现下列情形之一的，采购人或者采购代理机构应当终止竞争性磋商采购活动，发布项目终止公告并说明原因，重新开展采购活动：</w:t>
      </w:r>
    </w:p>
    <w:p w14:paraId="652C2594">
      <w:pPr>
        <w:spacing w:line="360" w:lineRule="auto"/>
        <w:ind w:firstLine="511" w:firstLineChars="213"/>
        <w:rPr>
          <w:rFonts w:ascii="宋体" w:hAnsi="宋体" w:cs="宋体"/>
          <w:color w:val="auto"/>
          <w:sz w:val="24"/>
        </w:rPr>
      </w:pPr>
      <w:r>
        <w:rPr>
          <w:rFonts w:hint="eastAsia" w:ascii="宋体" w:hAnsi="宋体" w:cs="宋体"/>
          <w:color w:val="auto"/>
          <w:sz w:val="24"/>
        </w:rPr>
        <w:t>（1）因情况变化，不再符合规定的竞争性磋商采购方式适用情形的；</w:t>
      </w:r>
    </w:p>
    <w:p w14:paraId="3076D4DC">
      <w:pPr>
        <w:spacing w:line="360" w:lineRule="auto"/>
        <w:ind w:firstLine="511" w:firstLineChars="213"/>
        <w:rPr>
          <w:rFonts w:ascii="宋体" w:hAnsi="宋体" w:cs="宋体"/>
          <w:color w:val="auto"/>
          <w:sz w:val="24"/>
        </w:rPr>
      </w:pPr>
      <w:r>
        <w:rPr>
          <w:rFonts w:hint="eastAsia" w:ascii="宋体" w:hAnsi="宋体" w:cs="宋体"/>
          <w:color w:val="auto"/>
          <w:sz w:val="24"/>
        </w:rPr>
        <w:t>（2）出现影响采购公正的违法、违规行为的；</w:t>
      </w:r>
    </w:p>
    <w:p w14:paraId="6AE44DCA">
      <w:pPr>
        <w:spacing w:line="360" w:lineRule="auto"/>
        <w:ind w:firstLine="511" w:firstLineChars="213"/>
        <w:rPr>
          <w:rFonts w:ascii="宋体" w:hAnsi="宋体" w:cs="宋体"/>
          <w:color w:val="auto"/>
          <w:sz w:val="24"/>
        </w:rPr>
      </w:pPr>
      <w:r>
        <w:rPr>
          <w:rFonts w:hint="eastAsia" w:ascii="宋体" w:hAnsi="宋体" w:cs="宋体"/>
          <w:color w:val="auto"/>
          <w:sz w:val="24"/>
        </w:rPr>
        <w:t>（3）在采购过程中符合要求的供应商或者报价未超过采购预算的供应商不足三家的（符合本章2.4的规定情况的可以为2家）。</w:t>
      </w:r>
    </w:p>
    <w:p w14:paraId="571ECED4">
      <w:pPr>
        <w:spacing w:line="360" w:lineRule="auto"/>
        <w:ind w:firstLine="513" w:firstLineChars="213"/>
        <w:rPr>
          <w:rFonts w:ascii="宋体" w:hAnsi="宋体" w:cs="宋体"/>
          <w:b/>
          <w:color w:val="auto"/>
          <w:sz w:val="24"/>
        </w:rPr>
      </w:pPr>
      <w:r>
        <w:rPr>
          <w:rFonts w:hint="eastAsia" w:ascii="宋体" w:hAnsi="宋体" w:cs="宋体"/>
          <w:b/>
          <w:color w:val="auto"/>
          <w:sz w:val="24"/>
        </w:rPr>
        <w:t>3.综合评分</w:t>
      </w:r>
    </w:p>
    <w:p w14:paraId="2452D7BD">
      <w:pPr>
        <w:spacing w:line="360" w:lineRule="auto"/>
        <w:ind w:firstLine="511" w:firstLineChars="213"/>
        <w:rPr>
          <w:rFonts w:ascii="宋体" w:hAnsi="宋体" w:cs="宋体"/>
          <w:color w:val="auto"/>
          <w:sz w:val="24"/>
        </w:rPr>
      </w:pPr>
      <w:r>
        <w:rPr>
          <w:rFonts w:hint="eastAsia" w:ascii="宋体" w:hAnsi="宋体" w:cs="宋体"/>
          <w:color w:val="auto"/>
          <w:sz w:val="24"/>
        </w:rPr>
        <w:t>3.1本次综合评分的因素详见综合评分明细表。</w:t>
      </w:r>
    </w:p>
    <w:p w14:paraId="0047E10E">
      <w:pPr>
        <w:pStyle w:val="4"/>
        <w:tabs>
          <w:tab w:val="left" w:pos="600"/>
        </w:tabs>
        <w:spacing w:line="360" w:lineRule="auto"/>
        <w:ind w:firstLine="511" w:firstLineChars="213"/>
        <w:rPr>
          <w:rFonts w:ascii="宋体" w:hAnsi="宋体" w:cs="宋体"/>
          <w:color w:val="auto"/>
          <w:sz w:val="24"/>
          <w:szCs w:val="24"/>
        </w:rPr>
      </w:pPr>
      <w:r>
        <w:rPr>
          <w:rFonts w:hint="eastAsia" w:ascii="宋体" w:hAnsi="宋体" w:cs="宋体"/>
          <w:color w:val="auto"/>
          <w:sz w:val="24"/>
          <w:szCs w:val="24"/>
        </w:rPr>
        <w:t>3.2综合评分明细表</w:t>
      </w:r>
    </w:p>
    <w:p w14:paraId="6F81AD52">
      <w:pPr>
        <w:pStyle w:val="4"/>
        <w:tabs>
          <w:tab w:val="left" w:pos="600"/>
        </w:tabs>
        <w:spacing w:line="360" w:lineRule="auto"/>
        <w:ind w:firstLine="511" w:firstLineChars="213"/>
        <w:rPr>
          <w:rFonts w:ascii="宋体" w:hAnsi="宋体" w:cs="宋体"/>
          <w:color w:val="auto"/>
          <w:sz w:val="24"/>
          <w:szCs w:val="24"/>
        </w:rPr>
      </w:pPr>
      <w:r>
        <w:rPr>
          <w:rFonts w:hint="eastAsia" w:ascii="宋体" w:hAnsi="宋体" w:cs="宋体"/>
          <w:color w:val="auto"/>
          <w:sz w:val="24"/>
          <w:szCs w:val="24"/>
        </w:rPr>
        <w:t>3.2.1综合评分明细表的制定以科学合理、降低评委会自由裁量权为原则。</w:t>
      </w:r>
    </w:p>
    <w:p w14:paraId="0D267652">
      <w:pPr>
        <w:widowControl/>
        <w:spacing w:line="360" w:lineRule="auto"/>
        <w:ind w:firstLine="511" w:firstLineChars="213"/>
        <w:jc w:val="left"/>
        <w:rPr>
          <w:rFonts w:ascii="宋体" w:hAnsi="宋体" w:cs="宋体"/>
          <w:color w:val="auto"/>
          <w:sz w:val="24"/>
        </w:rPr>
      </w:pPr>
      <w:r>
        <w:rPr>
          <w:rFonts w:hint="eastAsia" w:ascii="宋体" w:hAnsi="宋体" w:cs="宋体"/>
          <w:color w:val="auto"/>
          <w:sz w:val="24"/>
        </w:rPr>
        <w:t>3.2.2 综合评分明细表按须知表中的相关要求进行价格调整，再参与价格分评审。</w:t>
      </w:r>
    </w:p>
    <w:p w14:paraId="40B54222">
      <w:pPr>
        <w:pStyle w:val="2"/>
        <w:keepNext w:val="0"/>
        <w:keepLines w:val="0"/>
        <w:spacing w:before="0" w:after="0" w:line="360" w:lineRule="auto"/>
        <w:ind w:firstLine="511" w:firstLineChars="213"/>
        <w:rPr>
          <w:rFonts w:ascii="宋体" w:hAnsi="宋体" w:cs="宋体"/>
          <w:color w:val="auto"/>
          <w:sz w:val="24"/>
        </w:rPr>
      </w:pPr>
      <w:r>
        <w:rPr>
          <w:rFonts w:hint="eastAsia" w:ascii="宋体" w:hAnsi="宋体" w:eastAsia="宋体" w:cs="宋体"/>
          <w:color w:val="auto"/>
          <w:sz w:val="24"/>
          <w:szCs w:val="24"/>
        </w:rPr>
        <w:t>3.2.3综合评分明细表</w:t>
      </w:r>
      <w:r>
        <w:rPr>
          <w:rFonts w:hint="eastAsia" w:ascii="宋体" w:hAnsi="宋体" w:cs="宋体"/>
          <w:color w:val="auto"/>
          <w:sz w:val="24"/>
        </w:rPr>
        <w:br w:type="page"/>
      </w:r>
    </w:p>
    <w:p w14:paraId="3EED3E6A">
      <w:pPr>
        <w:rPr>
          <w:color w:val="auto"/>
        </w:rPr>
      </w:pPr>
    </w:p>
    <w:tbl>
      <w:tblPr>
        <w:tblStyle w:val="7"/>
        <w:tblW w:w="4905" w:type="pc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4"/>
        <w:gridCol w:w="592"/>
        <w:gridCol w:w="5441"/>
        <w:gridCol w:w="776"/>
      </w:tblGrid>
      <w:tr w14:paraId="1F41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57" w:type="pct"/>
            <w:vAlign w:val="center"/>
          </w:tcPr>
          <w:p w14:paraId="5F8A3335">
            <w:pPr>
              <w:snapToGrid w:val="0"/>
              <w:spacing w:line="360" w:lineRule="auto"/>
              <w:jc w:val="center"/>
              <w:rPr>
                <w:rFonts w:hint="eastAsia" w:ascii="宋体" w:hAnsi="宋体" w:eastAsia="宋体" w:cs="宋体"/>
                <w:color w:val="auto"/>
                <w:sz w:val="21"/>
                <w:szCs w:val="21"/>
                <w:highlight w:val="none"/>
              </w:rPr>
            </w:pPr>
            <w:bookmarkStart w:id="6" w:name="_Toc342913394"/>
            <w:bookmarkStart w:id="7" w:name="_Toc533435672"/>
            <w:bookmarkStart w:id="8" w:name="_Toc102227320"/>
            <w:r>
              <w:rPr>
                <w:rFonts w:hint="eastAsia" w:ascii="宋体" w:hAnsi="宋体" w:eastAsia="宋体" w:cs="宋体"/>
                <w:color w:val="auto"/>
                <w:sz w:val="21"/>
                <w:szCs w:val="21"/>
                <w:highlight w:val="none"/>
              </w:rPr>
              <w:t>序号</w:t>
            </w:r>
          </w:p>
        </w:tc>
        <w:tc>
          <w:tcPr>
            <w:tcW w:w="570" w:type="pct"/>
            <w:vAlign w:val="center"/>
          </w:tcPr>
          <w:p w14:paraId="19E6CB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评分因素及权重</w:t>
            </w:r>
          </w:p>
        </w:tc>
        <w:tc>
          <w:tcPr>
            <w:tcW w:w="354" w:type="pct"/>
            <w:vAlign w:val="center"/>
          </w:tcPr>
          <w:p w14:paraId="127F3DB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252" w:type="pct"/>
            <w:vAlign w:val="center"/>
          </w:tcPr>
          <w:p w14:paraId="5056843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464" w:type="pct"/>
            <w:vAlign w:val="center"/>
          </w:tcPr>
          <w:p w14:paraId="4231EEC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94B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57" w:type="pct"/>
            <w:vAlign w:val="center"/>
          </w:tcPr>
          <w:p w14:paraId="457E6C5B">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70" w:type="pct"/>
            <w:vAlign w:val="center"/>
          </w:tcPr>
          <w:p w14:paraId="7863C050">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723A2A4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p>
        </w:tc>
        <w:tc>
          <w:tcPr>
            <w:tcW w:w="354" w:type="pct"/>
            <w:vAlign w:val="center"/>
          </w:tcPr>
          <w:p w14:paraId="6AF7E110">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252" w:type="pct"/>
            <w:vAlign w:val="center"/>
          </w:tcPr>
          <w:p w14:paraId="71645986">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满足磋商文件要求且最后报价最低的供应商的价格为磋商基准价，按照下列公式计算每个供应商的磋商报价得分。磋商报价得分=（磋商基准价/最后磋商报价）×1</w:t>
            </w:r>
            <w:r>
              <w:rPr>
                <w:rFonts w:hint="eastAsia" w:ascii="宋体" w:hAnsi="宋体" w:eastAsia="宋体" w:cs="宋体"/>
                <w:color w:val="auto"/>
                <w:sz w:val="21"/>
                <w:szCs w:val="21"/>
                <w:lang w:val="en-US" w:eastAsia="zh-CN"/>
              </w:rPr>
              <w:t>0</w:t>
            </w:r>
          </w:p>
        </w:tc>
        <w:tc>
          <w:tcPr>
            <w:tcW w:w="464" w:type="pct"/>
            <w:vAlign w:val="center"/>
          </w:tcPr>
          <w:p w14:paraId="56E9B63B">
            <w:pPr>
              <w:snapToGrid w:val="0"/>
              <w:spacing w:line="360" w:lineRule="auto"/>
              <w:jc w:val="center"/>
              <w:rPr>
                <w:rFonts w:hint="eastAsia" w:ascii="宋体" w:hAnsi="宋体" w:eastAsia="宋体" w:cs="宋体"/>
                <w:color w:val="0000FF"/>
                <w:sz w:val="21"/>
                <w:szCs w:val="21"/>
              </w:rPr>
            </w:pPr>
          </w:p>
        </w:tc>
      </w:tr>
      <w:tr w14:paraId="200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 w:type="pct"/>
            <w:vAlign w:val="center"/>
          </w:tcPr>
          <w:p w14:paraId="7D67CC84">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570" w:type="pct"/>
            <w:vAlign w:val="center"/>
          </w:tcPr>
          <w:p w14:paraId="6ACC347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监理大纲</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354" w:type="pct"/>
            <w:vAlign w:val="center"/>
          </w:tcPr>
          <w:p w14:paraId="66D1E130">
            <w:pPr>
              <w:snapToGrid w:val="0"/>
              <w:spacing w:line="360" w:lineRule="auto"/>
              <w:jc w:val="center"/>
              <w:rPr>
                <w:rFonts w:hint="eastAsia" w:ascii="宋体" w:hAnsi="宋体" w:eastAsia="宋体" w:cs="宋体"/>
                <w:color w:val="auto"/>
                <w:sz w:val="21"/>
                <w:szCs w:val="21"/>
              </w:rPr>
            </w:pPr>
          </w:p>
          <w:p w14:paraId="2FB7A5B6">
            <w:pPr>
              <w:snapToGrid w:val="0"/>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252" w:type="pct"/>
            <w:vAlign w:val="center"/>
          </w:tcPr>
          <w:p w14:paraId="192E54F7">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根据本项目制定</w:t>
            </w:r>
            <w:r>
              <w:rPr>
                <w:rFonts w:hint="eastAsia" w:ascii="宋体" w:hAnsi="宋体" w:eastAsia="宋体" w:cs="宋体"/>
                <w:color w:val="auto"/>
                <w:sz w:val="21"/>
                <w:szCs w:val="21"/>
                <w:lang w:val="en-US" w:eastAsia="zh-CN"/>
              </w:rPr>
              <w:t>监理大纲</w:t>
            </w:r>
            <w:r>
              <w:rPr>
                <w:rFonts w:hint="eastAsia" w:ascii="宋体" w:hAnsi="宋体" w:eastAsia="宋体" w:cs="宋体"/>
                <w:b w:val="0"/>
                <w:bCs w:val="0"/>
                <w:color w:val="auto"/>
                <w:sz w:val="21"/>
                <w:szCs w:val="21"/>
              </w:rPr>
              <w:t>包括但不限于：①质量控制措施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含</w:t>
            </w:r>
            <w:r>
              <w:rPr>
                <w:rFonts w:hint="eastAsia" w:ascii="宋体" w:hAnsi="宋体" w:eastAsia="宋体" w:cs="宋体"/>
                <w:b w:val="0"/>
                <w:bCs w:val="0"/>
                <w:color w:val="auto"/>
                <w:sz w:val="21"/>
                <w:szCs w:val="21"/>
                <w:lang w:eastAsia="zh-CN"/>
              </w:rPr>
              <w:t>审查施工承包单位的质量管理体系方案，检查确认运到现场的工程材料的方案，实施巡视、平行检查、旁站监理方案等内容）</w:t>
            </w:r>
            <w:r>
              <w:rPr>
                <w:rFonts w:hint="eastAsia" w:ascii="宋体" w:hAnsi="宋体" w:eastAsia="宋体" w:cs="宋体"/>
                <w:b w:val="0"/>
                <w:bCs w:val="0"/>
                <w:color w:val="auto"/>
                <w:sz w:val="21"/>
                <w:szCs w:val="21"/>
                <w:lang w:val="en-US" w:eastAsia="zh-CN"/>
              </w:rPr>
              <w:t>；②安全控制措施（含审查施工承包单位的施工安全方案及专项方案，检查施工机械设备，安全控制保障措施等内容）</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③进度控制措施（含审批施工承包单位报送的施工进度计划方案，检查、分析施工进度计划，落实项目整改方案及进度情况等内容）；④造价控制措施（含工程计量及工程款支付申请的审核批准方案，工程变更评估（审核），批准工作的方案、处理工程费用索赔事件的方案，核实进度款申请、安全文明措施费申请变更、索赔等内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⑤资源配备计划（含试验、检测工具，配置计划，检测工具的检测报告及文件，人员配备等内容）；⑥安全文明施工控制措施、合同管理与组织协调等；</w:t>
            </w:r>
            <w:r>
              <w:rPr>
                <w:rFonts w:hint="eastAsia" w:ascii="宋体" w:hAnsi="宋体" w:cs="宋体"/>
                <w:b w:val="0"/>
                <w:bCs w:val="0"/>
                <w:color w:val="auto"/>
                <w:sz w:val="21"/>
                <w:szCs w:val="21"/>
                <w:lang w:val="en-US" w:eastAsia="zh-CN"/>
              </w:rPr>
              <w:t>⑦项目组织措施（监理目标和范围、监理程序和监理工作流程设计、监理工程特点、实施难点分析）；</w:t>
            </w:r>
            <w:r>
              <w:rPr>
                <w:rFonts w:hint="eastAsia" w:ascii="宋体" w:hAnsi="宋体" w:eastAsia="宋体" w:cs="宋体"/>
                <w:b w:val="0"/>
                <w:bCs w:val="0"/>
                <w:color w:val="auto"/>
                <w:sz w:val="21"/>
                <w:szCs w:val="21"/>
                <w:lang w:val="en-US" w:eastAsia="zh-CN"/>
              </w:rPr>
              <w:t>以</w:t>
            </w:r>
            <w:r>
              <w:rPr>
                <w:rFonts w:hint="eastAsia" w:ascii="宋体" w:hAnsi="宋体" w:eastAsia="宋体" w:cs="宋体"/>
                <w:b w:val="0"/>
                <w:bCs w:val="0"/>
                <w:color w:val="auto"/>
                <w:sz w:val="21"/>
                <w:szCs w:val="21"/>
                <w:lang w:val="zh-CN" w:eastAsia="zh-CN"/>
              </w:rPr>
              <w:t>上</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项内</w:t>
            </w:r>
            <w:r>
              <w:rPr>
                <w:rFonts w:hint="eastAsia" w:ascii="宋体" w:hAnsi="宋体" w:eastAsia="宋体" w:cs="宋体"/>
                <w:b w:val="0"/>
                <w:bCs w:val="0"/>
                <w:color w:val="auto"/>
                <w:sz w:val="21"/>
                <w:szCs w:val="21"/>
                <w:lang w:val="en-US" w:eastAsia="zh-CN"/>
              </w:rPr>
              <w:t>容（以序</w:t>
            </w:r>
            <w:r>
              <w:rPr>
                <w:rFonts w:hint="eastAsia" w:ascii="宋体" w:hAnsi="宋体" w:eastAsia="宋体" w:cs="宋体"/>
                <w:b w:val="0"/>
                <w:bCs w:val="0"/>
                <w:color w:val="auto"/>
                <w:sz w:val="21"/>
                <w:szCs w:val="21"/>
              </w:rPr>
              <w:t>号①②</w:t>
            </w:r>
            <w:r>
              <w:rPr>
                <w:rFonts w:hint="eastAsia" w:ascii="宋体" w:hAnsi="宋体" w:eastAsia="宋体" w:cs="宋体"/>
                <w:b w:val="0"/>
                <w:bCs w:val="0"/>
                <w:color w:val="auto"/>
                <w:sz w:val="21"/>
                <w:szCs w:val="21"/>
                <w:lang w:val="en-US" w:eastAsia="zh-CN"/>
              </w:rPr>
              <w:t>③④⑤⑥</w:t>
            </w:r>
            <w:r>
              <w:rPr>
                <w:rFonts w:hint="eastAsia" w:ascii="宋体" w:hAnsi="宋体" w:eastAsia="宋体" w:cs="宋体"/>
                <w:b w:val="0"/>
                <w:bCs w:val="0"/>
                <w:color w:val="auto"/>
                <w:sz w:val="21"/>
                <w:szCs w:val="21"/>
              </w:rPr>
              <w:t>为项数）完整得</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分，每有一项内容缺项的减</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分，每项内容中存在不足或不符合项目实际需求每一处减</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 xml:space="preserve">分，减完为止。 </w:t>
            </w:r>
          </w:p>
          <w:p w14:paraId="2969138A">
            <w:pPr>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注：内容存在不足或不符合项目实际需求是指: 项目信息错误、方案内容脱离项目实际情况、引用的法律法规规范、标准或其他规范性文件错误、套用其他项目方案、地点区域错误、照搬采购文件且未作出进一步细化的任意一种情形。</w:t>
            </w:r>
          </w:p>
        </w:tc>
        <w:tc>
          <w:tcPr>
            <w:tcW w:w="464" w:type="pct"/>
            <w:vAlign w:val="center"/>
          </w:tcPr>
          <w:p w14:paraId="2BFE04A3">
            <w:pPr>
              <w:snapToGrid w:val="0"/>
              <w:spacing w:line="360" w:lineRule="auto"/>
              <w:jc w:val="center"/>
              <w:rPr>
                <w:rFonts w:hint="eastAsia" w:ascii="宋体" w:hAnsi="宋体" w:eastAsia="宋体" w:cs="宋体"/>
                <w:color w:val="auto"/>
                <w:sz w:val="21"/>
                <w:szCs w:val="21"/>
              </w:rPr>
            </w:pPr>
          </w:p>
        </w:tc>
      </w:tr>
      <w:tr w14:paraId="6C24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57" w:type="pct"/>
            <w:vAlign w:val="center"/>
          </w:tcPr>
          <w:p w14:paraId="5332265E">
            <w:pPr>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570" w:type="pct"/>
            <w:vAlign w:val="center"/>
          </w:tcPr>
          <w:p w14:paraId="360BDC6B">
            <w:pPr>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人员配置</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lang w:eastAsia="zh-CN"/>
                <w14:textFill>
                  <w14:solidFill>
                    <w14:schemeClr w14:val="tx1"/>
                  </w14:solidFill>
                </w14:textFill>
              </w:rPr>
              <w:t>%</w:t>
            </w:r>
          </w:p>
        </w:tc>
        <w:tc>
          <w:tcPr>
            <w:tcW w:w="354" w:type="pct"/>
            <w:vAlign w:val="center"/>
          </w:tcPr>
          <w:p w14:paraId="369EE3D2">
            <w:pPr>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lang w:eastAsia="zh-CN"/>
                <w14:textFill>
                  <w14:solidFill>
                    <w14:schemeClr w14:val="tx1"/>
                  </w14:solidFill>
                </w14:textFill>
              </w:rPr>
              <w:t>分</w:t>
            </w:r>
          </w:p>
        </w:tc>
        <w:tc>
          <w:tcPr>
            <w:tcW w:w="3252" w:type="pct"/>
            <w:vAlign w:val="center"/>
          </w:tcPr>
          <w:p w14:paraId="59F02697">
            <w:pPr>
              <w:spacing w:line="36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1.总监理工程师（1名）：</w:t>
            </w:r>
            <w:r>
              <w:rPr>
                <w:rFonts w:hint="eastAsia" w:ascii="宋体" w:hAnsi="宋体" w:eastAsia="宋体" w:cs="宋体"/>
                <w:b w:val="0"/>
                <w:bCs w:val="0"/>
                <w:color w:val="FF0000"/>
                <w:sz w:val="21"/>
                <w:szCs w:val="21"/>
                <w:lang w:val="en-US" w:eastAsia="zh-CN"/>
              </w:rPr>
              <w:t>具有全国注册监理工程师资格证（交通运输专业）</w:t>
            </w:r>
            <w:r>
              <w:rPr>
                <w:rFonts w:hint="eastAsia" w:ascii="宋体" w:hAnsi="宋体" w:eastAsia="宋体" w:cs="宋体"/>
                <w:b w:val="0"/>
                <w:bCs w:val="0"/>
                <w:color w:val="000000" w:themeColor="text1"/>
                <w:sz w:val="21"/>
                <w:szCs w:val="21"/>
                <w:lang w:val="en-US" w:eastAsia="zh-CN"/>
                <w14:textFill>
                  <w14:solidFill>
                    <w14:schemeClr w14:val="tx1"/>
                  </w14:solidFill>
                </w14:textFill>
              </w:rPr>
              <w:t>得</w:t>
            </w:r>
            <w:r>
              <w:rPr>
                <w:rFonts w:hint="eastAsia" w:ascii="宋体" w:hAnsi="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lang w:val="en-US" w:eastAsia="zh-CN"/>
                <w14:textFill>
                  <w14:solidFill>
                    <w14:schemeClr w14:val="tx1"/>
                  </w14:solidFill>
                </w14:textFill>
              </w:rPr>
              <w:t>分</w:t>
            </w:r>
            <w:r>
              <w:rPr>
                <w:rFonts w:hint="eastAsia" w:ascii="宋体" w:hAnsi="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本项</w:t>
            </w:r>
            <w:r>
              <w:rPr>
                <w:rFonts w:hint="eastAsia" w:ascii="宋体" w:hAnsi="宋体" w:cs="宋体"/>
                <w:b w:val="0"/>
                <w:bCs w:val="0"/>
                <w:color w:val="000000" w:themeColor="text1"/>
                <w:sz w:val="21"/>
                <w:szCs w:val="21"/>
                <w:lang w:val="en-US" w:eastAsia="zh-CN"/>
                <w14:textFill>
                  <w14:solidFill>
                    <w14:schemeClr w14:val="tx1"/>
                  </w14:solidFill>
                </w14:textFill>
              </w:rPr>
              <w:t>满分</w:t>
            </w:r>
            <w:r>
              <w:rPr>
                <w:rFonts w:hint="eastAsia" w:ascii="宋体" w:hAnsi="宋体" w:eastAsia="宋体" w:cs="宋体"/>
                <w:b w:val="0"/>
                <w:bCs w:val="0"/>
                <w:color w:val="000000" w:themeColor="text1"/>
                <w:sz w:val="21"/>
                <w:szCs w:val="21"/>
                <w:lang w:val="en-US" w:eastAsia="zh-CN"/>
                <w14:textFill>
                  <w14:solidFill>
                    <w14:schemeClr w14:val="tx1"/>
                  </w14:solidFill>
                </w14:textFill>
              </w:rPr>
              <w:t>得5分。</w:t>
            </w:r>
          </w:p>
          <w:p w14:paraId="197CB5D6">
            <w:pPr>
              <w:spacing w:line="36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宋体" w:hAnsi="宋体" w:cs="宋体"/>
                <w:b w:val="0"/>
                <w:bCs w:val="0"/>
                <w:color w:val="000000" w:themeColor="text1"/>
                <w:sz w:val="21"/>
                <w:szCs w:val="21"/>
                <w:lang w:val="en-US" w:eastAsia="zh-CN"/>
                <w14:textFill>
                  <w14:solidFill>
                    <w14:schemeClr w14:val="tx1"/>
                  </w14:solidFill>
                </w14:textFill>
              </w:rPr>
              <w:t>道路</w:t>
            </w:r>
            <w:r>
              <w:rPr>
                <w:rFonts w:hint="eastAsia" w:ascii="宋体" w:hAnsi="宋体" w:eastAsia="宋体" w:cs="宋体"/>
                <w:b w:val="0"/>
                <w:bCs w:val="0"/>
                <w:color w:val="000000" w:themeColor="text1"/>
                <w:sz w:val="21"/>
                <w:szCs w:val="21"/>
                <w:lang w:val="en-US" w:eastAsia="zh-CN"/>
                <w14:textFill>
                  <w14:solidFill>
                    <w14:schemeClr w14:val="tx1"/>
                  </w14:solidFill>
                </w14:textFill>
              </w:rPr>
              <w:t>专业监理工程师（1名）：</w:t>
            </w:r>
            <w:r>
              <w:rPr>
                <w:rFonts w:hint="eastAsia" w:ascii="宋体" w:hAnsi="宋体" w:eastAsia="宋体" w:cs="宋体"/>
                <w:b w:val="0"/>
                <w:bCs w:val="0"/>
                <w:color w:val="FF0000"/>
                <w:sz w:val="21"/>
                <w:szCs w:val="21"/>
                <w:lang w:val="en-US" w:eastAsia="zh-CN"/>
              </w:rPr>
              <w:t>具有全国注册监理工程师资格证（交通运输专业）</w:t>
            </w:r>
            <w:r>
              <w:rPr>
                <w:rFonts w:hint="eastAsia" w:ascii="宋体" w:hAnsi="宋体" w:eastAsia="宋体" w:cs="宋体"/>
                <w:b w:val="0"/>
                <w:bCs w:val="0"/>
                <w:color w:val="000000" w:themeColor="text1"/>
                <w:sz w:val="21"/>
                <w:szCs w:val="21"/>
                <w:lang w:val="en-US" w:eastAsia="zh-CN"/>
                <w14:textFill>
                  <w14:solidFill>
                    <w14:schemeClr w14:val="tx1"/>
                  </w14:solidFill>
                </w14:textFill>
              </w:rPr>
              <w:t>得</w:t>
            </w:r>
            <w:r>
              <w:rPr>
                <w:rFonts w:hint="eastAsia" w:ascii="宋体" w:hAnsi="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lang w:val="en-US" w:eastAsia="zh-CN"/>
                <w14:textFill>
                  <w14:solidFill>
                    <w14:schemeClr w14:val="tx1"/>
                  </w14:solidFill>
                </w14:textFill>
              </w:rPr>
              <w:t>分</w:t>
            </w:r>
            <w:r>
              <w:rPr>
                <w:rFonts w:hint="eastAsia" w:ascii="宋体" w:hAnsi="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本项</w:t>
            </w:r>
            <w:r>
              <w:rPr>
                <w:rFonts w:hint="eastAsia" w:ascii="宋体" w:hAnsi="宋体" w:cs="宋体"/>
                <w:b w:val="0"/>
                <w:bCs w:val="0"/>
                <w:color w:val="000000" w:themeColor="text1"/>
                <w:sz w:val="21"/>
                <w:szCs w:val="21"/>
                <w:lang w:val="en-US" w:eastAsia="zh-CN"/>
                <w14:textFill>
                  <w14:solidFill>
                    <w14:schemeClr w14:val="tx1"/>
                  </w14:solidFill>
                </w14:textFill>
              </w:rPr>
              <w:t>满分</w:t>
            </w:r>
            <w:r>
              <w:rPr>
                <w:rFonts w:hint="eastAsia" w:ascii="宋体" w:hAnsi="宋体" w:eastAsia="宋体" w:cs="宋体"/>
                <w:b w:val="0"/>
                <w:bCs w:val="0"/>
                <w:color w:val="000000" w:themeColor="text1"/>
                <w:sz w:val="21"/>
                <w:szCs w:val="21"/>
                <w:lang w:val="en-US" w:eastAsia="zh-CN"/>
                <w14:textFill>
                  <w14:solidFill>
                    <w14:schemeClr w14:val="tx1"/>
                  </w14:solidFill>
                </w14:textFill>
              </w:rPr>
              <w:t>得5分。</w:t>
            </w:r>
          </w:p>
          <w:p w14:paraId="2776D6F6">
            <w:pPr>
              <w:spacing w:line="36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3.拟派监理员1名：</w:t>
            </w:r>
            <w:r>
              <w:rPr>
                <w:rFonts w:hint="eastAsia" w:ascii="宋体" w:hAnsi="宋体" w:eastAsia="宋体" w:cs="宋体"/>
                <w:b w:val="0"/>
                <w:bCs w:val="0"/>
                <w:color w:val="FF0000"/>
                <w:sz w:val="21"/>
                <w:szCs w:val="21"/>
                <w:lang w:val="en-US" w:eastAsia="zh-CN"/>
              </w:rPr>
              <w:t>具有交通运输主管部门颁发的监理员培训合格证书或者</w:t>
            </w:r>
            <w:r>
              <w:rPr>
                <w:rFonts w:hint="eastAsia" w:ascii="宋体" w:hAnsi="宋体" w:eastAsia="宋体" w:cs="宋体"/>
                <w:b w:val="0"/>
                <w:bCs w:val="0"/>
                <w:color w:val="FF0000"/>
                <w:sz w:val="21"/>
                <w:szCs w:val="21"/>
                <w:lang w:val="en-US" w:eastAsia="zh-CN"/>
              </w:rPr>
              <w:t>具有全国注册监理工程师资格证（交通运输专业）</w:t>
            </w:r>
            <w:r>
              <w:rPr>
                <w:rFonts w:hint="eastAsia" w:ascii="宋体" w:hAnsi="宋体" w:eastAsia="宋体" w:cs="宋体"/>
                <w:b w:val="0"/>
                <w:bCs w:val="0"/>
                <w:color w:val="000000" w:themeColor="text1"/>
                <w:sz w:val="21"/>
                <w:szCs w:val="21"/>
                <w:lang w:val="en-US" w:eastAsia="zh-CN"/>
                <w14:textFill>
                  <w14:solidFill>
                    <w14:schemeClr w14:val="tx1"/>
                  </w14:solidFill>
                </w14:textFill>
              </w:rPr>
              <w:t>得5分,本项满分得5分。</w:t>
            </w:r>
          </w:p>
          <w:p w14:paraId="743510FA">
            <w:pPr>
              <w:spacing w:line="36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注：①以上人员不得重复计分；②提供人员证书复印件并加盖供应商公章；</w:t>
            </w:r>
            <w:bookmarkStart w:id="9" w:name="_GoBack"/>
            <w:bookmarkEnd w:id="9"/>
            <w:r>
              <w:rPr>
                <w:rFonts w:hint="eastAsia" w:ascii="宋体" w:hAnsi="宋体" w:eastAsia="宋体" w:cs="宋体"/>
                <w:b w:val="0"/>
                <w:bCs w:val="0"/>
                <w:color w:val="000000" w:themeColor="text1"/>
                <w:sz w:val="21"/>
                <w:szCs w:val="21"/>
                <w:lang w:val="en-US" w:eastAsia="zh-CN"/>
                <w14:textFill>
                  <w14:solidFill>
                    <w14:schemeClr w14:val="tx1"/>
                  </w14:solidFill>
                </w14:textFill>
              </w:rPr>
              <w:t>以上人员须是供应商本单位人员。</w:t>
            </w:r>
          </w:p>
        </w:tc>
        <w:tc>
          <w:tcPr>
            <w:tcW w:w="464" w:type="pct"/>
            <w:vAlign w:val="center"/>
          </w:tcPr>
          <w:p w14:paraId="209D90BA">
            <w:pPr>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14:paraId="0B7E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7" w:type="pct"/>
            <w:vAlign w:val="center"/>
          </w:tcPr>
          <w:p w14:paraId="15FF9E90">
            <w:pPr>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570" w:type="pct"/>
            <w:vAlign w:val="center"/>
          </w:tcPr>
          <w:p w14:paraId="1E51BF44">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履约经验</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w:t>
            </w:r>
          </w:p>
        </w:tc>
        <w:tc>
          <w:tcPr>
            <w:tcW w:w="354" w:type="pct"/>
            <w:vAlign w:val="center"/>
          </w:tcPr>
          <w:p w14:paraId="6185FD16">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c>
          <w:tcPr>
            <w:tcW w:w="3252" w:type="pct"/>
            <w:vAlign w:val="center"/>
          </w:tcPr>
          <w:p w14:paraId="5BFDB67C">
            <w:pPr>
              <w:spacing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自</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年1月1日至今具有类似项目履约经验，有一个得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分，本项</w:t>
            </w:r>
            <w:r>
              <w:rPr>
                <w:rFonts w:hint="eastAsia" w:ascii="宋体" w:hAnsi="宋体" w:cs="宋体"/>
                <w:color w:val="000000" w:themeColor="text1"/>
                <w:sz w:val="21"/>
                <w:szCs w:val="21"/>
                <w:lang w:val="en-US" w:eastAsia="zh-CN"/>
                <w14:textFill>
                  <w14:solidFill>
                    <w14:schemeClr w14:val="tx1"/>
                  </w14:solidFill>
                </w14:textFill>
              </w:rPr>
              <w:t>满分</w:t>
            </w:r>
            <w:r>
              <w:rPr>
                <w:rFonts w:hint="eastAsia" w:ascii="宋体" w:hAnsi="宋体" w:eastAsia="宋体" w:cs="宋体"/>
                <w:color w:val="000000" w:themeColor="text1"/>
                <w:sz w:val="21"/>
                <w:szCs w:val="21"/>
                <w14:textFill>
                  <w14:solidFill>
                    <w14:schemeClr w14:val="tx1"/>
                  </w14:solidFill>
                </w14:textFill>
              </w:rPr>
              <w:t>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分。类似项目</w:t>
            </w:r>
            <w:r>
              <w:rPr>
                <w:rFonts w:hint="eastAsia" w:ascii="宋体" w:hAnsi="宋体" w:eastAsia="宋体" w:cs="宋体"/>
                <w:color w:val="000000" w:themeColor="text1"/>
                <w:sz w:val="21"/>
                <w:szCs w:val="21"/>
                <w:lang w:val="en-US" w:eastAsia="zh-CN"/>
                <w14:textFill>
                  <w14:solidFill>
                    <w14:schemeClr w14:val="tx1"/>
                  </w14:solidFill>
                </w14:textFill>
              </w:rPr>
              <w:t>是指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FF0000"/>
                <w:sz w:val="21"/>
                <w:szCs w:val="21"/>
                <w:lang w:eastAsia="zh-CN"/>
              </w:rPr>
              <w:t>公路工程相关监理</w:t>
            </w:r>
            <w:r>
              <w:rPr>
                <w:rFonts w:hint="eastAsia" w:ascii="宋体" w:hAnsi="宋体" w:cs="宋体"/>
                <w:color w:val="FF0000"/>
                <w:sz w:val="21"/>
                <w:szCs w:val="21"/>
                <w:lang w:val="en-US" w:eastAsia="zh-CN"/>
              </w:rPr>
              <w:t>项目</w:t>
            </w:r>
            <w:r>
              <w:rPr>
                <w:rFonts w:hint="eastAsia" w:ascii="宋体" w:hAnsi="宋体" w:eastAsia="宋体" w:cs="宋体"/>
                <w:color w:val="000000" w:themeColor="text1"/>
                <w:sz w:val="21"/>
                <w:szCs w:val="21"/>
                <w:lang w:eastAsia="zh-CN"/>
                <w14:textFill>
                  <w14:solidFill>
                    <w14:schemeClr w14:val="tx1"/>
                  </w14:solidFill>
                </w14:textFill>
              </w:rPr>
              <w:t>。</w:t>
            </w:r>
          </w:p>
          <w:p w14:paraId="1DD13623">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注：提供中标/成交通知书或合同复印件（加盖供应商公章）。</w:t>
            </w:r>
          </w:p>
        </w:tc>
        <w:tc>
          <w:tcPr>
            <w:tcW w:w="464" w:type="pct"/>
            <w:vAlign w:val="center"/>
          </w:tcPr>
          <w:p w14:paraId="19917B42">
            <w:pPr>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bookmarkEnd w:id="6"/>
      <w:bookmarkEnd w:id="7"/>
      <w:bookmarkEnd w:id="8"/>
    </w:tbl>
    <w:p w14:paraId="35FA40A1">
      <w:pPr>
        <w:rPr>
          <w:color w:val="auto"/>
        </w:rPr>
      </w:pPr>
    </w:p>
    <w:p w14:paraId="3FA42FC1">
      <w:pPr>
        <w:spacing w:line="360" w:lineRule="auto"/>
        <w:ind w:firstLine="480" w:firstLineChars="200"/>
        <w:outlineLvl w:val="1"/>
        <w:rPr>
          <w:rFonts w:ascii="宋体" w:hAnsi="宋体" w:cs="宋体"/>
          <w:bCs/>
          <w:color w:val="auto"/>
          <w:sz w:val="24"/>
        </w:rPr>
      </w:pPr>
      <w:r>
        <w:rPr>
          <w:rFonts w:hint="eastAsia" w:ascii="宋体" w:hAnsi="宋体" w:cs="宋体"/>
          <w:bCs/>
          <w:color w:val="auto"/>
          <w:sz w:val="24"/>
        </w:rPr>
        <w:t>注：1）评审总得分=A1+A2+……+An。</w:t>
      </w:r>
    </w:p>
    <w:p w14:paraId="2C2D1127">
      <w:pPr>
        <w:spacing w:line="360" w:lineRule="auto"/>
        <w:ind w:firstLine="480" w:firstLineChars="200"/>
        <w:outlineLvl w:val="1"/>
        <w:rPr>
          <w:rFonts w:hint="eastAsia" w:ascii="宋体" w:hAnsi="宋体" w:eastAsia="宋体" w:cs="宋体"/>
          <w:bCs/>
          <w:color w:val="auto"/>
          <w:sz w:val="24"/>
        </w:rPr>
      </w:pPr>
      <w:r>
        <w:rPr>
          <w:rFonts w:hint="eastAsia" w:ascii="宋体" w:hAnsi="宋体" w:eastAsia="宋体" w:cs="宋体"/>
          <w:bCs/>
          <w:color w:val="auto"/>
          <w:sz w:val="24"/>
        </w:rPr>
        <w:t>2）评分的取值按四舍五入法，保留小数点后两位。</w:t>
      </w:r>
      <w:bookmarkEnd w:id="1"/>
      <w:bookmarkEnd w:id="2"/>
      <w:bookmarkEnd w:id="3"/>
      <w:bookmarkEnd w:id="4"/>
    </w:p>
    <w:p w14:paraId="6233EE6D">
      <w:pPr>
        <w:pStyle w:val="3"/>
        <w:rPr>
          <w:color w:val="auto"/>
        </w:rPr>
      </w:pPr>
    </w:p>
    <w:p w14:paraId="25CA79D6">
      <w:pPr>
        <w:tabs>
          <w:tab w:val="left" w:pos="851"/>
        </w:tabs>
        <w:spacing w:line="360" w:lineRule="auto"/>
        <w:ind w:firstLine="482" w:firstLineChars="200"/>
        <w:rPr>
          <w:rFonts w:ascii="宋体" w:hAnsi="宋体" w:cs="宋体"/>
          <w:b/>
          <w:color w:val="auto"/>
          <w:sz w:val="24"/>
        </w:rPr>
      </w:pPr>
      <w:r>
        <w:rPr>
          <w:rFonts w:hint="eastAsia" w:ascii="宋体" w:hAnsi="宋体" w:cs="宋体"/>
          <w:b/>
          <w:color w:val="auto"/>
          <w:sz w:val="24"/>
        </w:rPr>
        <w:t>4.磋商纪律及注意事项</w:t>
      </w:r>
    </w:p>
    <w:p w14:paraId="320E2470">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4.1磋商小组内部讨论的情况和意见必须保密，任何人不得以任何形式透露给供应商或与供应商有关的单位或个人。</w:t>
      </w:r>
    </w:p>
    <w:p w14:paraId="332F2656">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4.2在磋商过程中，供应商不得以任何形式对磋商小组成员进行旨在影响谈判结果的私下接触，否则将取消其参与磋商的资格。</w:t>
      </w:r>
    </w:p>
    <w:p w14:paraId="6AFFABB3">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4.3对各供应商的商业秘密，磋商小组成员应予以保密，不得泄露给其他供应商。</w:t>
      </w:r>
    </w:p>
    <w:p w14:paraId="60F506D6">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4.4 磋商小组独立评判，推荐成交候选人，并写出书面报告。</w:t>
      </w:r>
    </w:p>
    <w:p w14:paraId="5025D198">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4.5 磋商小组可根据需要对供应商进行实地考察。</w:t>
      </w:r>
    </w:p>
    <w:p w14:paraId="0995D7DA">
      <w:pPr>
        <w:tabs>
          <w:tab w:val="left" w:pos="7665"/>
        </w:tabs>
        <w:spacing w:line="360" w:lineRule="auto"/>
        <w:ind w:firstLine="482" w:firstLineChars="200"/>
        <w:rPr>
          <w:rFonts w:ascii="宋体" w:hAnsi="宋体" w:cs="宋体"/>
          <w:b/>
          <w:color w:val="auto"/>
          <w:sz w:val="24"/>
        </w:rPr>
      </w:pPr>
      <w:r>
        <w:rPr>
          <w:rFonts w:hint="eastAsia" w:ascii="宋体" w:hAnsi="宋体" w:cs="宋体"/>
          <w:b/>
          <w:bCs/>
          <w:color w:val="auto"/>
          <w:sz w:val="24"/>
        </w:rPr>
        <w:t>5.</w:t>
      </w:r>
      <w:bookmarkEnd w:id="5"/>
      <w:r>
        <w:rPr>
          <w:rFonts w:hint="eastAsia" w:ascii="宋体" w:hAnsi="宋体" w:cs="宋体"/>
          <w:b/>
          <w:bCs/>
          <w:color w:val="auto"/>
          <w:sz w:val="24"/>
        </w:rPr>
        <w:t>磋商</w:t>
      </w:r>
      <w:r>
        <w:rPr>
          <w:rFonts w:hint="eastAsia" w:ascii="宋体" w:hAnsi="宋体" w:cs="宋体"/>
          <w:b/>
          <w:color w:val="auto"/>
          <w:sz w:val="24"/>
        </w:rPr>
        <w:t>小组在采购活动中承担以下义务：</w:t>
      </w:r>
    </w:p>
    <w:p w14:paraId="13715B7A">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（一）遵守评审工作纪律；</w:t>
      </w:r>
    </w:p>
    <w:p w14:paraId="6763316E">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（二）按照客观、公正、审慎的原则，根据磋商文件规定的评审程序、评审方法和评审标准进行独立评审；</w:t>
      </w:r>
    </w:p>
    <w:p w14:paraId="33327854">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（三）不得泄露评审文件、评审情况和在评审过程中获悉的商业秘密；</w:t>
      </w:r>
    </w:p>
    <w:p w14:paraId="246B8D8F">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（四）及时向财政部门报告评审过程中发现的采购人、采购代理机构向评审专家做倾向性、误导性的解释或者说明，以及供应商行贿、提供虚假材料或者串通等违法行为；</w:t>
      </w:r>
    </w:p>
    <w:p w14:paraId="7C7544D1">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（五）发现磋商文件内容违反国家有关强制性规定或者磋商文件存在歧义、重大缺陷导致评审工作无法进行时，停止评审并向采购人或者采购代理机构书面说明情况；</w:t>
      </w:r>
    </w:p>
    <w:p w14:paraId="7DA49753">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（六）及时向财政、监察等部门举报在评审过程中受到非法干预的情况；</w:t>
      </w:r>
    </w:p>
    <w:p w14:paraId="456A0188">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（七）配合答复处理供应商的询问、质疑和投诉等事项；</w:t>
      </w:r>
    </w:p>
    <w:p w14:paraId="5387BC49">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（八）法律、法规和规章规定的其他义务。</w:t>
      </w:r>
    </w:p>
    <w:p w14:paraId="54752D0C">
      <w:pPr>
        <w:tabs>
          <w:tab w:val="left" w:pos="7665"/>
        </w:tabs>
        <w:spacing w:line="360" w:lineRule="auto"/>
        <w:ind w:firstLine="482" w:firstLineChars="200"/>
        <w:rPr>
          <w:rFonts w:ascii="宋体" w:hAnsi="宋体" w:cs="宋体"/>
          <w:b/>
          <w:color w:val="auto"/>
          <w:sz w:val="24"/>
        </w:rPr>
      </w:pPr>
      <w:r>
        <w:rPr>
          <w:rFonts w:hint="eastAsia" w:ascii="宋体" w:hAnsi="宋体" w:cs="宋体"/>
          <w:b/>
          <w:color w:val="auto"/>
          <w:sz w:val="24"/>
        </w:rPr>
        <w:t>6.评审专家在采购活动中应当遵守以下工作纪律：</w:t>
      </w:r>
    </w:p>
    <w:p w14:paraId="5D644359">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（一）不得参加与自己有《中华人民共和国政府采购法实施条例》第九条规定的利害关系的采购项目的评标活动。发现参加了与自己有利害关系的评审活动，须主动提出回避，退出评审；</w:t>
      </w:r>
    </w:p>
    <w:p w14:paraId="66423AC6">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（二）评审前，应当将通讯工具或者相关电子设备交由采购代理机构统一保管；</w:t>
      </w:r>
    </w:p>
    <w:p w14:paraId="4D892C8E">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（三）评审过程中，不得与外界联系，因发生不可预见情况，确实需要与外界联系的，应当在监督人员监督之下办理；</w:t>
      </w:r>
    </w:p>
    <w:p w14:paraId="471D49D2">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7D2DBDF">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（五）在评审过程中和评审结束后，不得记录、复制或带走任何评审资料，不得向外界透露评审内容；</w:t>
      </w:r>
    </w:p>
    <w:p w14:paraId="7EE13A78">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（六）评审现场服从采购代理机构工作人员的管理，接受现场监督人员的合法监督；</w:t>
      </w:r>
    </w:p>
    <w:p w14:paraId="13D05EEF">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（七）遵守有关廉洁自律规定，不得私下接触供应商，不得收受供应商及有关业务单位和个人的财物或好处，不得接受采购代理机构的请托。</w:t>
      </w:r>
    </w:p>
    <w:p w14:paraId="35412E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69BC6"/>
    <w:multiLevelType w:val="singleLevel"/>
    <w:tmpl w:val="7C669B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058D0"/>
    <w:rsid w:val="10AB244E"/>
    <w:rsid w:val="236E2204"/>
    <w:rsid w:val="74B0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30"/>
    </w:pPr>
    <w:rPr>
      <w:sz w:val="32"/>
      <w:szCs w:val="20"/>
    </w:rPr>
  </w:style>
  <w:style w:type="paragraph" w:styleId="5">
    <w:name w:val="Plain Text"/>
    <w:basedOn w:val="1"/>
    <w:qFormat/>
    <w:uiPriority w:val="99"/>
    <w:pPr>
      <w:autoSpaceDE w:val="0"/>
      <w:autoSpaceDN w:val="0"/>
      <w:adjustRightInd w:val="0"/>
    </w:pPr>
    <w:rPr>
      <w:rFonts w:ascii="宋体" w:hAnsi="Tms Rmn" w:cstheme="minorBidi"/>
      <w:szCs w:val="22"/>
    </w:rPr>
  </w:style>
  <w:style w:type="paragraph" w:styleId="6">
    <w:name w:val="Title"/>
    <w:basedOn w:val="1"/>
    <w:next w:val="1"/>
    <w:qFormat/>
    <w:uiPriority w:val="10"/>
    <w:pPr>
      <w:spacing w:before="240" w:after="60"/>
      <w:jc w:val="center"/>
      <w:outlineLvl w:val="0"/>
    </w:pPr>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7649</Words>
  <Characters>7868</Characters>
  <Lines>0</Lines>
  <Paragraphs>0</Paragraphs>
  <TotalTime>0</TotalTime>
  <ScaleCrop>false</ScaleCrop>
  <LinksUpToDate>false</LinksUpToDate>
  <CharactersWithSpaces>7883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2026-01-27T02:30:00Z</dcterms:created>
  <dc:creator>崔业晨</dc:creator>
  <cp:lastModifiedBy>123</cp:lastModifiedBy>
  <dcterms:modified xsi:type="dcterms:W3CDTF">2026-02-24T08:45:25Z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0706D62DD8EE43DD8CBAF17CE3A95F54_13</vt:lpwstr>
  </property>
  <property fmtid="{D5CDD505-2E9C-101B-9397-08002B2CF9AE}" pid="4" name="KSOTemplateDocerSaveRecord">
    <vt:lpwstr>eyJoZGlkIjoiYmE2YWFhMjcyZTBlYmY1YTg0NTFiM2NlYTA5NmM3MjYiLCJ1c2VySWQiOiIzODQyMDkyNjUifQ==</vt:lpwstr>
  </property>
</Properties>
</file>