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279" w:line="209" w:lineRule="auto"/>
        <w:ind w:left="2031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ascii="黑体" w:hAnsi="黑体" w:eastAsia="黑体" w:cs="黑体"/>
          <w:spacing w:val="19"/>
          <w:sz w:val="72"/>
          <w:szCs w:val="72"/>
        </w:rPr>
        <w:t>2021</w:t>
      </w:r>
      <w:r>
        <w:rPr>
          <w:rFonts w:ascii="方正小标宋简体" w:hAnsi="方正小标宋简体" w:eastAsia="方正小标宋简体" w:cs="方正小标宋简体"/>
          <w:spacing w:val="19"/>
          <w:sz w:val="72"/>
          <w:szCs w:val="72"/>
        </w:rPr>
        <w:t>年度东区</w:t>
      </w:r>
    </w:p>
    <w:p>
      <w:pPr>
        <w:pStyle w:val="2"/>
        <w:spacing w:line="387" w:lineRule="auto"/>
      </w:pPr>
    </w:p>
    <w:p>
      <w:pPr>
        <w:spacing w:before="279" w:line="232" w:lineRule="auto"/>
        <w:ind w:left="1392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ascii="方正小标宋简体" w:hAnsi="方正小标宋简体" w:eastAsia="方正小标宋简体" w:cs="方正小标宋简体"/>
          <w:spacing w:val="-2"/>
          <w:sz w:val="72"/>
          <w:szCs w:val="72"/>
        </w:rPr>
        <w:t>财政国库支付中心</w:t>
      </w:r>
    </w:p>
    <w:p>
      <w:pPr>
        <w:pStyle w:val="2"/>
        <w:spacing w:line="355" w:lineRule="auto"/>
      </w:pPr>
    </w:p>
    <w:p>
      <w:pPr>
        <w:spacing w:before="279" w:line="204" w:lineRule="auto"/>
        <w:ind w:left="2103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ascii="方正小标宋简体" w:hAnsi="方正小标宋简体" w:eastAsia="方正小标宋简体" w:cs="方正小标宋简体"/>
          <w:spacing w:val="-1"/>
          <w:sz w:val="72"/>
          <w:szCs w:val="72"/>
        </w:rPr>
        <w:t>决算编制说明</w:t>
      </w:r>
    </w:p>
    <w:p>
      <w:pPr>
        <w:spacing w:line="204" w:lineRule="auto"/>
        <w:rPr>
          <w:rFonts w:ascii="方正小标宋简体" w:hAnsi="方正小标宋简体" w:eastAsia="方正小标宋简体" w:cs="方正小标宋简体"/>
          <w:sz w:val="72"/>
          <w:szCs w:val="72"/>
        </w:rPr>
        <w:sectPr>
          <w:footerReference r:id="rId5" w:type="default"/>
          <w:pgSz w:w="11900" w:h="16840"/>
          <w:pgMar w:top="1431" w:right="1785" w:bottom="388" w:left="1785" w:header="0" w:footer="222" w:gutter="0"/>
          <w:cols w:space="720" w:num="1"/>
        </w:sectPr>
      </w:pPr>
    </w:p>
    <w:sdt>
      <w:sdtPr>
        <w:rPr>
          <w:rFonts w:ascii="黑体" w:hAnsi="黑体" w:eastAsia="黑体" w:cs="黑体"/>
          <w:sz w:val="48"/>
          <w:szCs w:val="48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spacing w:before="96" w:line="222" w:lineRule="auto"/>
            <w:ind w:left="3859"/>
            <w:rPr>
              <w:rFonts w:ascii="黑体" w:hAnsi="黑体" w:eastAsia="黑体" w:cs="黑体"/>
              <w:sz w:val="48"/>
              <w:szCs w:val="48"/>
            </w:rPr>
          </w:pPr>
          <w:r>
            <w:rPr>
              <w:rFonts w:ascii="黑体" w:hAnsi="黑体" w:eastAsia="黑体" w:cs="黑体"/>
              <w:spacing w:val="-20"/>
              <w:sz w:val="48"/>
              <w:szCs w:val="48"/>
            </w:rPr>
            <w:t>目录</w:t>
          </w:r>
        </w:p>
        <w:p>
          <w:pPr>
            <w:pStyle w:val="2"/>
            <w:spacing w:line="289" w:lineRule="auto"/>
          </w:pPr>
        </w:p>
        <w:p>
          <w:pPr>
            <w:pStyle w:val="2"/>
            <w:spacing w:line="289" w:lineRule="auto"/>
          </w:pPr>
        </w:p>
        <w:p>
          <w:pPr>
            <w:pStyle w:val="2"/>
            <w:spacing w:line="290" w:lineRule="auto"/>
          </w:pPr>
        </w:p>
        <w:p>
          <w:pPr>
            <w:spacing w:before="91" w:line="223" w:lineRule="auto"/>
            <w:ind w:left="2357"/>
            <w:rPr>
              <w:rFonts w:ascii="仿宋" w:hAnsi="仿宋" w:eastAsia="仿宋" w:cs="仿宋"/>
              <w:sz w:val="28"/>
              <w:szCs w:val="28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公开时间：2022</w:t>
          </w:r>
          <w:r>
            <w:rPr>
              <w:rFonts w:ascii="仿宋" w:hAnsi="仿宋" w:eastAsia="仿宋" w:cs="仿宋"/>
              <w:spacing w:val="-39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年</w:t>
          </w:r>
          <w:r>
            <w:rPr>
              <w:rFonts w:ascii="仿宋" w:hAnsi="仿宋" w:eastAsia="仿宋" w:cs="仿宋"/>
              <w:spacing w:val="30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10</w:t>
          </w:r>
          <w:r>
            <w:rPr>
              <w:rFonts w:ascii="仿宋" w:hAnsi="仿宋" w:eastAsia="仿宋" w:cs="仿宋"/>
              <w:spacing w:val="-40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月</w:t>
          </w:r>
          <w:r>
            <w:rPr>
              <w:rFonts w:ascii="仿宋" w:hAnsi="仿宋" w:eastAsia="仿宋" w:cs="仿宋"/>
              <w:spacing w:val="-5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25</w:t>
          </w:r>
          <w:r>
            <w:rPr>
              <w:rFonts w:ascii="仿宋" w:hAnsi="仿宋" w:eastAsia="仿宋" w:cs="仿宋"/>
              <w:spacing w:val="78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t>日</w:t>
          </w:r>
          <w:r>
            <w:rPr>
              <w:rFonts w:ascii="仿宋" w:hAnsi="仿宋" w:eastAsia="仿宋" w:cs="仿宋"/>
              <w:spacing w:val="-8"/>
              <w:sz w:val="28"/>
              <w:szCs w:val="28"/>
            </w:rPr>
            <w:fldChar w:fldCharType="end"/>
          </w:r>
        </w:p>
        <w:p>
          <w:pPr>
            <w:pStyle w:val="2"/>
            <w:spacing w:line="241" w:lineRule="auto"/>
          </w:pPr>
        </w:p>
        <w:p>
          <w:pPr>
            <w:pStyle w:val="2"/>
            <w:spacing w:line="241" w:lineRule="auto"/>
          </w:pPr>
        </w:p>
        <w:p>
          <w:pPr>
            <w:tabs>
              <w:tab w:val="right" w:leader="dot" w:pos="8175"/>
            </w:tabs>
            <w:spacing w:before="78" w:line="221" w:lineRule="auto"/>
            <w:ind w:left="41"/>
            <w:rPr>
              <w:rFonts w:ascii="仿宋" w:hAnsi="仿宋" w:eastAsia="仿宋" w:cs="仿宋"/>
              <w:sz w:val="24"/>
              <w:szCs w:val="24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第一部分</w:t>
          </w:r>
          <w:r>
            <w:rPr>
              <w:rFonts w:ascii="仿宋" w:hAnsi="仿宋" w:eastAsia="仿宋" w:cs="仿宋"/>
              <w:spacing w:val="20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单位概况</w:t>
          </w:r>
          <w:r>
            <w:rPr>
              <w:rFonts w:ascii="仿宋" w:hAnsi="仿宋" w:eastAsia="仿宋" w:cs="仿宋"/>
              <w:spacing w:val="-104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z w:val="24"/>
              <w:szCs w:val="24"/>
            </w:rPr>
            <w:t>4-5</w:t>
          </w:r>
          <w:r>
            <w:rPr>
              <w:rFonts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7935"/>
            </w:tabs>
            <w:spacing w:before="177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t>一、职能简介</w:t>
          </w:r>
          <w:r>
            <w:rPr>
              <w:rFonts w:ascii="宋体" w:hAnsi="宋体" w:eastAsia="宋体" w:cs="宋体"/>
              <w:spacing w:val="-7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4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134"/>
            </w:tabs>
            <w:spacing w:before="184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z w:val="24"/>
              <w:szCs w:val="24"/>
            </w:rPr>
            <w:t>二、2021</w:t>
          </w:r>
          <w:r>
            <w:rPr>
              <w:rFonts w:ascii="宋体" w:hAnsi="宋体" w:eastAsia="宋体" w:cs="宋体"/>
              <w:spacing w:val="-4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 xml:space="preserve">年重点工作完成情况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4-5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7995"/>
            </w:tabs>
            <w:spacing w:before="191" w:line="208" w:lineRule="auto"/>
            <w:ind w:left="443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三、机构设置情况</w:t>
          </w:r>
          <w:r>
            <w:rPr>
              <w:rFonts w:ascii="宋体" w:hAnsi="宋体" w:eastAsia="宋体" w:cs="宋体"/>
              <w:spacing w:val="-6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25"/>
              <w:sz w:val="20"/>
              <w:szCs w:val="20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6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95"/>
            </w:tabs>
            <w:spacing w:before="30" w:line="221" w:lineRule="auto"/>
            <w:ind w:left="41"/>
            <w:rPr>
              <w:rFonts w:ascii="仿宋" w:hAnsi="仿宋" w:eastAsia="仿宋" w:cs="仿宋"/>
              <w:sz w:val="24"/>
              <w:szCs w:val="24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第二部分 单位决算情况说明</w:t>
          </w:r>
          <w:r>
            <w:rPr>
              <w:rFonts w:ascii="仿宋" w:hAnsi="仿宋" w:eastAsia="仿宋" w:cs="仿宋"/>
              <w:spacing w:val="-93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3"/>
              <w:sz w:val="24"/>
              <w:szCs w:val="24"/>
            </w:rPr>
            <w:t>6-12</w:t>
          </w:r>
          <w:r>
            <w:rPr>
              <w:rFonts w:ascii="仿宋" w:hAnsi="仿宋" w:eastAsia="仿宋" w:cs="仿宋"/>
              <w:spacing w:val="3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35"/>
            </w:tabs>
            <w:spacing w:before="181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一、收入支出决算总体情况说明</w:t>
          </w:r>
          <w:r>
            <w:rPr>
              <w:rFonts w:ascii="宋体" w:hAnsi="宋体" w:eastAsia="宋体" w:cs="宋体"/>
              <w:spacing w:val="-6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6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35"/>
            </w:tabs>
            <w:spacing w:before="181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二、收入决算情况说明</w:t>
          </w:r>
          <w:r>
            <w:rPr>
              <w:rFonts w:ascii="宋体" w:hAnsi="宋体" w:eastAsia="宋体" w:cs="宋体"/>
              <w:spacing w:val="-8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6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35"/>
            </w:tabs>
            <w:spacing w:before="183" w:line="219" w:lineRule="auto"/>
            <w:ind w:left="444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三、支出决算情况说明</w:t>
          </w:r>
          <w:r>
            <w:rPr>
              <w:rFonts w:ascii="宋体" w:hAnsi="宋体" w:eastAsia="宋体" w:cs="宋体"/>
              <w:spacing w:val="-94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6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194"/>
            </w:tabs>
            <w:spacing w:before="181" w:line="219" w:lineRule="auto"/>
            <w:ind w:left="46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四、财政拨款收入支出决算总体情况说明</w:t>
          </w:r>
          <w:r>
            <w:rPr>
              <w:rFonts w:ascii="宋体" w:hAnsi="宋体" w:eastAsia="宋体" w:cs="宋体"/>
              <w:spacing w:val="-9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6-7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194"/>
            </w:tabs>
            <w:spacing w:before="183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五、一般公共预算财政拨款支出决算情况说明</w:t>
          </w:r>
          <w:r>
            <w:rPr>
              <w:rFonts w:ascii="宋体" w:hAnsi="宋体" w:eastAsia="宋体" w:cs="宋体"/>
              <w:spacing w:val="-8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7-8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194"/>
            </w:tabs>
            <w:spacing w:before="180" w:line="219" w:lineRule="auto"/>
            <w:ind w:left="44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六、一般公共预算财政拨款基本支出决算情况说明</w:t>
          </w:r>
          <w:r>
            <w:rPr>
              <w:rFonts w:ascii="宋体" w:hAnsi="宋体" w:eastAsia="宋体" w:cs="宋体"/>
              <w:spacing w:val="-84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8-9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74"/>
            </w:tabs>
            <w:spacing w:before="185" w:line="219" w:lineRule="auto"/>
            <w:ind w:left="443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七、“三公”经费财政拨款支出决算情况说明</w:t>
          </w:r>
          <w:r>
            <w:rPr>
              <w:rFonts w:ascii="宋体" w:hAnsi="宋体" w:eastAsia="宋体" w:cs="宋体"/>
              <w:spacing w:val="-8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9-</w:t>
          </w:r>
          <w:r>
            <w:rPr>
              <w:rFonts w:ascii="Times New Roman" w:hAnsi="Times New Roman" w:eastAsia="Times New Roman" w:cs="Times New Roman"/>
              <w:spacing w:val="-30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10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50"/>
            </w:tabs>
            <w:spacing w:before="180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八、政府性基金预算支出决算情况说明</w:t>
          </w:r>
          <w:r>
            <w:rPr>
              <w:rFonts w:ascii="宋体" w:hAnsi="宋体" w:eastAsia="宋体" w:cs="宋体"/>
              <w:spacing w:val="-9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110"/>
            </w:tabs>
            <w:spacing w:before="183" w:line="219" w:lineRule="auto"/>
            <w:ind w:left="45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九、</w:t>
          </w:r>
          <w:r>
            <w:rPr>
              <w:rFonts w:ascii="宋体" w:hAnsi="宋体" w:eastAsia="宋体" w:cs="宋体"/>
              <w:spacing w:val="37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国有资本经营预算支出决算情况说明</w:t>
          </w:r>
          <w:r>
            <w:rPr>
              <w:rFonts w:ascii="宋体" w:hAnsi="宋体" w:eastAsia="宋体" w:cs="宋体"/>
              <w:spacing w:val="-9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47"/>
            </w:tabs>
            <w:spacing w:before="182" w:line="219" w:lineRule="auto"/>
            <w:ind w:left="50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十、其他重要事项的情况说明</w:t>
          </w:r>
          <w:r>
            <w:rPr>
              <w:rFonts w:ascii="宋体" w:hAnsi="宋体" w:eastAsia="宋体" w:cs="宋体"/>
              <w:spacing w:val="-9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24"/>
              <w:szCs w:val="24"/>
            </w:rPr>
            <w:t>11-</w:t>
          </w:r>
          <w:r>
            <w:rPr>
              <w:rFonts w:ascii="Times New Roman" w:hAnsi="Times New Roman" w:eastAsia="Times New Roman" w:cs="Times New Roman"/>
              <w:spacing w:val="-30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24"/>
              <w:szCs w:val="24"/>
            </w:rPr>
            <w:t>12</w:t>
          </w:r>
          <w:r>
            <w:rPr>
              <w:rFonts w:ascii="Times New Roman" w:hAnsi="Times New Roman" w:eastAsia="Times New Roman" w:cs="Times New Roman"/>
              <w:spacing w:val="-5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95"/>
            </w:tabs>
            <w:spacing w:before="183" w:line="222" w:lineRule="auto"/>
            <w:ind w:left="41"/>
            <w:rPr>
              <w:rFonts w:ascii="仿宋" w:hAnsi="仿宋" w:eastAsia="仿宋" w:cs="仿宋"/>
              <w:sz w:val="24"/>
              <w:szCs w:val="24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第三部分</w:t>
          </w:r>
          <w:r>
            <w:rPr>
              <w:rFonts w:ascii="仿宋" w:hAnsi="仿宋" w:eastAsia="仿宋" w:cs="仿宋"/>
              <w:spacing w:val="20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名词解释</w:t>
          </w:r>
          <w:r>
            <w:rPr>
              <w:rFonts w:ascii="仿宋" w:hAnsi="仿宋" w:eastAsia="仿宋" w:cs="仿宋"/>
              <w:spacing w:val="-104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2"/>
              <w:sz w:val="24"/>
              <w:szCs w:val="24"/>
            </w:rPr>
            <w:t>13-16</w:t>
          </w:r>
          <w:r>
            <w:rPr>
              <w:rFonts w:ascii="仿宋" w:hAnsi="仿宋" w:eastAsia="仿宋" w:cs="仿宋"/>
              <w:spacing w:val="2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95"/>
            </w:tabs>
            <w:spacing w:before="179" w:line="222" w:lineRule="auto"/>
            <w:ind w:left="41"/>
            <w:rPr>
              <w:rFonts w:ascii="仿宋" w:hAnsi="仿宋" w:eastAsia="仿宋" w:cs="仿宋"/>
              <w:sz w:val="24"/>
              <w:szCs w:val="24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24"/>
              <w:szCs w:val="24"/>
            </w:rPr>
            <w:t>第四部分</w:t>
          </w:r>
          <w:r>
            <w:rPr>
              <w:rFonts w:ascii="仿宋" w:hAnsi="仿宋" w:eastAsia="仿宋" w:cs="仿宋"/>
              <w:spacing w:val="26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24"/>
              <w:szCs w:val="24"/>
            </w:rPr>
            <w:t>附件</w:t>
          </w:r>
          <w:r>
            <w:rPr>
              <w:rFonts w:ascii="仿宋" w:hAnsi="仿宋" w:eastAsia="仿宋" w:cs="仿宋"/>
              <w:spacing w:val="-104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z w:val="24"/>
              <w:szCs w:val="24"/>
            </w:rPr>
            <w:t>17-28</w:t>
          </w:r>
          <w:r>
            <w:rPr>
              <w:rFonts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95"/>
            </w:tabs>
            <w:spacing w:before="177" w:line="222" w:lineRule="auto"/>
            <w:ind w:left="41"/>
            <w:rPr>
              <w:rFonts w:ascii="仿宋" w:hAnsi="仿宋" w:eastAsia="仿宋" w:cs="仿宋"/>
              <w:sz w:val="24"/>
              <w:szCs w:val="24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24"/>
              <w:szCs w:val="24"/>
            </w:rPr>
            <w:t>第五部分</w:t>
          </w:r>
          <w:r>
            <w:rPr>
              <w:rFonts w:ascii="仿宋" w:hAnsi="仿宋" w:eastAsia="仿宋" w:cs="仿宋"/>
              <w:spacing w:val="26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24"/>
              <w:szCs w:val="24"/>
            </w:rPr>
            <w:t>附表</w:t>
          </w:r>
          <w:r>
            <w:rPr>
              <w:rFonts w:ascii="仿宋" w:hAnsi="仿宋" w:eastAsia="仿宋" w:cs="仿宋"/>
              <w:spacing w:val="-104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z w:val="24"/>
              <w:szCs w:val="24"/>
            </w:rPr>
            <w:t>28</w:t>
          </w:r>
          <w:r>
            <w:rPr>
              <w:rFonts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55"/>
            </w:tabs>
            <w:spacing w:before="177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一、收入支出决算总表</w:t>
          </w:r>
          <w:r>
            <w:rPr>
              <w:rFonts w:ascii="宋体" w:hAnsi="宋体" w:eastAsia="宋体" w:cs="宋体"/>
              <w:spacing w:val="-7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55"/>
            </w:tabs>
            <w:spacing w:before="184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二、收入决算表</w:t>
          </w:r>
          <w:r>
            <w:rPr>
              <w:rFonts w:ascii="宋体" w:hAnsi="宋体" w:eastAsia="宋体" w:cs="宋体"/>
              <w:spacing w:val="-94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55"/>
            </w:tabs>
            <w:spacing w:before="181" w:line="219" w:lineRule="auto"/>
            <w:ind w:left="444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三、支出决算表</w:t>
          </w:r>
          <w:r>
            <w:rPr>
              <w:rFonts w:ascii="宋体" w:hAnsi="宋体" w:eastAsia="宋体" w:cs="宋体"/>
              <w:spacing w:val="-90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55"/>
            </w:tabs>
            <w:spacing w:before="183" w:line="219" w:lineRule="auto"/>
            <w:ind w:left="46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四、财政拨款收入支出决算总表</w:t>
          </w:r>
          <w:r>
            <w:rPr>
              <w:rFonts w:ascii="宋体" w:hAnsi="宋体" w:eastAsia="宋体" w:cs="宋体"/>
              <w:spacing w:val="-8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55"/>
            </w:tabs>
            <w:spacing w:before="183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五、财政拨款支出决算明细表</w:t>
          </w:r>
          <w:r>
            <w:rPr>
              <w:rFonts w:ascii="宋体" w:hAnsi="宋体" w:eastAsia="宋体" w:cs="宋体"/>
              <w:spacing w:val="-8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55"/>
            </w:tabs>
            <w:spacing w:before="181" w:line="219" w:lineRule="auto"/>
            <w:ind w:left="44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六、一般公共预算财政拨款支出决算表</w:t>
          </w:r>
          <w:r>
            <w:rPr>
              <w:rFonts w:ascii="宋体" w:hAnsi="宋体" w:eastAsia="宋体" w:cs="宋体"/>
              <w:spacing w:val="-8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55"/>
            </w:tabs>
            <w:spacing w:before="183" w:line="219" w:lineRule="auto"/>
            <w:ind w:left="443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七、一般公共预算财政拨款支出决算明细表</w:t>
          </w:r>
          <w:r>
            <w:rPr>
              <w:rFonts w:ascii="宋体" w:hAnsi="宋体" w:eastAsia="宋体" w:cs="宋体"/>
              <w:spacing w:val="-84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55"/>
            </w:tabs>
            <w:spacing w:before="180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八、一般公共预算财政拨款基本支出决算表</w:t>
          </w:r>
          <w:r>
            <w:rPr>
              <w:rFonts w:ascii="宋体" w:hAnsi="宋体" w:eastAsia="宋体" w:cs="宋体"/>
              <w:spacing w:val="-8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</w:sdtContent>
    </w:sdt>
    <w:p>
      <w:pPr>
        <w:spacing w:line="219" w:lineRule="auto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6" w:type="default"/>
          <w:pgSz w:w="11900" w:h="16840"/>
          <w:pgMar w:top="1412" w:right="1740" w:bottom="388" w:left="1785" w:header="0" w:footer="222" w:gutter="0"/>
          <w:cols w:space="720" w:num="1"/>
        </w:sectPr>
      </w:pPr>
    </w:p>
    <w:sdt>
      <w:sdtPr>
        <w:rPr>
          <w:rFonts w:ascii="宋体" w:hAnsi="宋体" w:eastAsia="宋体" w:cs="宋体"/>
          <w:sz w:val="24"/>
          <w:szCs w:val="24"/>
        </w:rPr>
        <w:id w:val="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tabs>
              <w:tab w:val="right" w:leader="dot" w:pos="8355"/>
            </w:tabs>
            <w:spacing w:before="48" w:line="219" w:lineRule="auto"/>
            <w:ind w:left="45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九、一般公共预算财政拨款项目支出决算表</w:t>
          </w:r>
          <w:r>
            <w:rPr>
              <w:rFonts w:ascii="宋体" w:hAnsi="宋体" w:eastAsia="宋体" w:cs="宋体"/>
              <w:spacing w:val="-9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502"/>
            </w:tabs>
            <w:spacing w:before="183" w:line="219" w:lineRule="auto"/>
            <w:ind w:left="445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十、一般公共预算财政拨款“三公”经费支出决算表</w:t>
          </w:r>
          <w:r>
            <w:rPr>
              <w:rFonts w:ascii="宋体" w:hAnsi="宋体" w:eastAsia="宋体" w:cs="宋体"/>
              <w:spacing w:val="-90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pacing w:val="1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十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7995"/>
            </w:tabs>
            <w:spacing w:before="179" w:line="219" w:lineRule="auto"/>
            <w:ind w:left="448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一、政府性基金预算财政拨款收入支出决算表</w:t>
          </w:r>
          <w:r>
            <w:rPr>
              <w:rFonts w:ascii="宋体" w:hAnsi="宋体" w:eastAsia="宋体" w:cs="宋体"/>
              <w:spacing w:val="-6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35"/>
            </w:tabs>
            <w:spacing w:before="183" w:line="219" w:lineRule="auto"/>
            <w:ind w:left="44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十二、政府性基金预算财政拨款“三公”经费支出决算表</w:t>
          </w:r>
          <w:r>
            <w:rPr>
              <w:rFonts w:ascii="宋体" w:hAnsi="宋体" w:eastAsia="宋体" w:cs="宋体"/>
              <w:spacing w:val="-80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35"/>
            </w:tabs>
            <w:spacing w:before="180" w:line="219" w:lineRule="auto"/>
            <w:ind w:left="44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十三、国有资本经营预算财政拨款收入支出决算表</w:t>
          </w:r>
          <w:r>
            <w:rPr>
              <w:rFonts w:ascii="宋体" w:hAnsi="宋体" w:eastAsia="宋体" w:cs="宋体"/>
              <w:spacing w:val="-8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235"/>
            </w:tabs>
            <w:spacing w:before="184" w:line="219" w:lineRule="auto"/>
            <w:ind w:left="445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十四、国有资本经营预算财政拨款支出决算表</w:t>
          </w:r>
          <w:r>
            <w:rPr>
              <w:rFonts w:ascii="宋体" w:hAnsi="宋体" w:eastAsia="宋体" w:cs="宋体"/>
              <w:spacing w:val="-8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</w:sdtContent>
    </w:sdt>
    <w:p>
      <w:pPr>
        <w:spacing w:line="219" w:lineRule="auto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7" w:type="default"/>
          <w:pgSz w:w="11900" w:h="16840"/>
          <w:pgMar w:top="1425" w:right="1611" w:bottom="388" w:left="1785" w:header="0" w:footer="224" w:gutter="0"/>
          <w:cols w:space="720" w:num="1"/>
        </w:sectPr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spacing w:before="139" w:line="225" w:lineRule="auto"/>
        <w:ind w:left="1791"/>
        <w:outlineLvl w:val="0"/>
        <w:rPr>
          <w:rFonts w:ascii="黑体" w:hAnsi="黑体" w:eastAsia="黑体" w:cs="黑体"/>
          <w:sz w:val="43"/>
          <w:szCs w:val="43"/>
        </w:rPr>
      </w:pPr>
      <w:bookmarkStart w:id="0" w:name="bookmark2"/>
      <w:bookmarkEnd w:id="0"/>
      <w:bookmarkStart w:id="1" w:name="bookmark34"/>
      <w:bookmarkEnd w:id="1"/>
      <w:r>
        <w:rPr>
          <w:rFonts w:ascii="黑体" w:hAnsi="黑体" w:eastAsia="黑体" w:cs="黑体"/>
          <w:spacing w:val="3"/>
          <w:sz w:val="43"/>
          <w:szCs w:val="43"/>
        </w:rPr>
        <w:t>第一部分</w:t>
      </w:r>
      <w:r>
        <w:rPr>
          <w:rFonts w:ascii="黑体" w:hAnsi="黑体" w:eastAsia="黑体" w:cs="黑体"/>
          <w:spacing w:val="4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3"/>
          <w:sz w:val="43"/>
          <w:szCs w:val="43"/>
        </w:rPr>
        <w:t>单位概况</w:t>
      </w:r>
    </w:p>
    <w:p>
      <w:pPr>
        <w:pStyle w:val="2"/>
        <w:spacing w:line="272" w:lineRule="auto"/>
      </w:pPr>
    </w:p>
    <w:p>
      <w:pPr>
        <w:pStyle w:val="2"/>
        <w:spacing w:line="273" w:lineRule="auto"/>
      </w:pPr>
    </w:p>
    <w:p>
      <w:pPr>
        <w:spacing w:before="101" w:line="227" w:lineRule="auto"/>
        <w:ind w:left="754"/>
        <w:outlineLvl w:val="1"/>
        <w:rPr>
          <w:rFonts w:ascii="黑体" w:hAnsi="黑体" w:eastAsia="黑体" w:cs="黑体"/>
          <w:sz w:val="31"/>
          <w:szCs w:val="31"/>
        </w:rPr>
      </w:pPr>
      <w:bookmarkStart w:id="2" w:name="bookmark3"/>
      <w:bookmarkEnd w:id="2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一、职能简介</w:t>
      </w:r>
    </w:p>
    <w:p>
      <w:pPr>
        <w:spacing w:before="236" w:line="323" w:lineRule="auto"/>
        <w:ind w:left="36" w:right="93" w:firstLine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1、配合业务科室管理区级国库单一账户体系，按照规定</w:t>
      </w:r>
      <w:r>
        <w:rPr>
          <w:rFonts w:ascii="仿宋" w:hAnsi="仿宋" w:eastAsia="仿宋" w:cs="仿宋"/>
          <w:spacing w:val="3"/>
          <w:sz w:val="31"/>
          <w:szCs w:val="31"/>
        </w:rPr>
        <w:t>程序为预算单位开设零余额账户，负责相关会计核算，编报会</w:t>
      </w:r>
      <w:r>
        <w:rPr>
          <w:rFonts w:ascii="仿宋" w:hAnsi="仿宋" w:eastAsia="仿宋" w:cs="仿宋"/>
          <w:spacing w:val="2"/>
          <w:sz w:val="31"/>
          <w:szCs w:val="31"/>
        </w:rPr>
        <w:t>计报表。</w:t>
      </w:r>
    </w:p>
    <w:p>
      <w:pPr>
        <w:spacing w:before="242" w:line="299" w:lineRule="auto"/>
        <w:ind w:left="36" w:right="9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2、根据批复的预算单位资金款计划，具体办理财政支付</w:t>
      </w:r>
      <w:r>
        <w:rPr>
          <w:rFonts w:ascii="仿宋" w:hAnsi="仿宋" w:eastAsia="仿宋" w:cs="仿宋"/>
          <w:spacing w:val="-1"/>
          <w:sz w:val="31"/>
          <w:szCs w:val="31"/>
        </w:rPr>
        <w:t>业务。</w:t>
      </w:r>
    </w:p>
    <w:p>
      <w:pPr>
        <w:spacing w:before="242" w:line="298" w:lineRule="auto"/>
        <w:ind w:left="36" w:right="9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3、建立财政资金汇总和财政资金清算管理系统，处理预</w:t>
      </w:r>
      <w:r>
        <w:rPr>
          <w:rFonts w:ascii="仿宋" w:hAnsi="仿宋" w:eastAsia="仿宋" w:cs="仿宋"/>
          <w:spacing w:val="8"/>
          <w:sz w:val="31"/>
          <w:szCs w:val="31"/>
        </w:rPr>
        <w:t>算单位的支出信息及其他经济信息。</w:t>
      </w:r>
    </w:p>
    <w:p>
      <w:pPr>
        <w:spacing w:before="242" w:line="299" w:lineRule="auto"/>
        <w:ind w:left="37" w:right="90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4、定期与业务科室、代理银行、预算单位核对</w:t>
      </w:r>
      <w:r>
        <w:rPr>
          <w:rFonts w:ascii="仿宋" w:hAnsi="仿宋" w:eastAsia="仿宋" w:cs="仿宋"/>
          <w:spacing w:val="9"/>
          <w:sz w:val="31"/>
          <w:szCs w:val="31"/>
        </w:rPr>
        <w:t>账务，提</w:t>
      </w:r>
      <w:r>
        <w:rPr>
          <w:rFonts w:ascii="仿宋" w:hAnsi="仿宋" w:eastAsia="仿宋" w:cs="仿宋"/>
          <w:spacing w:val="8"/>
          <w:sz w:val="31"/>
          <w:szCs w:val="31"/>
        </w:rPr>
        <w:t>供财政资金支付和清算信息，报告财政资金支付情况。</w:t>
      </w:r>
    </w:p>
    <w:p>
      <w:pPr>
        <w:spacing w:before="241" w:line="227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5、审核、汇总区本级部门决算。</w:t>
      </w:r>
    </w:p>
    <w:p>
      <w:pPr>
        <w:spacing w:before="239" w:line="299" w:lineRule="auto"/>
        <w:ind w:left="39" w:right="90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6、管理区级财政直发工资账户、办理区级预算单位工资</w:t>
      </w:r>
      <w:r>
        <w:rPr>
          <w:rFonts w:ascii="仿宋" w:hAnsi="仿宋" w:eastAsia="仿宋" w:cs="仿宋"/>
          <w:spacing w:val="6"/>
          <w:sz w:val="31"/>
          <w:szCs w:val="31"/>
        </w:rPr>
        <w:t>及离退休费的直接支付。</w:t>
      </w:r>
    </w:p>
    <w:p>
      <w:pPr>
        <w:spacing w:before="244" w:line="226" w:lineRule="auto"/>
        <w:ind w:left="768"/>
        <w:outlineLvl w:val="1"/>
        <w:rPr>
          <w:rFonts w:ascii="仿宋" w:hAnsi="仿宋" w:eastAsia="仿宋" w:cs="仿宋"/>
          <w:sz w:val="31"/>
          <w:szCs w:val="31"/>
        </w:rPr>
      </w:pPr>
      <w:bookmarkStart w:id="3" w:name="bookmark4"/>
      <w:bookmarkEnd w:id="3"/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二、2021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年重点工作完成情况</w:t>
      </w:r>
    </w:p>
    <w:p>
      <w:pPr>
        <w:spacing w:before="240" w:line="335" w:lineRule="auto"/>
        <w:ind w:left="3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1、根据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年区级经济目标责任制及局级重点工作责任</w:t>
      </w:r>
      <w:r>
        <w:rPr>
          <w:rFonts w:ascii="仿宋" w:hAnsi="仿宋" w:eastAsia="仿宋" w:cs="仿宋"/>
          <w:spacing w:val="7"/>
          <w:sz w:val="31"/>
          <w:szCs w:val="31"/>
        </w:rPr>
        <w:t>制，全力以赴与友邻股室配合，通过及时、准确的编制日报、旬报、月报这一重要的会计基础工作密切关注收入入库情况，</w:t>
      </w:r>
      <w:r>
        <w:rPr>
          <w:rFonts w:ascii="仿宋" w:hAnsi="仿宋" w:eastAsia="仿宋" w:cs="仿宋"/>
          <w:spacing w:val="8"/>
          <w:sz w:val="31"/>
          <w:szCs w:val="31"/>
        </w:rPr>
        <w:t>实现财政收入“以旬促月、以月抓季、以季保年”。</w:t>
      </w:r>
    </w:p>
    <w:p>
      <w:pPr>
        <w:spacing w:before="241" w:line="226" w:lineRule="auto"/>
        <w:ind w:left="8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2、根据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年局级重点工作责任制，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国库支付中心多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431" w:right="1518" w:bottom="388" w:left="1785" w:header="0" w:footer="223" w:gutter="0"/>
          <w:cols w:space="720" w:num="1"/>
        </w:sectPr>
      </w:pPr>
    </w:p>
    <w:p>
      <w:pPr>
        <w:spacing w:before="63" w:line="371" w:lineRule="auto"/>
        <w:ind w:left="36" w:right="90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方筹措、调度资金，为全年我区各项重大、重点工作、经济工作、民生工程提供资金保障，保证了委托贷款还本付息的及时</w:t>
      </w:r>
      <w:r>
        <w:rPr>
          <w:rFonts w:ascii="仿宋" w:hAnsi="仿宋" w:eastAsia="仿宋" w:cs="仿宋"/>
          <w:spacing w:val="-1"/>
          <w:sz w:val="31"/>
          <w:szCs w:val="31"/>
        </w:rPr>
        <w:t>支付。</w:t>
      </w:r>
    </w:p>
    <w:p>
      <w:pPr>
        <w:spacing w:before="11" w:line="349" w:lineRule="auto"/>
        <w:ind w:left="35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3、准确、及时做好日常退税工作和全区各类财政专户的</w:t>
      </w:r>
      <w:r>
        <w:rPr>
          <w:rFonts w:ascii="仿宋" w:hAnsi="仿宋" w:eastAsia="仿宋" w:cs="仿宋"/>
          <w:spacing w:val="8"/>
          <w:sz w:val="31"/>
          <w:szCs w:val="31"/>
        </w:rPr>
        <w:t>资金拨付工作。2021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年共计办理退税金额如下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国地税全辖</w:t>
      </w:r>
      <w:r>
        <w:rPr>
          <w:rFonts w:ascii="仿宋" w:hAnsi="仿宋" w:eastAsia="仿宋" w:cs="仿宋"/>
          <w:spacing w:val="2"/>
          <w:sz w:val="31"/>
          <w:szCs w:val="31"/>
        </w:rPr>
        <w:t>1944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万元、区级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万元，共办理退税单位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户，其中，增</w:t>
      </w:r>
      <w:r>
        <w:rPr>
          <w:rFonts w:ascii="仿宋" w:hAnsi="仿宋" w:eastAsia="仿宋" w:cs="仿宋"/>
          <w:spacing w:val="-1"/>
          <w:sz w:val="31"/>
          <w:szCs w:val="31"/>
        </w:rPr>
        <w:t>值税</w:t>
      </w:r>
      <w:bookmarkStart w:id="37" w:name="_GoBack"/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留抵退税</w:t>
      </w:r>
      <w:bookmarkEnd w:id="37"/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1700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万元，充分释放减税红利，减轻企业负</w:t>
      </w:r>
      <w:r>
        <w:rPr>
          <w:rFonts w:ascii="仿宋" w:hAnsi="仿宋" w:eastAsia="仿宋" w:cs="仿宋"/>
          <w:spacing w:val="-2"/>
          <w:sz w:val="31"/>
          <w:szCs w:val="31"/>
        </w:rPr>
        <w:t>担，</w:t>
      </w:r>
      <w:r>
        <w:rPr>
          <w:rFonts w:ascii="仿宋" w:hAnsi="仿宋" w:eastAsia="仿宋" w:cs="仿宋"/>
          <w:spacing w:val="3"/>
          <w:sz w:val="31"/>
          <w:szCs w:val="31"/>
        </w:rPr>
        <w:t>保障了企业稳定运行，促进了企业发展。准确办理各专户需拨</w:t>
      </w:r>
      <w:r>
        <w:rPr>
          <w:rFonts w:ascii="仿宋" w:hAnsi="仿宋" w:eastAsia="仿宋" w:cs="仿宋"/>
          <w:spacing w:val="7"/>
          <w:sz w:val="31"/>
          <w:szCs w:val="31"/>
        </w:rPr>
        <w:t>付的资金，全专户资金拨付量达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20,895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万元，保证各专项工</w:t>
      </w:r>
      <w:r>
        <w:rPr>
          <w:rFonts w:ascii="仿宋" w:hAnsi="仿宋" w:eastAsia="仿宋" w:cs="仿宋"/>
          <w:spacing w:val="5"/>
          <w:sz w:val="31"/>
          <w:szCs w:val="31"/>
        </w:rPr>
        <w:t>作的正常进行。</w:t>
      </w:r>
    </w:p>
    <w:p>
      <w:pPr>
        <w:spacing w:before="248" w:line="341" w:lineRule="auto"/>
        <w:ind w:left="36" w:right="87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4、为进一步加强东区非税收入管理，提高资金</w:t>
      </w:r>
      <w:r>
        <w:rPr>
          <w:rFonts w:ascii="仿宋" w:hAnsi="仿宋" w:eastAsia="仿宋" w:cs="仿宋"/>
          <w:spacing w:val="9"/>
          <w:sz w:val="31"/>
          <w:szCs w:val="31"/>
        </w:rPr>
        <w:t>安全和使</w:t>
      </w:r>
      <w:r>
        <w:rPr>
          <w:rFonts w:ascii="仿宋" w:hAnsi="仿宋" w:eastAsia="仿宋" w:cs="仿宋"/>
          <w:spacing w:val="3"/>
          <w:sz w:val="31"/>
          <w:szCs w:val="31"/>
        </w:rPr>
        <w:t>用效率，对区级各预算单位非税收入，包括不仅限于国有资源（资产）有偿使用收入、利息收入、罚没收入、行政事业性收</w:t>
      </w:r>
      <w:r>
        <w:rPr>
          <w:rFonts w:ascii="仿宋" w:hAnsi="仿宋" w:eastAsia="仿宋" w:cs="仿宋"/>
          <w:spacing w:val="7"/>
          <w:sz w:val="31"/>
          <w:szCs w:val="31"/>
        </w:rPr>
        <w:t>费收入等进行清理缴库，共收到非税收入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22,332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万元，保障</w:t>
      </w:r>
      <w:r>
        <w:rPr>
          <w:rFonts w:ascii="仿宋" w:hAnsi="仿宋" w:eastAsia="仿宋" w:cs="仿宋"/>
          <w:spacing w:val="5"/>
          <w:sz w:val="31"/>
          <w:szCs w:val="31"/>
        </w:rPr>
        <w:t>了金库平稳运行。</w:t>
      </w:r>
    </w:p>
    <w:p>
      <w:pPr>
        <w:spacing w:before="246" w:line="322" w:lineRule="auto"/>
        <w:ind w:left="36" w:right="87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5、努力做好财政迎审工作。按区审计局的统一安排，配</w:t>
      </w:r>
      <w:r>
        <w:rPr>
          <w:rFonts w:ascii="仿宋" w:hAnsi="仿宋" w:eastAsia="仿宋" w:cs="仿宋"/>
          <w:spacing w:val="7"/>
          <w:sz w:val="31"/>
          <w:szCs w:val="31"/>
        </w:rPr>
        <w:t>合区审计局完成了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年度财政预算执行情况和其他财政收</w:t>
      </w:r>
      <w:r>
        <w:rPr>
          <w:rFonts w:ascii="仿宋" w:hAnsi="仿宋" w:eastAsia="仿宋" w:cs="仿宋"/>
          <w:spacing w:val="5"/>
          <w:sz w:val="31"/>
          <w:szCs w:val="31"/>
        </w:rPr>
        <w:t>支的审计工作。</w:t>
      </w:r>
    </w:p>
    <w:p>
      <w:pPr>
        <w:spacing w:before="244" w:line="298" w:lineRule="auto"/>
        <w:ind w:left="37" w:right="9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6、完成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年度财政总决算、部门决算以及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年政</w:t>
      </w:r>
      <w:r>
        <w:rPr>
          <w:rFonts w:ascii="仿宋" w:hAnsi="仿宋" w:eastAsia="仿宋" w:cs="仿宋"/>
          <w:spacing w:val="8"/>
          <w:sz w:val="31"/>
          <w:szCs w:val="31"/>
        </w:rPr>
        <w:t>府综合财务报告的编制、审核、上报、公开等工作。</w:t>
      </w:r>
    </w:p>
    <w:p>
      <w:pPr>
        <w:spacing w:before="246" w:line="322" w:lineRule="auto"/>
        <w:ind w:left="35" w:right="90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7、作好报帐业务培训，为提高单位报帐员的业务水平，</w:t>
      </w:r>
      <w:r>
        <w:rPr>
          <w:rFonts w:ascii="仿宋" w:hAnsi="仿宋" w:eastAsia="仿宋" w:cs="仿宋"/>
          <w:spacing w:val="2"/>
          <w:sz w:val="31"/>
          <w:szCs w:val="31"/>
        </w:rPr>
        <w:t>从而提高报帐资料的完整性，提高办事效率，组织了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次分批</w:t>
      </w:r>
      <w:r>
        <w:rPr>
          <w:rFonts w:ascii="仿宋" w:hAnsi="仿宋" w:eastAsia="仿宋" w:cs="仿宋"/>
          <w:spacing w:val="9"/>
          <w:sz w:val="31"/>
          <w:szCs w:val="31"/>
        </w:rPr>
        <w:t>次小班制的全区行政事业单位财务人员业务</w:t>
      </w:r>
      <w:r>
        <w:rPr>
          <w:rFonts w:ascii="仿宋" w:hAnsi="仿宋" w:eastAsia="仿宋" w:cs="仿宋"/>
          <w:spacing w:val="8"/>
          <w:sz w:val="31"/>
          <w:szCs w:val="31"/>
        </w:rPr>
        <w:t>能力提升培训。</w:t>
      </w:r>
    </w:p>
    <w:p>
      <w:pPr>
        <w:spacing w:line="322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422" w:right="1521" w:bottom="388" w:left="1785" w:header="0" w:footer="224" w:gutter="0"/>
          <w:cols w:space="720" w:num="1"/>
        </w:sectPr>
      </w:pPr>
    </w:p>
    <w:p>
      <w:pPr>
        <w:spacing w:before="64" w:line="228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二、机构设置</w:t>
      </w:r>
    </w:p>
    <w:p>
      <w:pPr>
        <w:pStyle w:val="2"/>
        <w:spacing w:line="477" w:lineRule="auto"/>
      </w:pPr>
    </w:p>
    <w:p>
      <w:pPr>
        <w:spacing w:before="101" w:line="371" w:lineRule="auto"/>
        <w:ind w:left="36" w:right="916" w:firstLine="12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本单位是隶属于攀枝花市东区财政局的二级预</w:t>
      </w:r>
      <w:r>
        <w:rPr>
          <w:rFonts w:ascii="仿宋" w:hAnsi="仿宋" w:eastAsia="仿宋" w:cs="仿宋"/>
          <w:spacing w:val="6"/>
          <w:sz w:val="31"/>
          <w:szCs w:val="31"/>
        </w:rPr>
        <w:t>算单位，无下属单位。</w:t>
      </w:r>
    </w:p>
    <w:p>
      <w:pPr>
        <w:spacing w:before="352" w:line="225" w:lineRule="auto"/>
        <w:ind w:left="929"/>
        <w:outlineLvl w:val="0"/>
        <w:rPr>
          <w:rFonts w:ascii="黑体" w:hAnsi="黑体" w:eastAsia="黑体" w:cs="黑体"/>
          <w:sz w:val="43"/>
          <w:szCs w:val="43"/>
        </w:rPr>
      </w:pPr>
      <w:bookmarkStart w:id="4" w:name="bookmark6"/>
      <w:bookmarkEnd w:id="4"/>
      <w:bookmarkStart w:id="5" w:name="bookmark35"/>
      <w:bookmarkEnd w:id="5"/>
      <w:r>
        <w:rPr>
          <w:rFonts w:ascii="黑体" w:hAnsi="黑体" w:eastAsia="黑体" w:cs="黑体"/>
          <w:spacing w:val="6"/>
          <w:sz w:val="43"/>
          <w:szCs w:val="43"/>
        </w:rPr>
        <w:t>第二部分 2021</w:t>
      </w:r>
      <w:r>
        <w:rPr>
          <w:rFonts w:ascii="黑体" w:hAnsi="黑体" w:eastAsia="黑体" w:cs="黑体"/>
          <w:spacing w:val="-7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</w:rPr>
        <w:t>年度单位决算情况说明</w:t>
      </w:r>
    </w:p>
    <w:p>
      <w:pPr>
        <w:pStyle w:val="2"/>
        <w:spacing w:line="300" w:lineRule="auto"/>
      </w:pPr>
    </w:p>
    <w:p>
      <w:pPr>
        <w:pStyle w:val="2"/>
        <w:spacing w:line="300" w:lineRule="auto"/>
      </w:pPr>
    </w:p>
    <w:p>
      <w:pPr>
        <w:pStyle w:val="2"/>
        <w:spacing w:line="301" w:lineRule="auto"/>
      </w:pPr>
    </w:p>
    <w:p>
      <w:pPr>
        <w:spacing w:before="101" w:line="226" w:lineRule="auto"/>
        <w:ind w:left="670"/>
        <w:outlineLvl w:val="1"/>
        <w:rPr>
          <w:rFonts w:ascii="黑体" w:hAnsi="黑体" w:eastAsia="黑体" w:cs="黑体"/>
          <w:sz w:val="31"/>
          <w:szCs w:val="31"/>
        </w:rPr>
      </w:pPr>
      <w:bookmarkStart w:id="6" w:name="bookmark7"/>
      <w:bookmarkEnd w:id="6"/>
      <w:r>
        <w:rPr>
          <w:rFonts w:ascii="黑体" w:hAnsi="黑体" w:eastAsia="黑体" w:cs="黑体"/>
          <w:spacing w:val="6"/>
          <w:sz w:val="31"/>
          <w:szCs w:val="31"/>
        </w:rPr>
        <w:t>一、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收入支出决算总体情况说明</w:t>
      </w:r>
    </w:p>
    <w:p>
      <w:pPr>
        <w:spacing w:before="243" w:line="371" w:lineRule="auto"/>
        <w:ind w:left="36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年度收、支总计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264.33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年相比，收、</w:t>
      </w:r>
      <w:r>
        <w:rPr>
          <w:rFonts w:ascii="仿宋" w:hAnsi="仿宋" w:eastAsia="仿宋" w:cs="仿宋"/>
          <w:spacing w:val="4"/>
          <w:sz w:val="31"/>
          <w:szCs w:val="31"/>
        </w:rPr>
        <w:t>支总计减少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6.6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2.44%。主要变</w:t>
      </w:r>
      <w:r>
        <w:rPr>
          <w:rFonts w:ascii="仿宋" w:hAnsi="仿宋" w:eastAsia="仿宋" w:cs="仿宋"/>
          <w:spacing w:val="3"/>
          <w:sz w:val="31"/>
          <w:szCs w:val="31"/>
        </w:rPr>
        <w:t>动原因是本年厉行</w:t>
      </w:r>
      <w:r>
        <w:rPr>
          <w:rFonts w:ascii="仿宋" w:hAnsi="仿宋" w:eastAsia="仿宋" w:cs="仿宋"/>
          <w:spacing w:val="7"/>
          <w:sz w:val="31"/>
          <w:szCs w:val="31"/>
        </w:rPr>
        <w:t>节约，故总体收支减少。</w:t>
      </w:r>
    </w:p>
    <w:p>
      <w:pPr>
        <w:spacing w:line="226" w:lineRule="auto"/>
        <w:ind w:left="670"/>
        <w:outlineLvl w:val="1"/>
        <w:rPr>
          <w:rFonts w:ascii="黑体" w:hAnsi="黑体" w:eastAsia="黑体" w:cs="黑体"/>
          <w:sz w:val="31"/>
          <w:szCs w:val="31"/>
        </w:rPr>
      </w:pPr>
      <w:bookmarkStart w:id="7" w:name="bookmark8"/>
      <w:bookmarkEnd w:id="7"/>
      <w:r>
        <w:rPr>
          <w:rFonts w:ascii="黑体" w:hAnsi="黑体" w:eastAsia="黑体" w:cs="黑体"/>
          <w:spacing w:val="6"/>
          <w:sz w:val="31"/>
          <w:szCs w:val="31"/>
        </w:rPr>
        <w:t>二、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收入决算情况说明</w:t>
      </w:r>
    </w:p>
    <w:p>
      <w:pPr>
        <w:spacing w:before="240" w:line="371" w:lineRule="auto"/>
        <w:ind w:left="35" w:right="105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年本年收入合计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263.51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万元，其中：一般公共预算财政拨款收入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263.50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100%；政府性基金预算财政拨</w:t>
      </w:r>
      <w:r>
        <w:rPr>
          <w:rFonts w:ascii="仿宋" w:hAnsi="仿宋" w:eastAsia="仿宋" w:cs="仿宋"/>
          <w:spacing w:val="1"/>
          <w:sz w:val="31"/>
          <w:szCs w:val="31"/>
        </w:rPr>
        <w:t>款收入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0%；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国有资本经营预算财政拨款收入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pacing w:val="-2"/>
          <w:sz w:val="31"/>
          <w:szCs w:val="31"/>
        </w:rPr>
        <w:t>元，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0%；上级补助收入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0%；事业收入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0%；经营收入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0%；附属单位上缴收入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0%；其他收入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0%。</w:t>
      </w:r>
    </w:p>
    <w:p>
      <w:pPr>
        <w:spacing w:before="1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bookmarkStart w:id="8" w:name="bookmark9"/>
      <w:bookmarkEnd w:id="8"/>
      <w:r>
        <w:rPr>
          <w:rFonts w:ascii="黑体" w:hAnsi="黑体" w:eastAsia="黑体" w:cs="黑体"/>
          <w:spacing w:val="4"/>
          <w:sz w:val="31"/>
          <w:szCs w:val="31"/>
        </w:rPr>
        <w:t>三、</w:t>
      </w:r>
      <w:r>
        <w:rPr>
          <w:rFonts w:ascii="黑体" w:hAnsi="黑体" w:eastAsia="黑体" w:cs="黑体"/>
          <w:spacing w:val="-3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支出决算情况说明</w:t>
      </w:r>
    </w:p>
    <w:p>
      <w:pPr>
        <w:spacing w:before="243" w:line="371" w:lineRule="auto"/>
        <w:ind w:left="35" w:right="103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2021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年本年支出合计263.50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万元，其中：基本支出260.21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98.75%；项目支出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1.25%；上缴上级</w:t>
      </w:r>
      <w:r>
        <w:rPr>
          <w:rFonts w:ascii="仿宋" w:hAnsi="仿宋" w:eastAsia="仿宋" w:cs="仿宋"/>
          <w:spacing w:val="-2"/>
          <w:sz w:val="31"/>
          <w:szCs w:val="31"/>
        </w:rPr>
        <w:t>支出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0%；经营支出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0%；对附属单位补</w:t>
      </w:r>
      <w:r>
        <w:rPr>
          <w:rFonts w:ascii="仿宋" w:hAnsi="仿宋" w:eastAsia="仿宋" w:cs="仿宋"/>
          <w:spacing w:val="-7"/>
          <w:sz w:val="31"/>
          <w:szCs w:val="31"/>
        </w:rPr>
        <w:t>助支出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0%。</w:t>
      </w:r>
    </w:p>
    <w:p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422" w:right="1506" w:bottom="388" w:left="1785" w:header="0" w:footer="224" w:gutter="0"/>
          <w:cols w:space="720" w:num="1"/>
        </w:sectPr>
      </w:pPr>
    </w:p>
    <w:p>
      <w:pPr>
        <w:spacing w:before="65" w:line="226" w:lineRule="auto"/>
        <w:ind w:left="684"/>
        <w:rPr>
          <w:rFonts w:ascii="黑体" w:hAnsi="黑体" w:eastAsia="黑体" w:cs="黑体"/>
          <w:sz w:val="31"/>
          <w:szCs w:val="31"/>
        </w:rPr>
      </w:pPr>
      <w:bookmarkStart w:id="9" w:name="bookmark36"/>
      <w:bookmarkEnd w:id="9"/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>
      <w:pPr>
        <w:spacing w:before="240" w:line="371" w:lineRule="auto"/>
        <w:ind w:left="46" w:right="2" w:firstLine="62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2021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年财政拨款收、支总计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264.33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万元。与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年相</w:t>
      </w:r>
      <w:r>
        <w:rPr>
          <w:rFonts w:ascii="仿宋" w:hAnsi="仿宋" w:eastAsia="仿宋" w:cs="仿宋"/>
          <w:spacing w:val="8"/>
          <w:sz w:val="31"/>
          <w:szCs w:val="31"/>
        </w:rPr>
        <w:t>比，财政拨款收、支总计减少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6.59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2.43%。主要</w:t>
      </w:r>
      <w:r>
        <w:rPr>
          <w:rFonts w:ascii="仿宋" w:hAnsi="仿宋" w:eastAsia="仿宋" w:cs="仿宋"/>
          <w:spacing w:val="7"/>
          <w:sz w:val="31"/>
          <w:szCs w:val="31"/>
        </w:rPr>
        <w:t>变动原因是本年厉行节约，故总体收支减少。</w:t>
      </w:r>
    </w:p>
    <w:p>
      <w:pPr>
        <w:spacing w:before="2" w:line="226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bookmarkStart w:id="10" w:name="bookmark11"/>
      <w:bookmarkEnd w:id="10"/>
      <w:r>
        <w:rPr>
          <w:rFonts w:ascii="黑体" w:hAnsi="黑体" w:eastAsia="黑体" w:cs="黑体"/>
          <w:spacing w:val="8"/>
          <w:sz w:val="31"/>
          <w:szCs w:val="31"/>
        </w:rPr>
        <w:t>五、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般公共预算财政拨款支出决算情况说明</w:t>
      </w:r>
    </w:p>
    <w:p>
      <w:pPr>
        <w:spacing w:before="244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（一）一般公共预算财政拨款支出决算总体情况</w:t>
      </w:r>
    </w:p>
    <w:p>
      <w:pPr>
        <w:spacing w:before="237" w:line="371" w:lineRule="auto"/>
        <w:ind w:left="36" w:right="2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年一般公共预算财政拨款支出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263.50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万元，占本年支出合计的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100%。与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年相比，一般公共预算</w:t>
      </w:r>
      <w:r>
        <w:rPr>
          <w:rFonts w:ascii="仿宋" w:hAnsi="仿宋" w:eastAsia="仿宋" w:cs="仿宋"/>
          <w:spacing w:val="2"/>
          <w:sz w:val="31"/>
          <w:szCs w:val="31"/>
        </w:rPr>
        <w:t>财政拨款支</w:t>
      </w:r>
      <w:r>
        <w:rPr>
          <w:rFonts w:ascii="仿宋" w:hAnsi="仿宋" w:eastAsia="仿宋" w:cs="仿宋"/>
          <w:spacing w:val="8"/>
          <w:sz w:val="31"/>
          <w:szCs w:val="31"/>
        </w:rPr>
        <w:t>出减少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1.14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0.43%。主要变动原因是</w:t>
      </w:r>
      <w:r>
        <w:rPr>
          <w:rFonts w:ascii="仿宋" w:hAnsi="仿宋" w:eastAsia="仿宋" w:cs="仿宋"/>
          <w:spacing w:val="7"/>
          <w:sz w:val="31"/>
          <w:szCs w:val="31"/>
        </w:rPr>
        <w:t>本年厉行节</w:t>
      </w:r>
      <w:r>
        <w:rPr>
          <w:rFonts w:ascii="仿宋" w:hAnsi="仿宋" w:eastAsia="仿宋" w:cs="仿宋"/>
          <w:spacing w:val="6"/>
          <w:sz w:val="31"/>
          <w:szCs w:val="31"/>
        </w:rPr>
        <w:t>约，故总体收支减少。</w:t>
      </w:r>
    </w:p>
    <w:p>
      <w:pPr>
        <w:spacing w:before="2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（二）一般公共预算财政拨款支出决算结构情况</w:t>
      </w:r>
    </w:p>
    <w:p>
      <w:pPr>
        <w:spacing w:before="234" w:line="371" w:lineRule="auto"/>
        <w:ind w:left="38" w:right="1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年一般公共预算财政拨款支出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263.50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万元，主要用于以下方面: 一般公共服务支出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205.08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77.83%；社</w:t>
      </w:r>
      <w:r>
        <w:rPr>
          <w:rFonts w:ascii="仿宋" w:hAnsi="仿宋" w:eastAsia="仿宋" w:cs="仿宋"/>
          <w:spacing w:val="-5"/>
          <w:sz w:val="31"/>
          <w:szCs w:val="31"/>
        </w:rPr>
        <w:t>会保障和就业支出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22.84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8.67%；卫生健康支出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13.61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5.17%；住房保障支出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21.96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8.33%。</w:t>
      </w:r>
    </w:p>
    <w:p>
      <w:pPr>
        <w:spacing w:before="5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（三）一般公共预算财政拨款支出决算具体情况</w:t>
      </w:r>
    </w:p>
    <w:p>
      <w:pPr>
        <w:spacing w:before="242" w:line="370" w:lineRule="auto"/>
        <w:ind w:left="3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年一般公共预算支出决算数为263.50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完成调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整预算数的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100%。其中：</w:t>
      </w:r>
    </w:p>
    <w:p>
      <w:pPr>
        <w:spacing w:before="1" w:line="298" w:lineRule="auto"/>
        <w:ind w:left="36" w:right="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1.一般公共服务（类）财政事务（款）行政运行（项）:</w:t>
      </w:r>
      <w:r>
        <w:rPr>
          <w:rFonts w:ascii="仿宋" w:hAnsi="仿宋" w:eastAsia="仿宋" w:cs="仿宋"/>
          <w:spacing w:val="3"/>
          <w:sz w:val="31"/>
          <w:szCs w:val="31"/>
        </w:rPr>
        <w:t>支出决算为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201.79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万元，完成调整预算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100%。</w:t>
      </w:r>
    </w:p>
    <w:p>
      <w:pPr>
        <w:spacing w:before="244" w:line="299" w:lineRule="auto"/>
        <w:ind w:left="47" w:right="4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2.一般公共服务（类）财政事务（款）一般行政管理事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务（项）: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支出决算为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万元，完成</w:t>
      </w:r>
      <w:r>
        <w:rPr>
          <w:rFonts w:ascii="仿宋" w:hAnsi="仿宋" w:eastAsia="仿宋" w:cs="仿宋"/>
          <w:spacing w:val="3"/>
          <w:sz w:val="31"/>
          <w:szCs w:val="31"/>
        </w:rPr>
        <w:t>调整预算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100%。</w:t>
      </w:r>
    </w:p>
    <w:p>
      <w:pPr>
        <w:spacing w:before="241" w:line="226" w:lineRule="auto"/>
        <w:ind w:right="2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3.社会保障和就业（类）行政事业单位养老支出（款）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422" w:right="1608" w:bottom="388" w:left="1785" w:header="0" w:footer="223" w:gutter="0"/>
          <w:cols w:space="720" w:num="1"/>
        </w:sectPr>
      </w:pPr>
    </w:p>
    <w:p>
      <w:pPr>
        <w:spacing w:before="66" w:line="369" w:lineRule="auto"/>
        <w:ind w:left="36" w:right="105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行政单位离退休（项）: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支出决算为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万元，完成调整预</w:t>
      </w:r>
      <w:r>
        <w:rPr>
          <w:rFonts w:ascii="仿宋" w:hAnsi="仿宋" w:eastAsia="仿宋" w:cs="仿宋"/>
          <w:spacing w:val="-5"/>
          <w:sz w:val="31"/>
          <w:szCs w:val="31"/>
        </w:rPr>
        <w:t>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100%。</w:t>
      </w:r>
    </w:p>
    <w:p>
      <w:pPr>
        <w:spacing w:before="10" w:line="322" w:lineRule="auto"/>
        <w:ind w:left="38" w:right="105" w:firstLine="627"/>
        <w:rPr>
          <w:rFonts w:ascii="仿宋" w:hAnsi="仿宋" w:eastAsia="仿宋" w:cs="仿宋"/>
          <w:sz w:val="31"/>
          <w:szCs w:val="31"/>
        </w:rPr>
      </w:pPr>
      <w:bookmarkStart w:id="11" w:name="bookmark37"/>
      <w:bookmarkEnd w:id="11"/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4.社会保障和就业（类）行政事业单位养老支出（款）</w:t>
      </w:r>
      <w:r>
        <w:rPr>
          <w:rFonts w:ascii="仿宋" w:hAnsi="仿宋" w:eastAsia="仿宋" w:cs="仿宋"/>
          <w:b/>
          <w:bCs/>
          <w:spacing w:val="21"/>
          <w:sz w:val="31"/>
          <w:szCs w:val="31"/>
        </w:rPr>
        <w:t>机关事业单位基本养老保险缴费支出（项）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1"/>
          <w:sz w:val="31"/>
          <w:szCs w:val="31"/>
        </w:rPr>
        <w:t>: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支出决算为</w:t>
      </w:r>
      <w:r>
        <w:rPr>
          <w:rFonts w:ascii="仿宋" w:hAnsi="仿宋" w:eastAsia="仿宋" w:cs="仿宋"/>
          <w:spacing w:val="2"/>
          <w:sz w:val="31"/>
          <w:szCs w:val="31"/>
        </w:rPr>
        <w:t>18.59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万元，完成调整预算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100%。</w:t>
      </w:r>
    </w:p>
    <w:p>
      <w:pPr>
        <w:spacing w:before="245" w:line="322" w:lineRule="auto"/>
        <w:ind w:left="41" w:right="15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5.社会保障和就业（类）行政事业单位养老支出（款）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其他行政事业单位养老支出（项）: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支出决算为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18.59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1"/>
          <w:sz w:val="31"/>
          <w:szCs w:val="31"/>
        </w:rPr>
        <w:t>完成调整预算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100%。</w:t>
      </w:r>
    </w:p>
    <w:p>
      <w:pPr>
        <w:spacing w:before="241" w:line="299" w:lineRule="auto"/>
        <w:ind w:left="43" w:right="10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6.卫生健康（类）行政事业单位医疗（款）行政单位医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疗（项）:</w:t>
      </w:r>
      <w:r>
        <w:rPr>
          <w:rFonts w:ascii="仿宋" w:hAnsi="仿宋" w:eastAsia="仿宋" w:cs="仿宋"/>
          <w:spacing w:val="3"/>
          <w:sz w:val="31"/>
          <w:szCs w:val="31"/>
        </w:rPr>
        <w:t>支出决算为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万元，完成调整预算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100%。</w:t>
      </w:r>
    </w:p>
    <w:p>
      <w:pPr>
        <w:spacing w:before="241" w:line="299" w:lineRule="auto"/>
        <w:ind w:left="43" w:right="105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7.卫生健康（类）行政事业单位医疗（款）公务员医疗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补助（项）:</w:t>
      </w:r>
      <w:r>
        <w:rPr>
          <w:rFonts w:ascii="仿宋" w:hAnsi="仿宋" w:eastAsia="仿宋" w:cs="仿宋"/>
          <w:spacing w:val="3"/>
          <w:sz w:val="31"/>
          <w:szCs w:val="31"/>
        </w:rPr>
        <w:t>支出决算为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1.11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万元，完成调整预算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100%。</w:t>
      </w:r>
    </w:p>
    <w:p>
      <w:pPr>
        <w:spacing w:before="241" w:line="299" w:lineRule="auto"/>
        <w:ind w:left="42" w:right="102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8.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住房保障支出（类）住房改革支出（款）住房公积金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（项）:</w:t>
      </w:r>
      <w:r>
        <w:rPr>
          <w:rFonts w:ascii="仿宋" w:hAnsi="仿宋" w:eastAsia="仿宋" w:cs="仿宋"/>
          <w:spacing w:val="4"/>
          <w:sz w:val="31"/>
          <w:szCs w:val="31"/>
        </w:rPr>
        <w:t>支出决算为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21.96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万元，完成调整预算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00%。</w:t>
      </w:r>
    </w:p>
    <w:p>
      <w:pPr>
        <w:spacing w:before="238" w:line="227" w:lineRule="auto"/>
        <w:ind w:left="677"/>
        <w:outlineLvl w:val="1"/>
        <w:rPr>
          <w:rFonts w:ascii="仿宋" w:hAnsi="仿宋" w:eastAsia="仿宋" w:cs="仿宋"/>
          <w:sz w:val="31"/>
          <w:szCs w:val="31"/>
        </w:rPr>
      </w:pPr>
      <w:bookmarkStart w:id="12" w:name="bookmark12"/>
      <w:bookmarkEnd w:id="12"/>
      <w:r>
        <w:rPr>
          <w:rFonts w:ascii="仿宋" w:hAnsi="仿宋" w:eastAsia="仿宋" w:cs="仿宋"/>
          <w:spacing w:val="8"/>
          <w:sz w:val="31"/>
          <w:szCs w:val="31"/>
        </w:rPr>
        <w:t>六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、一</w:t>
      </w:r>
      <w:r>
        <w:rPr>
          <w:rFonts w:ascii="仿宋" w:hAnsi="仿宋" w:eastAsia="仿宋" w:cs="仿宋"/>
          <w:spacing w:val="8"/>
          <w:sz w:val="31"/>
          <w:szCs w:val="31"/>
        </w:rPr>
        <w:t>般公共预算财政拨款基本支出决算情况说明</w:t>
      </w:r>
    </w:p>
    <w:p>
      <w:pPr>
        <w:spacing w:before="249" w:line="370" w:lineRule="auto"/>
        <w:ind w:left="35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年一般公共预算财政拨款基本支出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260.2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万元，其</w:t>
      </w:r>
      <w:r>
        <w:rPr>
          <w:rFonts w:ascii="仿宋" w:hAnsi="仿宋" w:eastAsia="仿宋" w:cs="仿宋"/>
          <w:spacing w:val="-1"/>
          <w:sz w:val="31"/>
          <w:szCs w:val="31"/>
        </w:rPr>
        <w:t>中：人员经费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239.96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万元，主要包括：基本</w:t>
      </w:r>
      <w:r>
        <w:rPr>
          <w:rFonts w:ascii="仿宋" w:hAnsi="仿宋" w:eastAsia="仿宋" w:cs="仿宋"/>
          <w:spacing w:val="-2"/>
          <w:sz w:val="31"/>
          <w:szCs w:val="31"/>
        </w:rPr>
        <w:t>工资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53.64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万元、</w:t>
      </w:r>
      <w:r>
        <w:rPr>
          <w:rFonts w:ascii="仿宋" w:hAnsi="仿宋" w:eastAsia="仿宋" w:cs="仿宋"/>
          <w:spacing w:val="4"/>
          <w:sz w:val="31"/>
          <w:szCs w:val="31"/>
        </w:rPr>
        <w:t>津贴补贴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120.36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万元、奖金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万元、伙食补</w:t>
      </w:r>
      <w:r>
        <w:rPr>
          <w:rFonts w:ascii="仿宋" w:hAnsi="仿宋" w:eastAsia="仿宋" w:cs="仿宋"/>
          <w:spacing w:val="3"/>
          <w:sz w:val="31"/>
          <w:szCs w:val="31"/>
        </w:rPr>
        <w:t>助费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万元、绩效工资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万元、机关事业单位基本养老保险缴费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18.</w:t>
      </w:r>
      <w:r>
        <w:rPr>
          <w:rFonts w:ascii="仿宋" w:hAnsi="仿宋" w:eastAsia="仿宋" w:cs="仿宋"/>
          <w:spacing w:val="2"/>
          <w:sz w:val="31"/>
          <w:szCs w:val="31"/>
        </w:rPr>
        <w:t>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>职业年金缴费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万元、职工基本医疗保险缴费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1"/>
          <w:sz w:val="31"/>
          <w:szCs w:val="31"/>
        </w:rPr>
        <w:t>2.50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万元、公</w:t>
      </w:r>
      <w:r>
        <w:rPr>
          <w:rFonts w:ascii="仿宋" w:hAnsi="仿宋" w:eastAsia="仿宋" w:cs="仿宋"/>
          <w:spacing w:val="5"/>
          <w:sz w:val="31"/>
          <w:szCs w:val="31"/>
        </w:rPr>
        <w:t>务员医疗补助缴费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1.11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万元、其他社会保障缴费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万元、住</w:t>
      </w:r>
      <w:r>
        <w:rPr>
          <w:rFonts w:ascii="仿宋" w:hAnsi="仿宋" w:eastAsia="仿宋" w:cs="仿宋"/>
          <w:spacing w:val="-3"/>
          <w:sz w:val="31"/>
          <w:szCs w:val="31"/>
        </w:rPr>
        <w:t>房公积金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21.96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万元、医疗费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万元、其他工资福利支出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7.47</w:t>
      </w:r>
      <w:r>
        <w:rPr>
          <w:rFonts w:ascii="仿宋" w:hAnsi="仿宋" w:eastAsia="仿宋" w:cs="仿宋"/>
          <w:spacing w:val="2"/>
          <w:sz w:val="31"/>
          <w:szCs w:val="31"/>
        </w:rPr>
        <w:t>万元、离休费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万元、退休费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万元、退职（役）费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</w:p>
    <w:p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421" w:right="1506" w:bottom="388" w:left="1785" w:header="0" w:footer="224" w:gutter="0"/>
          <w:cols w:space="720" w:num="1"/>
        </w:sectPr>
      </w:pPr>
    </w:p>
    <w:p>
      <w:pPr>
        <w:spacing w:before="64" w:line="371" w:lineRule="auto"/>
        <w:ind w:left="41" w:right="105" w:hanging="6"/>
        <w:jc w:val="both"/>
        <w:rPr>
          <w:rFonts w:ascii="仿宋" w:hAnsi="仿宋" w:eastAsia="仿宋" w:cs="仿宋"/>
          <w:sz w:val="31"/>
          <w:szCs w:val="31"/>
        </w:rPr>
      </w:pPr>
      <w:bookmarkStart w:id="13" w:name="bookmark38"/>
      <w:bookmarkEnd w:id="13"/>
      <w:r>
        <w:rPr>
          <w:rFonts w:ascii="仿宋" w:hAnsi="仿宋" w:eastAsia="仿宋" w:cs="仿宋"/>
          <w:spacing w:val="4"/>
          <w:sz w:val="31"/>
          <w:szCs w:val="31"/>
        </w:rPr>
        <w:t>抚恤金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万元、生活补助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4.33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万元、救济费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万元、医疗费</w:t>
      </w:r>
      <w:r>
        <w:rPr>
          <w:rFonts w:ascii="仿宋" w:hAnsi="仿宋" w:eastAsia="仿宋" w:cs="仿宋"/>
          <w:spacing w:val="-2"/>
          <w:sz w:val="31"/>
          <w:szCs w:val="31"/>
        </w:rPr>
        <w:t>补助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万元、助学金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万元、奖励金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万元、个人农业生产补</w:t>
      </w:r>
      <w:r>
        <w:rPr>
          <w:rFonts w:ascii="仿宋" w:hAnsi="仿宋" w:eastAsia="仿宋" w:cs="仿宋"/>
          <w:sz w:val="31"/>
          <w:szCs w:val="31"/>
        </w:rPr>
        <w:t>贴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万元、代缴社会保险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万元、其他对个人和家庭的补助支</w:t>
      </w:r>
      <w:r>
        <w:rPr>
          <w:rFonts w:ascii="仿宋" w:hAnsi="仿宋" w:eastAsia="仿宋" w:cs="仿宋"/>
          <w:spacing w:val="-7"/>
          <w:sz w:val="31"/>
          <w:szCs w:val="31"/>
        </w:rPr>
        <w:t>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万元。</w:t>
      </w:r>
    </w:p>
    <w:p>
      <w:pPr>
        <w:spacing w:before="21" w:line="370" w:lineRule="auto"/>
        <w:ind w:left="28" w:firstLine="7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日常公用经费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20.24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万元，主要包括：办公费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0.36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>印刷费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万元、咨询费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万元、手续费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0.03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万元、水费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1.48</w:t>
      </w:r>
      <w:r>
        <w:rPr>
          <w:rFonts w:ascii="仿宋" w:hAnsi="仿宋" w:eastAsia="仿宋" w:cs="仿宋"/>
          <w:spacing w:val="-1"/>
          <w:sz w:val="31"/>
          <w:szCs w:val="31"/>
        </w:rPr>
        <w:t>万元、电费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万元、邮电费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万元、取暖费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万元、物</w:t>
      </w:r>
      <w:r>
        <w:rPr>
          <w:rFonts w:ascii="仿宋" w:hAnsi="仿宋" w:eastAsia="仿宋" w:cs="仿宋"/>
          <w:spacing w:val="9"/>
          <w:sz w:val="31"/>
          <w:szCs w:val="31"/>
        </w:rPr>
        <w:t>业管理费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万元、差旅费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1.5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万元、因公出国（境）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</w:t>
      </w:r>
      <w:r>
        <w:rPr>
          <w:rFonts w:ascii="仿宋" w:hAnsi="仿宋" w:eastAsia="仿宋" w:cs="仿宋"/>
          <w:spacing w:val="5"/>
          <w:sz w:val="31"/>
          <w:szCs w:val="31"/>
        </w:rPr>
        <w:t>万元、维修（护）费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0.06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万元、租赁费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万元、会议费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元、培训费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万元、公务接待费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万元、劳务费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1.11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仿宋" w:hAnsi="仿宋" w:eastAsia="仿宋" w:cs="仿宋"/>
          <w:spacing w:val="2"/>
          <w:sz w:val="31"/>
          <w:szCs w:val="31"/>
        </w:rPr>
        <w:t>委托业务费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0.20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万元、工会经费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2.52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万元、福利费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>公务用车运行维护费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万元、其他交通费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12.06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</w:t>
      </w:r>
      <w:r>
        <w:rPr>
          <w:rFonts w:ascii="仿宋" w:hAnsi="仿宋" w:eastAsia="仿宋" w:cs="仿宋"/>
          <w:spacing w:val="-1"/>
          <w:sz w:val="31"/>
          <w:szCs w:val="31"/>
        </w:rPr>
        <w:t>元、税金及</w:t>
      </w:r>
      <w:r>
        <w:rPr>
          <w:rFonts w:ascii="仿宋" w:hAnsi="仿宋" w:eastAsia="仿宋" w:cs="仿宋"/>
          <w:spacing w:val="6"/>
          <w:sz w:val="31"/>
          <w:szCs w:val="31"/>
        </w:rPr>
        <w:t>附加费用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万元、其他商品和服务支出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万元、国内债务</w:t>
      </w:r>
      <w:r>
        <w:rPr>
          <w:rFonts w:ascii="仿宋" w:hAnsi="仿宋" w:eastAsia="仿宋" w:cs="仿宋"/>
          <w:spacing w:val="-9"/>
          <w:sz w:val="31"/>
          <w:szCs w:val="31"/>
        </w:rPr>
        <w:t>付息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万元、国外债务付息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万元、国内债务发行费用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>国外债务发行费用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万元、房屋建筑物构建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万元、办公设备</w:t>
      </w:r>
      <w:r>
        <w:rPr>
          <w:rFonts w:ascii="仿宋" w:hAnsi="仿宋" w:eastAsia="仿宋" w:cs="仿宋"/>
          <w:spacing w:val="-1"/>
          <w:sz w:val="31"/>
          <w:szCs w:val="31"/>
        </w:rPr>
        <w:t>购置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万元、专用设备购置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万元、基础设施建设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万元、大</w:t>
      </w:r>
      <w:r>
        <w:rPr>
          <w:rFonts w:ascii="仿宋" w:hAnsi="仿宋" w:eastAsia="仿宋" w:cs="仿宋"/>
          <w:spacing w:val="3"/>
          <w:sz w:val="31"/>
          <w:szCs w:val="31"/>
        </w:rPr>
        <w:t>型修缮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万元、信息网络及软件购置更新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万元、物</w:t>
      </w:r>
      <w:r>
        <w:rPr>
          <w:rFonts w:ascii="仿宋" w:hAnsi="仿宋" w:eastAsia="仿宋" w:cs="仿宋"/>
          <w:spacing w:val="2"/>
          <w:sz w:val="31"/>
          <w:szCs w:val="31"/>
        </w:rPr>
        <w:t>资储备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z w:val="31"/>
          <w:szCs w:val="31"/>
        </w:rPr>
        <w:t>万元、土地补偿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万元、安置补助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万元、地上附着物和青苗</w:t>
      </w:r>
      <w:r>
        <w:rPr>
          <w:rFonts w:ascii="仿宋" w:hAnsi="仿宋" w:eastAsia="仿宋" w:cs="仿宋"/>
          <w:spacing w:val="-1"/>
          <w:sz w:val="31"/>
          <w:szCs w:val="31"/>
        </w:rPr>
        <w:t>补偿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万元、拆迁补偿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万元、公务用车购置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万元、其他交</w:t>
      </w:r>
      <w:r>
        <w:rPr>
          <w:rFonts w:ascii="仿宋" w:hAnsi="仿宋" w:eastAsia="仿宋" w:cs="仿宋"/>
          <w:sz w:val="31"/>
          <w:szCs w:val="31"/>
        </w:rPr>
        <w:t>通工具购置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万元、文物和陈列品购置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万元、无形资产购置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万元、其他资本性支出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万元、资本金注入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万元、政府投资基金股权投资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万元、费用补贴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万元、利息补贴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仿宋" w:hAnsi="仿宋" w:eastAsia="仿宋" w:cs="仿宋"/>
          <w:spacing w:val="13"/>
          <w:sz w:val="31"/>
          <w:szCs w:val="31"/>
        </w:rPr>
        <w:t>其他对企业补助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万元、赠与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万元、国家赔偿费用支出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0</w:t>
      </w:r>
    </w:p>
    <w:p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422" w:right="1506" w:bottom="388" w:left="1785" w:header="0" w:footer="224" w:gutter="0"/>
          <w:cols w:space="720" w:num="1"/>
        </w:sectPr>
      </w:pPr>
    </w:p>
    <w:p>
      <w:pPr>
        <w:spacing w:before="64" w:line="371" w:lineRule="auto"/>
        <w:ind w:left="36" w:right="135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万元、对民间非营利组织和群众性自治组织补贴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</w:t>
      </w:r>
      <w:r>
        <w:rPr>
          <w:rFonts w:ascii="仿宋" w:hAnsi="仿宋" w:eastAsia="仿宋" w:cs="仿宋"/>
          <w:spacing w:val="1"/>
          <w:sz w:val="31"/>
          <w:szCs w:val="31"/>
        </w:rPr>
        <w:t>、其他</w:t>
      </w:r>
      <w:r>
        <w:rPr>
          <w:rFonts w:ascii="仿宋" w:hAnsi="仿宋" w:eastAsia="仿宋" w:cs="仿宋"/>
          <w:spacing w:val="-3"/>
          <w:sz w:val="31"/>
          <w:szCs w:val="31"/>
        </w:rPr>
        <w:t>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万元。</w:t>
      </w:r>
    </w:p>
    <w:p>
      <w:pPr>
        <w:spacing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七、</w:t>
      </w:r>
      <w:r>
        <w:rPr>
          <w:rFonts w:ascii="仿宋" w:hAnsi="仿宋" w:eastAsia="仿宋" w:cs="仿宋"/>
          <w:b/>
          <w:bCs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>三公”经费财政拨款支出决算情况说明</w:t>
      </w:r>
    </w:p>
    <w:p>
      <w:pPr>
        <w:spacing w:before="242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（一）“三公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”经费财政拨款支出决算总体情况说明</w:t>
      </w:r>
    </w:p>
    <w:p>
      <w:pPr>
        <w:spacing w:before="240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2021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年“三公”经费财政拨款支出决算</w:t>
      </w:r>
      <w:r>
        <w:rPr>
          <w:rFonts w:ascii="仿宋" w:hAnsi="仿宋" w:eastAsia="仿宋" w:cs="仿宋"/>
          <w:spacing w:val="8"/>
          <w:sz w:val="31"/>
          <w:szCs w:val="31"/>
        </w:rPr>
        <w:t>为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万元，完成</w:t>
      </w:r>
    </w:p>
    <w:p>
      <w:pPr>
        <w:spacing w:before="239" w:line="371" w:lineRule="auto"/>
        <w:ind w:left="32" w:right="137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预算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0%，决算数小于预算数的主要原因是本年厉行节约，没</w:t>
      </w:r>
      <w:r>
        <w:rPr>
          <w:rFonts w:ascii="仿宋" w:hAnsi="仿宋" w:eastAsia="仿宋" w:cs="仿宋"/>
          <w:spacing w:val="5"/>
          <w:sz w:val="31"/>
          <w:szCs w:val="31"/>
        </w:rPr>
        <w:t>有发生费用。</w:t>
      </w:r>
    </w:p>
    <w:p>
      <w:pPr>
        <w:spacing w:before="3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（二）“三公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”经费财政拨款支出决算具体情况说明</w:t>
      </w:r>
    </w:p>
    <w:p>
      <w:pPr>
        <w:spacing w:before="238" w:line="371" w:lineRule="auto"/>
        <w:ind w:left="37" w:firstLine="6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年“三公”经费财政拨款支出决算中，因公出国</w:t>
      </w:r>
      <w:r>
        <w:rPr>
          <w:rFonts w:ascii="仿宋" w:hAnsi="仿宋" w:eastAsia="仿宋" w:cs="仿宋"/>
          <w:spacing w:val="-8"/>
          <w:sz w:val="31"/>
          <w:szCs w:val="31"/>
        </w:rPr>
        <w:t>（境）</w:t>
      </w:r>
      <w:r>
        <w:rPr>
          <w:rFonts w:ascii="仿宋" w:hAnsi="仿宋" w:eastAsia="仿宋" w:cs="仿宋"/>
          <w:spacing w:val="6"/>
          <w:sz w:val="31"/>
          <w:szCs w:val="31"/>
        </w:rPr>
        <w:t>费支出决算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0%；公务用车购置及运行维护费支出</w:t>
      </w:r>
      <w:r>
        <w:rPr>
          <w:rFonts w:ascii="仿宋" w:hAnsi="仿宋" w:eastAsia="仿宋" w:cs="仿宋"/>
          <w:spacing w:val="-2"/>
          <w:sz w:val="31"/>
          <w:szCs w:val="31"/>
        </w:rPr>
        <w:t>决算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0%；公务接待费支出决算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0%。具</w:t>
      </w:r>
      <w:r>
        <w:rPr>
          <w:rFonts w:ascii="仿宋" w:hAnsi="仿宋" w:eastAsia="仿宋" w:cs="仿宋"/>
          <w:spacing w:val="4"/>
          <w:sz w:val="31"/>
          <w:szCs w:val="31"/>
        </w:rPr>
        <w:t>体情况如下：</w:t>
      </w:r>
    </w:p>
    <w:p>
      <w:pPr>
        <w:spacing w:before="2" w:line="322" w:lineRule="auto"/>
        <w:ind w:left="3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1.因公出国（境）经费支出</w:t>
      </w:r>
      <w:r>
        <w:rPr>
          <w:rFonts w:ascii="仿宋" w:hAnsi="仿宋" w:eastAsia="仿宋" w:cs="仿宋"/>
          <w:spacing w:val="10"/>
          <w:sz w:val="31"/>
          <w:szCs w:val="31"/>
        </w:rPr>
        <w:t>0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0%。全年</w:t>
      </w:r>
      <w:r>
        <w:rPr>
          <w:rFonts w:ascii="仿宋" w:hAnsi="仿宋" w:eastAsia="仿宋" w:cs="仿宋"/>
          <w:spacing w:val="-13"/>
          <w:sz w:val="31"/>
          <w:szCs w:val="31"/>
        </w:rPr>
        <w:t>安排因公出国（境）团组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次，出国（境）0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人。因公</w:t>
      </w:r>
      <w:r>
        <w:rPr>
          <w:rFonts w:ascii="仿宋" w:hAnsi="仿宋" w:eastAsia="仿宋" w:cs="仿宋"/>
          <w:spacing w:val="-14"/>
          <w:sz w:val="31"/>
          <w:szCs w:val="31"/>
        </w:rPr>
        <w:t>出国（境）</w:t>
      </w:r>
      <w:r>
        <w:rPr>
          <w:rFonts w:ascii="仿宋" w:hAnsi="仿宋" w:eastAsia="仿宋" w:cs="仿宋"/>
          <w:spacing w:val="2"/>
          <w:sz w:val="31"/>
          <w:szCs w:val="31"/>
        </w:rPr>
        <w:t>支出决算比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年增加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0%。</w:t>
      </w:r>
    </w:p>
    <w:p>
      <w:pPr>
        <w:spacing w:before="242" w:line="323" w:lineRule="auto"/>
        <w:ind w:left="36" w:right="9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2.公务用车购置及运行维护费支出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6"/>
          <w:sz w:val="31"/>
          <w:szCs w:val="31"/>
        </w:rPr>
        <w:t>,完成预算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0%。</w:t>
      </w:r>
      <w:r>
        <w:rPr>
          <w:rFonts w:ascii="仿宋" w:hAnsi="仿宋" w:eastAsia="仿宋" w:cs="仿宋"/>
          <w:spacing w:val="5"/>
          <w:sz w:val="31"/>
          <w:szCs w:val="31"/>
        </w:rPr>
        <w:t>公务用车购置及运行维护费支出决算比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年增加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2"/>
          <w:sz w:val="31"/>
          <w:szCs w:val="31"/>
        </w:rPr>
        <w:t>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0%。</w:t>
      </w:r>
    </w:p>
    <w:p>
      <w:pPr>
        <w:spacing w:before="243" w:line="323" w:lineRule="auto"/>
        <w:ind w:left="36" w:right="9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2.公务用车购置及运行维护费支出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6"/>
          <w:sz w:val="31"/>
          <w:szCs w:val="31"/>
        </w:rPr>
        <w:t>,完成预算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0%。</w:t>
      </w:r>
      <w:r>
        <w:rPr>
          <w:rFonts w:ascii="仿宋" w:hAnsi="仿宋" w:eastAsia="仿宋" w:cs="仿宋"/>
          <w:spacing w:val="5"/>
          <w:sz w:val="31"/>
          <w:szCs w:val="31"/>
        </w:rPr>
        <w:t>公务用车购置及运行维护费支出决算比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年增加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2"/>
          <w:sz w:val="31"/>
          <w:szCs w:val="31"/>
        </w:rPr>
        <w:t>增长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0%。</w:t>
      </w:r>
    </w:p>
    <w:p>
      <w:pPr>
        <w:spacing w:before="238" w:line="368" w:lineRule="auto"/>
        <w:ind w:left="44" w:right="135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其中：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公务用车购置支出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万元。全年按规定更新购置公</w:t>
      </w:r>
      <w:r>
        <w:rPr>
          <w:rFonts w:ascii="仿宋" w:hAnsi="仿宋" w:eastAsia="仿宋" w:cs="仿宋"/>
          <w:spacing w:val="-3"/>
          <w:sz w:val="31"/>
          <w:szCs w:val="31"/>
        </w:rPr>
        <w:t>务用车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辆，其中：轿车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辆、金额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万元，越野车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辆、金</w:t>
      </w:r>
    </w:p>
    <w:p>
      <w:pPr>
        <w:spacing w:line="368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422" w:right="1476" w:bottom="388" w:left="1785" w:header="0" w:footer="224" w:gutter="0"/>
          <w:cols w:space="720" w:num="1"/>
        </w:sectPr>
      </w:pPr>
    </w:p>
    <w:p>
      <w:pPr>
        <w:spacing w:before="63" w:line="371" w:lineRule="auto"/>
        <w:ind w:left="28" w:right="88" w:firstLine="6"/>
        <w:jc w:val="both"/>
        <w:rPr>
          <w:rFonts w:ascii="仿宋" w:hAnsi="仿宋" w:eastAsia="仿宋" w:cs="仿宋"/>
          <w:sz w:val="31"/>
          <w:szCs w:val="31"/>
        </w:rPr>
      </w:pPr>
      <w:bookmarkStart w:id="14" w:name="bookmark39"/>
      <w:bookmarkEnd w:id="14"/>
      <w:r>
        <w:rPr>
          <w:rFonts w:ascii="仿宋" w:hAnsi="仿宋" w:eastAsia="仿宋" w:cs="仿宋"/>
          <w:spacing w:val="-1"/>
          <w:sz w:val="31"/>
          <w:szCs w:val="31"/>
        </w:rPr>
        <w:t>额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万元，小型载客汽车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辆、金额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万元，大中型载客</w:t>
      </w:r>
      <w:r>
        <w:rPr>
          <w:rFonts w:ascii="仿宋" w:hAnsi="仿宋" w:eastAsia="仿宋" w:cs="仿宋"/>
          <w:spacing w:val="-2"/>
          <w:sz w:val="31"/>
          <w:szCs w:val="31"/>
        </w:rPr>
        <w:t>汽车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辆、金额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万元，其他车型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辆、金额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6"/>
          <w:sz w:val="31"/>
          <w:szCs w:val="31"/>
        </w:rPr>
        <w:t>。截至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2021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月底，单位共有公务用车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辆，其中：轿车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辆</w:t>
      </w:r>
      <w:r>
        <w:rPr>
          <w:rFonts w:ascii="仿宋" w:hAnsi="仿宋" w:eastAsia="仿宋" w:cs="仿宋"/>
          <w:spacing w:val="3"/>
          <w:sz w:val="31"/>
          <w:szCs w:val="31"/>
        </w:rPr>
        <w:t>、越野</w:t>
      </w:r>
      <w:r>
        <w:rPr>
          <w:rFonts w:ascii="仿宋" w:hAnsi="仿宋" w:eastAsia="仿宋" w:cs="仿宋"/>
          <w:spacing w:val="-1"/>
          <w:sz w:val="31"/>
          <w:szCs w:val="31"/>
        </w:rPr>
        <w:t>车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辆、小型载客汽车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辆、大中型载客汽车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辆、其他车型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辆。</w:t>
      </w:r>
    </w:p>
    <w:p>
      <w:pPr>
        <w:spacing w:line="226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公务用车运行维护费支出</w:t>
      </w:r>
      <w:r>
        <w:rPr>
          <w:rFonts w:ascii="仿宋" w:hAnsi="仿宋" w:eastAsia="仿宋" w:cs="仿宋"/>
          <w:spacing w:val="9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万元。</w:t>
      </w:r>
    </w:p>
    <w:p>
      <w:pPr>
        <w:spacing w:before="240" w:line="371" w:lineRule="auto"/>
        <w:ind w:left="68" w:right="90" w:firstLine="6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3.公务接待费支出</w:t>
      </w:r>
      <w:r>
        <w:rPr>
          <w:rFonts w:ascii="仿宋" w:hAnsi="仿宋" w:eastAsia="仿宋" w:cs="仿宋"/>
          <w:spacing w:val="12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0%</w:t>
      </w:r>
      <w:r>
        <w:rPr>
          <w:rFonts w:ascii="仿宋" w:hAnsi="仿宋" w:eastAsia="仿宋" w:cs="仿宋"/>
          <w:spacing w:val="11"/>
          <w:sz w:val="31"/>
          <w:szCs w:val="31"/>
        </w:rPr>
        <w:t>。公务接待费支</w:t>
      </w:r>
      <w:r>
        <w:rPr>
          <w:rFonts w:ascii="仿宋" w:hAnsi="仿宋" w:eastAsia="仿宋" w:cs="仿宋"/>
          <w:sz w:val="31"/>
          <w:szCs w:val="31"/>
        </w:rPr>
        <w:t>出决算比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0%。</w:t>
      </w:r>
    </w:p>
    <w:p>
      <w:pPr>
        <w:spacing w:before="2" w:line="369" w:lineRule="auto"/>
        <w:ind w:left="44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6"/>
          <w:sz w:val="31"/>
          <w:szCs w:val="31"/>
        </w:rPr>
        <w:t>国内公务接待支出</w:t>
      </w:r>
      <w:r>
        <w:rPr>
          <w:rFonts w:ascii="仿宋" w:hAnsi="仿宋" w:eastAsia="仿宋" w:cs="仿宋"/>
          <w:spacing w:val="-6"/>
          <w:sz w:val="31"/>
          <w:szCs w:val="31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万元。国内公务接待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批次，0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人次，</w:t>
      </w:r>
      <w:r>
        <w:rPr>
          <w:rFonts w:ascii="仿宋" w:hAnsi="仿宋" w:eastAsia="仿宋" w:cs="仿宋"/>
          <w:spacing w:val="-1"/>
          <w:sz w:val="31"/>
          <w:szCs w:val="31"/>
        </w:rPr>
        <w:t>共计支出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before="4" w:line="371" w:lineRule="auto"/>
        <w:ind w:left="28" w:right="90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外事接待支出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万元，外事接待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批次，0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人，共计支出</w:t>
      </w:r>
      <w:r>
        <w:rPr>
          <w:rFonts w:ascii="仿宋" w:hAnsi="仿宋" w:eastAsia="仿宋" w:cs="仿宋"/>
          <w:spacing w:val="-4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万元。</w:t>
      </w:r>
    </w:p>
    <w:p>
      <w:pPr>
        <w:spacing w:before="1" w:line="225" w:lineRule="auto"/>
        <w:ind w:left="673"/>
        <w:outlineLvl w:val="1"/>
        <w:rPr>
          <w:rFonts w:ascii="仿宋" w:hAnsi="仿宋" w:eastAsia="仿宋" w:cs="仿宋"/>
          <w:sz w:val="31"/>
          <w:szCs w:val="31"/>
        </w:rPr>
      </w:pPr>
      <w:bookmarkStart w:id="15" w:name="bookmark14"/>
      <w:bookmarkEnd w:id="15"/>
      <w:r>
        <w:rPr>
          <w:rFonts w:ascii="仿宋" w:hAnsi="仿宋" w:eastAsia="仿宋" w:cs="仿宋"/>
          <w:spacing w:val="8"/>
          <w:sz w:val="31"/>
          <w:szCs w:val="31"/>
        </w:rPr>
        <w:t>八、政府性基金预算支出决算情况说明</w:t>
      </w:r>
    </w:p>
    <w:p>
      <w:pPr>
        <w:spacing w:before="242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年政府性基金预算拨款支出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3" w:line="227" w:lineRule="auto"/>
        <w:ind w:left="685"/>
        <w:outlineLvl w:val="1"/>
        <w:rPr>
          <w:rFonts w:ascii="仿宋" w:hAnsi="仿宋" w:eastAsia="仿宋" w:cs="仿宋"/>
          <w:sz w:val="31"/>
          <w:szCs w:val="31"/>
        </w:rPr>
      </w:pPr>
      <w:bookmarkStart w:id="16" w:name="bookmark15"/>
      <w:bookmarkEnd w:id="16"/>
      <w:r>
        <w:rPr>
          <w:rFonts w:ascii="仿宋" w:hAnsi="仿宋" w:eastAsia="仿宋" w:cs="仿宋"/>
          <w:spacing w:val="8"/>
          <w:sz w:val="31"/>
          <w:szCs w:val="31"/>
        </w:rPr>
        <w:t>九、国有资本经营预算支出决算情况说明</w:t>
      </w:r>
    </w:p>
    <w:p>
      <w:pPr>
        <w:spacing w:before="242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2021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年国有资本经营预算拨款支出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1" w:line="227" w:lineRule="auto"/>
        <w:ind w:left="844"/>
        <w:outlineLvl w:val="1"/>
        <w:rPr>
          <w:rFonts w:ascii="仿宋" w:hAnsi="仿宋" w:eastAsia="仿宋" w:cs="仿宋"/>
          <w:sz w:val="31"/>
          <w:szCs w:val="31"/>
        </w:rPr>
      </w:pPr>
      <w:bookmarkStart w:id="17" w:name="bookmark16"/>
      <w:bookmarkEnd w:id="17"/>
      <w:r>
        <w:rPr>
          <w:rFonts w:ascii="仿宋" w:hAnsi="仿宋" w:eastAsia="仿宋" w:cs="仿宋"/>
          <w:spacing w:val="7"/>
          <w:sz w:val="31"/>
          <w:szCs w:val="31"/>
        </w:rPr>
        <w:t>十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其他重要事项的情况说明</w:t>
      </w:r>
    </w:p>
    <w:p>
      <w:pPr>
        <w:spacing w:before="243" w:line="226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（一）机关运行经费支出情况</w:t>
      </w:r>
    </w:p>
    <w:p>
      <w:pPr>
        <w:spacing w:before="242" w:line="371" w:lineRule="auto"/>
        <w:ind w:left="38" w:right="88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年，东区财政国库支付中心机关运行经费支出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20.24万元，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比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6%。主要原因是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5"/>
          <w:sz w:val="31"/>
          <w:szCs w:val="31"/>
        </w:rPr>
        <w:t>年支付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年办公水费，故办公水费有所增长。</w:t>
      </w:r>
    </w:p>
    <w:p>
      <w:pPr>
        <w:spacing w:before="2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（二）政府采购支出情况</w:t>
      </w:r>
    </w:p>
    <w:p>
      <w:pPr>
        <w:spacing w:before="236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2021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年，东区财政国库支付中心政府采购支出总额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422" w:right="1521" w:bottom="388" w:left="1785" w:header="0" w:footer="222" w:gutter="0"/>
          <w:cols w:space="720" w:num="1"/>
        </w:sectPr>
      </w:pPr>
    </w:p>
    <w:p>
      <w:pPr>
        <w:spacing w:before="64" w:line="371" w:lineRule="auto"/>
        <w:ind w:left="36" w:firstLine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元，其中：政府采购货物支出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万元、政府采购工程支</w:t>
      </w:r>
      <w:r>
        <w:rPr>
          <w:rFonts w:ascii="仿宋" w:hAnsi="仿宋" w:eastAsia="仿宋" w:cs="仿宋"/>
          <w:spacing w:val="14"/>
          <w:sz w:val="31"/>
          <w:szCs w:val="31"/>
        </w:rPr>
        <w:t>出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0</w:t>
      </w:r>
      <w:r>
        <w:rPr>
          <w:rFonts w:ascii="仿宋" w:hAnsi="仿宋" w:eastAsia="仿宋" w:cs="仿宋"/>
          <w:spacing w:val="15"/>
          <w:sz w:val="31"/>
          <w:szCs w:val="31"/>
        </w:rPr>
        <w:t>万元、政府采购服务支出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万元。授予中小企业合同金额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万元，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占政府采购支出总额的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0%，其中：授予小微企业合同</w:t>
      </w:r>
      <w:r>
        <w:rPr>
          <w:rFonts w:ascii="仿宋" w:hAnsi="仿宋" w:eastAsia="仿宋" w:cs="仿宋"/>
          <w:sz w:val="31"/>
          <w:szCs w:val="31"/>
        </w:rPr>
        <w:t>金额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占政府采购支出总额的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0%。</w:t>
      </w:r>
    </w:p>
    <w:p>
      <w:pPr>
        <w:spacing w:before="1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（三）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国有资产占有使用情况</w:t>
      </w:r>
    </w:p>
    <w:p>
      <w:pPr>
        <w:spacing w:before="238" w:line="370" w:lineRule="auto"/>
        <w:ind w:left="35" w:right="10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截至2021年12月31日，东区财政国</w:t>
      </w:r>
      <w:r>
        <w:rPr>
          <w:rFonts w:ascii="仿宋" w:hAnsi="仿宋" w:eastAsia="仿宋" w:cs="仿宋"/>
          <w:spacing w:val="7"/>
          <w:sz w:val="31"/>
          <w:szCs w:val="31"/>
        </w:rPr>
        <w:t>库支付中心共有车辆0</w:t>
      </w:r>
      <w:r>
        <w:rPr>
          <w:rFonts w:ascii="仿宋" w:hAnsi="仿宋" w:eastAsia="仿宋" w:cs="仿宋"/>
          <w:spacing w:val="9"/>
          <w:sz w:val="31"/>
          <w:szCs w:val="31"/>
        </w:rPr>
        <w:t>辆，其中：副部（省）级及以上领导用车0辆、主要领</w:t>
      </w:r>
      <w:r>
        <w:rPr>
          <w:rFonts w:ascii="仿宋" w:hAnsi="仿宋" w:eastAsia="仿宋" w:cs="仿宋"/>
          <w:spacing w:val="8"/>
          <w:sz w:val="31"/>
          <w:szCs w:val="31"/>
        </w:rPr>
        <w:t>导干部用车0辆、机要通信用车0辆、应急保障用车0辆、应急保障用车0辆、执法执勤用车0辆、特种专业技术用车0辆、离退休干</w:t>
      </w:r>
      <w:r>
        <w:rPr>
          <w:rFonts w:ascii="仿宋" w:hAnsi="仿宋" w:eastAsia="仿宋" w:cs="仿宋"/>
          <w:spacing w:val="6"/>
          <w:sz w:val="31"/>
          <w:szCs w:val="31"/>
        </w:rPr>
        <w:t>部用车0辆、其他用车0辆。</w:t>
      </w:r>
    </w:p>
    <w:p>
      <w:pPr>
        <w:spacing w:before="4" w:line="370" w:lineRule="auto"/>
        <w:ind w:left="28" w:right="1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单价50万元以上通用设备0台，单价100万元以上专用设备</w:t>
      </w:r>
      <w:r>
        <w:rPr>
          <w:rFonts w:ascii="仿宋" w:hAnsi="仿宋" w:eastAsia="仿宋" w:cs="仿宋"/>
          <w:spacing w:val="-1"/>
          <w:sz w:val="31"/>
          <w:szCs w:val="31"/>
        </w:rPr>
        <w:t>0台。</w:t>
      </w:r>
    </w:p>
    <w:p>
      <w:pPr>
        <w:spacing w:before="6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（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四）预算绩效管理情况。</w:t>
      </w:r>
    </w:p>
    <w:p>
      <w:pPr>
        <w:spacing w:before="238" w:line="367" w:lineRule="auto"/>
        <w:ind w:left="37" w:right="1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根据预算绩效管理要求，本单位在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年度预算</w:t>
      </w:r>
      <w:r>
        <w:rPr>
          <w:rFonts w:ascii="仿宋" w:hAnsi="仿宋" w:eastAsia="仿宋" w:cs="仿宋"/>
          <w:spacing w:val="6"/>
          <w:sz w:val="31"/>
          <w:szCs w:val="31"/>
        </w:rPr>
        <w:t>编制阶</w:t>
      </w:r>
      <w:r>
        <w:rPr>
          <w:rFonts w:ascii="仿宋" w:hAnsi="仿宋" w:eastAsia="仿宋" w:cs="仿宋"/>
          <w:spacing w:val="1"/>
          <w:sz w:val="31"/>
          <w:szCs w:val="31"/>
        </w:rPr>
        <w:t>段，组织对财务管理专项工作经费等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个项目开展了预算事前</w:t>
      </w:r>
      <w:r>
        <w:rPr>
          <w:rFonts w:ascii="仿宋" w:hAnsi="仿宋" w:eastAsia="仿宋" w:cs="仿宋"/>
          <w:sz w:val="31"/>
          <w:szCs w:val="31"/>
        </w:rPr>
        <w:t>绩效评估</w:t>
      </w:r>
      <w:r>
        <w:rPr>
          <w:rFonts w:ascii="仿宋" w:hAnsi="仿宋" w:eastAsia="仿宋" w:cs="仿宋"/>
          <w:i/>
          <w:iCs/>
          <w:sz w:val="33"/>
          <w:szCs w:val="33"/>
        </w:rPr>
        <w:t>，</w:t>
      </w:r>
      <w:r>
        <w:rPr>
          <w:rFonts w:ascii="仿宋" w:hAnsi="仿宋" w:eastAsia="仿宋" w:cs="仿宋"/>
          <w:sz w:val="31"/>
          <w:szCs w:val="31"/>
        </w:rPr>
        <w:t>对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个项目编制了绩效目标</w:t>
      </w:r>
      <w:r>
        <w:rPr>
          <w:rFonts w:ascii="仿宋" w:hAnsi="仿宋" w:eastAsia="仿宋" w:cs="仿宋"/>
          <w:i/>
          <w:iCs/>
          <w:sz w:val="33"/>
          <w:szCs w:val="33"/>
        </w:rPr>
        <w:t>，</w:t>
      </w:r>
      <w:r>
        <w:rPr>
          <w:rFonts w:ascii="仿宋" w:hAnsi="仿宋" w:eastAsia="仿宋" w:cs="仿宋"/>
          <w:sz w:val="31"/>
          <w:szCs w:val="31"/>
        </w:rPr>
        <w:t>预算</w:t>
      </w:r>
      <w:r>
        <w:rPr>
          <w:rFonts w:ascii="仿宋" w:hAnsi="仿宋" w:eastAsia="仿宋" w:cs="仿宋"/>
          <w:spacing w:val="-1"/>
          <w:sz w:val="31"/>
          <w:szCs w:val="31"/>
        </w:rPr>
        <w:t>执行过程中，选取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个项目开展绩效监控，年终执行完毕后，对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个项目开展</w:t>
      </w:r>
      <w:r>
        <w:rPr>
          <w:rFonts w:ascii="仿宋" w:hAnsi="仿宋" w:eastAsia="仿宋" w:cs="仿宋"/>
          <w:spacing w:val="10"/>
          <w:sz w:val="31"/>
          <w:szCs w:val="31"/>
        </w:rPr>
        <w:t>了绩效自评，2021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年特定目标类部门预算项目绩效目标自评</w:t>
      </w:r>
      <w:r>
        <w:rPr>
          <w:rFonts w:ascii="仿宋" w:hAnsi="仿宋" w:eastAsia="仿宋" w:cs="仿宋"/>
          <w:spacing w:val="-10"/>
          <w:sz w:val="31"/>
          <w:szCs w:val="31"/>
        </w:rPr>
        <w:t>表见附件（第四部分）。</w:t>
      </w:r>
    </w:p>
    <w:p>
      <w:pPr>
        <w:spacing w:line="367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422" w:right="1610" w:bottom="388" w:left="1785" w:header="0" w:footer="222" w:gutter="0"/>
          <w:cols w:space="720" w:num="1"/>
        </w:sectPr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40" w:line="225" w:lineRule="auto"/>
        <w:ind w:left="2736"/>
        <w:outlineLvl w:val="0"/>
        <w:rPr>
          <w:rFonts w:ascii="黑体" w:hAnsi="黑体" w:eastAsia="黑体" w:cs="黑体"/>
          <w:sz w:val="43"/>
          <w:szCs w:val="43"/>
        </w:rPr>
      </w:pPr>
      <w:bookmarkStart w:id="18" w:name="bookmark40"/>
      <w:bookmarkEnd w:id="18"/>
      <w:bookmarkStart w:id="19" w:name="bookmark17"/>
      <w:bookmarkEnd w:id="19"/>
      <w:r>
        <w:rPr>
          <w:rFonts w:ascii="黑体" w:hAnsi="黑体" w:eastAsia="黑体" w:cs="黑体"/>
          <w:spacing w:val="7"/>
          <w:sz w:val="43"/>
          <w:szCs w:val="43"/>
        </w:rPr>
        <w:t>第三部分 名词解释</w:t>
      </w: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spacing w:before="101" w:line="299" w:lineRule="auto"/>
        <w:ind w:left="36" w:right="43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1.财政拨款收入：指单位从同级财政部门取得的财政预算资金。</w:t>
      </w:r>
    </w:p>
    <w:p>
      <w:pPr>
        <w:spacing w:before="239" w:line="300" w:lineRule="auto"/>
        <w:ind w:left="37" w:right="433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2.事业收入：指事业单位开展专业业务活动及辅</w:t>
      </w:r>
      <w:r>
        <w:rPr>
          <w:rFonts w:ascii="仿宋" w:hAnsi="仿宋" w:eastAsia="仿宋" w:cs="仿宋"/>
          <w:spacing w:val="2"/>
          <w:sz w:val="31"/>
          <w:szCs w:val="31"/>
        </w:rPr>
        <w:t>助活动</w:t>
      </w:r>
      <w:r>
        <w:rPr>
          <w:rFonts w:ascii="仿宋" w:hAnsi="仿宋" w:eastAsia="仿宋" w:cs="仿宋"/>
          <w:spacing w:val="4"/>
          <w:sz w:val="31"/>
          <w:szCs w:val="31"/>
        </w:rPr>
        <w:t>取得的收入。</w:t>
      </w:r>
    </w:p>
    <w:p>
      <w:pPr>
        <w:spacing w:before="237" w:line="299" w:lineRule="auto"/>
        <w:ind w:left="39" w:right="433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3.经营收入：指事业单位在专业业务活动及</w:t>
      </w:r>
      <w:r>
        <w:rPr>
          <w:rFonts w:ascii="仿宋" w:hAnsi="仿宋" w:eastAsia="仿宋" w:cs="仿宋"/>
          <w:spacing w:val="2"/>
          <w:sz w:val="31"/>
          <w:szCs w:val="31"/>
        </w:rPr>
        <w:t>其辅助活动</w:t>
      </w:r>
      <w:r>
        <w:rPr>
          <w:rFonts w:ascii="仿宋" w:hAnsi="仿宋" w:eastAsia="仿宋" w:cs="仿宋"/>
          <w:spacing w:val="8"/>
          <w:sz w:val="31"/>
          <w:szCs w:val="31"/>
        </w:rPr>
        <w:t>之外开展非独立核算经营活动取得的收入。</w:t>
      </w:r>
    </w:p>
    <w:p>
      <w:pPr>
        <w:spacing w:before="241" w:line="298" w:lineRule="auto"/>
        <w:ind w:left="44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4.其他收入：指单位取得的除上述收入以外的各项收入。</w:t>
      </w:r>
      <w:r>
        <w:rPr>
          <w:rFonts w:ascii="仿宋" w:hAnsi="仿宋" w:eastAsia="仿宋" w:cs="仿宋"/>
          <w:spacing w:val="4"/>
          <w:sz w:val="31"/>
          <w:szCs w:val="31"/>
        </w:rPr>
        <w:t>主要是银行存款利息收入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5" w:line="299" w:lineRule="auto"/>
        <w:ind w:left="54" w:right="406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5. 使用非财政拨款结余：指事业单位使用以前年度积</w:t>
      </w:r>
      <w:r>
        <w:rPr>
          <w:rFonts w:ascii="仿宋" w:hAnsi="仿宋" w:eastAsia="仿宋" w:cs="仿宋"/>
          <w:spacing w:val="7"/>
          <w:sz w:val="31"/>
          <w:szCs w:val="31"/>
        </w:rPr>
        <w:t>累的非财政拨款结余弥补当年收支差额的金额。</w:t>
      </w:r>
    </w:p>
    <w:p>
      <w:pPr>
        <w:spacing w:before="239" w:line="300" w:lineRule="auto"/>
        <w:ind w:left="36" w:right="27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6.年初结转和结余：指以前年度尚未完成、结转到本年</w:t>
      </w:r>
      <w:r>
        <w:rPr>
          <w:rFonts w:ascii="仿宋" w:hAnsi="仿宋" w:eastAsia="仿宋" w:cs="仿宋"/>
          <w:spacing w:val="7"/>
          <w:sz w:val="31"/>
          <w:szCs w:val="31"/>
        </w:rPr>
        <w:t>按有关规定继续使用的资金。</w:t>
      </w:r>
    </w:p>
    <w:p>
      <w:pPr>
        <w:spacing w:before="240" w:line="297" w:lineRule="auto"/>
        <w:ind w:left="36" w:right="27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7.结余分配：指事业单位按照会计制度规定缴纳的所得</w:t>
      </w:r>
      <w:r>
        <w:rPr>
          <w:rFonts w:ascii="仿宋" w:hAnsi="仿宋" w:eastAsia="仿宋" w:cs="仿宋"/>
          <w:spacing w:val="8"/>
          <w:sz w:val="31"/>
          <w:szCs w:val="31"/>
        </w:rPr>
        <w:t>税、提取的专用结余以及转入非财政拨款结余的金额等。</w:t>
      </w:r>
    </w:p>
    <w:p>
      <w:pPr>
        <w:spacing w:before="248" w:line="299" w:lineRule="auto"/>
        <w:ind w:left="38" w:right="27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8.年末结转和结余：指单位按有关规定结转到下年或以</w:t>
      </w:r>
      <w:r>
        <w:rPr>
          <w:rFonts w:ascii="仿宋" w:hAnsi="仿宋" w:eastAsia="仿宋" w:cs="仿宋"/>
          <w:spacing w:val="6"/>
          <w:sz w:val="31"/>
          <w:szCs w:val="31"/>
        </w:rPr>
        <w:t>后年度继续使用的资金。</w:t>
      </w:r>
    </w:p>
    <w:p>
      <w:pPr>
        <w:spacing w:before="242" w:line="298" w:lineRule="auto"/>
        <w:ind w:left="36" w:right="1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9.一般公共服务（类）财政事务（款）行政运行（项）:</w:t>
      </w:r>
      <w:r>
        <w:rPr>
          <w:rFonts w:ascii="仿宋" w:hAnsi="仿宋" w:eastAsia="仿宋" w:cs="仿宋"/>
          <w:spacing w:val="7"/>
          <w:sz w:val="31"/>
          <w:szCs w:val="31"/>
        </w:rPr>
        <w:t>指行政单位（包括实行公务员管理的事业单位）的基本支出。</w:t>
      </w:r>
    </w:p>
    <w:p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431" w:right="1497" w:bottom="388" w:left="1785" w:header="0" w:footer="224" w:gutter="0"/>
          <w:cols w:space="720" w:num="1"/>
        </w:sectPr>
      </w:pPr>
    </w:p>
    <w:p>
      <w:pPr>
        <w:spacing w:before="63" w:line="323" w:lineRule="auto"/>
        <w:ind w:left="38" w:right="28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10.一般公共服务（类）财政事务（款）一般行政管理事</w:t>
      </w:r>
      <w:r>
        <w:rPr>
          <w:rFonts w:ascii="仿宋" w:hAnsi="仿宋" w:eastAsia="仿宋" w:cs="仿宋"/>
          <w:spacing w:val="8"/>
          <w:sz w:val="31"/>
          <w:szCs w:val="31"/>
        </w:rPr>
        <w:t>务（项）: 指行政单位（包括实行公务员管理的事业单位）</w:t>
      </w:r>
      <w:r>
        <w:rPr>
          <w:rFonts w:ascii="仿宋" w:hAnsi="仿宋" w:eastAsia="仿宋" w:cs="仿宋"/>
          <w:spacing w:val="7"/>
          <w:sz w:val="31"/>
          <w:szCs w:val="31"/>
        </w:rPr>
        <w:t>未单独设置项级科目的其他项目支出。</w:t>
      </w:r>
    </w:p>
    <w:p>
      <w:pPr>
        <w:spacing w:before="242" w:line="299" w:lineRule="auto"/>
        <w:ind w:left="36" w:right="28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11、一般公共服务（类）财政事务（款）信息化建设（</w:t>
      </w:r>
      <w:r>
        <w:rPr>
          <w:rFonts w:ascii="仿宋" w:hAnsi="仿宋" w:eastAsia="仿宋" w:cs="仿宋"/>
          <w:spacing w:val="-21"/>
          <w:sz w:val="31"/>
          <w:szCs w:val="31"/>
        </w:rPr>
        <w:t>项）:</w:t>
      </w:r>
      <w:r>
        <w:rPr>
          <w:rFonts w:ascii="仿宋" w:hAnsi="仿宋" w:eastAsia="仿宋" w:cs="仿宋"/>
          <w:spacing w:val="8"/>
          <w:sz w:val="31"/>
          <w:szCs w:val="31"/>
        </w:rPr>
        <w:t>指反映财政部门用于信息化建设方面的支出。</w:t>
      </w:r>
    </w:p>
    <w:p>
      <w:pPr>
        <w:spacing w:before="238" w:line="323" w:lineRule="auto"/>
        <w:ind w:left="36" w:right="28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12、一般公共服务（类）财政事务（款）财政委托业务</w:t>
      </w:r>
      <w:r>
        <w:rPr>
          <w:rFonts w:ascii="仿宋" w:hAnsi="仿宋" w:eastAsia="仿宋" w:cs="仿宋"/>
          <w:spacing w:val="9"/>
          <w:sz w:val="31"/>
          <w:szCs w:val="31"/>
        </w:rPr>
        <w:t>支出（项）: 指反映财政委托评审机构进行财政投资评审和</w:t>
      </w:r>
      <w:r>
        <w:rPr>
          <w:rFonts w:ascii="仿宋" w:hAnsi="仿宋" w:eastAsia="仿宋" w:cs="仿宋"/>
          <w:spacing w:val="8"/>
          <w:sz w:val="31"/>
          <w:szCs w:val="31"/>
        </w:rPr>
        <w:t>委托建设银行等机构代理业务发生的支出。</w:t>
      </w:r>
    </w:p>
    <w:p>
      <w:pPr>
        <w:spacing w:before="240" w:line="335" w:lineRule="auto"/>
        <w:ind w:left="36" w:right="28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13、一般公共服务（类）财政事务（款）事业运行（项）:</w:t>
      </w:r>
      <w:r>
        <w:rPr>
          <w:rFonts w:ascii="仿宋" w:hAnsi="仿宋" w:eastAsia="仿宋" w:cs="仿宋"/>
          <w:spacing w:val="9"/>
          <w:sz w:val="31"/>
          <w:szCs w:val="31"/>
        </w:rPr>
        <w:t>指反映事业单位的基本支出，不包括行政单位（包括实行公务员管理的事业单位）后勤服务中心、医务室等附属事业单</w:t>
      </w:r>
      <w:r>
        <w:rPr>
          <w:rFonts w:ascii="仿宋" w:hAnsi="仿宋" w:eastAsia="仿宋" w:cs="仿宋"/>
          <w:spacing w:val="-7"/>
          <w:sz w:val="31"/>
          <w:szCs w:val="31"/>
        </w:rPr>
        <w:t>位。</w:t>
      </w:r>
    </w:p>
    <w:p>
      <w:pPr>
        <w:spacing w:before="241" w:line="299" w:lineRule="auto"/>
        <w:ind w:left="36" w:right="293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14、一般公共服务（类）财政事务（款）其他财政事务支出（项）:指反映其他财政事务方面的支出。</w:t>
      </w:r>
    </w:p>
    <w:p>
      <w:pPr>
        <w:spacing w:before="239" w:line="299" w:lineRule="auto"/>
        <w:ind w:left="3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15、社会保障和就业（类）行政事业单位养老支出（款）</w:t>
      </w:r>
      <w:r>
        <w:rPr>
          <w:rFonts w:ascii="仿宋" w:hAnsi="仿宋" w:eastAsia="仿宋" w:cs="仿宋"/>
          <w:spacing w:val="9"/>
          <w:sz w:val="31"/>
          <w:szCs w:val="31"/>
        </w:rPr>
        <w:t>行政单位离退休（项）:指反映行政单位（包括实</w:t>
      </w:r>
      <w:r>
        <w:rPr>
          <w:rFonts w:ascii="仿宋" w:hAnsi="仿宋" w:eastAsia="仿宋" w:cs="仿宋"/>
          <w:spacing w:val="8"/>
          <w:sz w:val="31"/>
          <w:szCs w:val="31"/>
        </w:rPr>
        <w:t>行公务员</w:t>
      </w:r>
    </w:p>
    <w:p>
      <w:pPr>
        <w:spacing w:before="242" w:line="226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管理的事业单位）开支的离退休经费。</w:t>
      </w:r>
    </w:p>
    <w:p>
      <w:pPr>
        <w:spacing w:before="242" w:line="323" w:lineRule="auto"/>
        <w:ind w:left="36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16、社会保障和就业（类）行政事业单位养老支出（款）</w:t>
      </w:r>
      <w:r>
        <w:rPr>
          <w:rFonts w:ascii="仿宋" w:hAnsi="仿宋" w:eastAsia="仿宋" w:cs="仿宋"/>
          <w:spacing w:val="9"/>
          <w:sz w:val="31"/>
          <w:szCs w:val="31"/>
        </w:rPr>
        <w:t>机关事业单位基本养老保险缴费支出（项）: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指反映机关事</w:t>
      </w:r>
      <w:r>
        <w:rPr>
          <w:rFonts w:ascii="仿宋" w:hAnsi="仿宋" w:eastAsia="仿宋" w:cs="仿宋"/>
          <w:spacing w:val="7"/>
          <w:sz w:val="31"/>
          <w:szCs w:val="31"/>
        </w:rPr>
        <w:t>业单位实施养老保险制度由单位缴纳的基本养老保险费支出。</w:t>
      </w:r>
    </w:p>
    <w:p>
      <w:pPr>
        <w:spacing w:before="245" w:line="322" w:lineRule="auto"/>
        <w:ind w:left="36" w:right="309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17、社会保障和就业（类）行政事业单位养老支出（款）</w:t>
      </w:r>
      <w:r>
        <w:rPr>
          <w:rFonts w:ascii="仿宋" w:hAnsi="仿宋" w:eastAsia="仿宋" w:cs="仿宋"/>
          <w:spacing w:val="3"/>
          <w:sz w:val="31"/>
          <w:szCs w:val="31"/>
        </w:rPr>
        <w:t>机关事业单位职业年金缴费支出（项）: 指反映机关事业单</w:t>
      </w:r>
      <w:r>
        <w:rPr>
          <w:rFonts w:ascii="仿宋" w:hAnsi="仿宋" w:eastAsia="仿宋" w:cs="仿宋"/>
          <w:spacing w:val="8"/>
          <w:sz w:val="31"/>
          <w:szCs w:val="31"/>
        </w:rPr>
        <w:t>位实施养老保险制度由单位实际缴纳的职业年金支出。</w:t>
      </w:r>
    </w:p>
    <w:p>
      <w:pPr>
        <w:spacing w:line="322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422" w:right="1488" w:bottom="388" w:left="1785" w:header="0" w:footer="223" w:gutter="0"/>
          <w:cols w:space="720" w:num="1"/>
        </w:sectPr>
      </w:pPr>
    </w:p>
    <w:p>
      <w:pPr>
        <w:spacing w:before="63" w:line="342" w:lineRule="auto"/>
        <w:ind w:left="41" w:right="15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18、卫生健康支出（类）行政事业单位医疗（款）行政</w:t>
      </w:r>
      <w:r>
        <w:rPr>
          <w:rFonts w:ascii="仿宋" w:hAnsi="仿宋" w:eastAsia="仿宋" w:cs="仿宋"/>
          <w:spacing w:val="3"/>
          <w:sz w:val="31"/>
          <w:szCs w:val="31"/>
        </w:rPr>
        <w:t>单位医疗（项）:指反映财政部门安排的行政单位（包括实行</w:t>
      </w:r>
      <w:r>
        <w:rPr>
          <w:rFonts w:ascii="仿宋" w:hAnsi="仿宋" w:eastAsia="仿宋" w:cs="仿宋"/>
          <w:spacing w:val="9"/>
          <w:sz w:val="31"/>
          <w:szCs w:val="31"/>
        </w:rPr>
        <w:t>公务员管理的事业单位，下同）基本医疗保险缴费经费，未参加养老保险的行政单位的公费医疗经费，按国家规定享受</w:t>
      </w:r>
      <w:r>
        <w:rPr>
          <w:rFonts w:ascii="仿宋" w:hAnsi="仿宋" w:eastAsia="仿宋" w:cs="仿宋"/>
          <w:spacing w:val="8"/>
          <w:sz w:val="31"/>
          <w:szCs w:val="31"/>
        </w:rPr>
        <w:t>离休人员、红军老战士待遇人员的医疗经费。</w:t>
      </w:r>
    </w:p>
    <w:p>
      <w:pPr>
        <w:spacing w:before="245" w:line="334" w:lineRule="auto"/>
        <w:ind w:left="37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19、卫生健康支出（类）行政事业单位医疗（款）事业单</w:t>
      </w:r>
      <w:r>
        <w:rPr>
          <w:rFonts w:ascii="仿宋" w:hAnsi="仿宋" w:eastAsia="仿宋" w:cs="仿宋"/>
          <w:spacing w:val="3"/>
          <w:sz w:val="31"/>
          <w:szCs w:val="31"/>
        </w:rPr>
        <w:t>位医疗（项）: 指反映财政部门安排的事业单位基本医疗保险缴费经费，未参加医疗保险的事业单位的公费医疗经费，按国</w:t>
      </w:r>
      <w:r>
        <w:rPr>
          <w:rFonts w:ascii="仿宋" w:hAnsi="仿宋" w:eastAsia="仿宋" w:cs="仿宋"/>
          <w:spacing w:val="8"/>
          <w:sz w:val="31"/>
          <w:szCs w:val="31"/>
        </w:rPr>
        <w:t>家规定享受离休人员待遇的医疗经费。</w:t>
      </w:r>
    </w:p>
    <w:p>
      <w:pPr>
        <w:spacing w:before="241" w:line="324" w:lineRule="auto"/>
        <w:ind w:left="36" w:right="319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20、卫生健康支出（类）行政事业单位医疗</w:t>
      </w:r>
      <w:r>
        <w:rPr>
          <w:rFonts w:ascii="仿宋" w:hAnsi="仿宋" w:eastAsia="仿宋" w:cs="仿宋"/>
          <w:spacing w:val="2"/>
          <w:sz w:val="31"/>
          <w:szCs w:val="31"/>
        </w:rPr>
        <w:t>（款）公务</w:t>
      </w:r>
      <w:r>
        <w:rPr>
          <w:rFonts w:ascii="仿宋" w:hAnsi="仿宋" w:eastAsia="仿宋" w:cs="仿宋"/>
          <w:spacing w:val="9"/>
          <w:sz w:val="31"/>
          <w:szCs w:val="31"/>
        </w:rPr>
        <w:t>员医疗补助（项）:指反映财政部门安排的公务员医疗补助</w:t>
      </w:r>
      <w:r>
        <w:rPr>
          <w:rFonts w:ascii="仿宋" w:hAnsi="仿宋" w:eastAsia="仿宋" w:cs="仿宋"/>
          <w:spacing w:val="-1"/>
          <w:sz w:val="31"/>
          <w:szCs w:val="31"/>
        </w:rPr>
        <w:t>经费。</w:t>
      </w:r>
    </w:p>
    <w:p>
      <w:pPr>
        <w:spacing w:before="237" w:line="335" w:lineRule="auto"/>
        <w:ind w:left="44" w:right="319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21、城乡社区支出（类）国有土地使用权出让收</w:t>
      </w:r>
      <w:r>
        <w:rPr>
          <w:rFonts w:ascii="仿宋" w:hAnsi="仿宋" w:eastAsia="仿宋" w:cs="仿宋"/>
          <w:spacing w:val="2"/>
          <w:sz w:val="31"/>
          <w:szCs w:val="31"/>
        </w:rPr>
        <w:t>入安排</w:t>
      </w:r>
      <w:r>
        <w:rPr>
          <w:rFonts w:ascii="仿宋" w:hAnsi="仿宋" w:eastAsia="仿宋" w:cs="仿宋"/>
          <w:spacing w:val="9"/>
          <w:sz w:val="31"/>
          <w:szCs w:val="31"/>
        </w:rPr>
        <w:t>的支出（款）土地开发支出（项）:指反映新疆生产</w:t>
      </w:r>
      <w:r>
        <w:rPr>
          <w:rFonts w:ascii="仿宋" w:hAnsi="仿宋" w:eastAsia="仿宋" w:cs="仿宋"/>
          <w:spacing w:val="8"/>
          <w:sz w:val="31"/>
          <w:szCs w:val="31"/>
        </w:rPr>
        <w:t>建设兵</w:t>
      </w:r>
      <w:r>
        <w:rPr>
          <w:rFonts w:ascii="仿宋" w:hAnsi="仿宋" w:eastAsia="仿宋" w:cs="仿宋"/>
          <w:spacing w:val="15"/>
          <w:sz w:val="31"/>
          <w:szCs w:val="31"/>
        </w:rPr>
        <w:t>团和地方政府用于前期土地开发性支出以及与前期土地开</w:t>
      </w:r>
      <w:r>
        <w:rPr>
          <w:rFonts w:ascii="仿宋" w:hAnsi="仿宋" w:eastAsia="仿宋" w:cs="仿宋"/>
          <w:spacing w:val="5"/>
          <w:sz w:val="31"/>
          <w:szCs w:val="31"/>
        </w:rPr>
        <w:t>发相关的费用等支出。</w:t>
      </w:r>
    </w:p>
    <w:p>
      <w:pPr>
        <w:spacing w:before="241" w:line="298" w:lineRule="auto"/>
        <w:ind w:left="36" w:right="17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22、住房保障支出（类）住房改革支出（款）</w:t>
      </w:r>
      <w:r>
        <w:rPr>
          <w:rFonts w:ascii="仿宋" w:hAnsi="仿宋" w:eastAsia="仿宋" w:cs="仿宋"/>
          <w:spacing w:val="8"/>
          <w:sz w:val="31"/>
          <w:szCs w:val="31"/>
        </w:rPr>
        <w:t>住房公积金（项）:指反映行政事业单位按人力资源和社会保障部、</w:t>
      </w:r>
    </w:p>
    <w:p>
      <w:pPr>
        <w:spacing w:before="242" w:line="299" w:lineRule="auto"/>
        <w:ind w:left="39" w:right="4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财政部规定的基本工资和津贴补贴以及规定比例为职</w:t>
      </w:r>
      <w:r>
        <w:rPr>
          <w:rFonts w:ascii="仿宋" w:hAnsi="仿宋" w:eastAsia="仿宋" w:cs="仿宋"/>
          <w:spacing w:val="8"/>
          <w:sz w:val="31"/>
          <w:szCs w:val="31"/>
        </w:rPr>
        <w:t>工缴</w:t>
      </w:r>
      <w:r>
        <w:rPr>
          <w:rFonts w:ascii="仿宋" w:hAnsi="仿宋" w:eastAsia="仿宋" w:cs="仿宋"/>
          <w:spacing w:val="5"/>
          <w:sz w:val="31"/>
          <w:szCs w:val="31"/>
        </w:rPr>
        <w:t>纳的住房公积金。</w:t>
      </w:r>
    </w:p>
    <w:p>
      <w:pPr>
        <w:spacing w:before="243" w:line="224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23.基本支出：指为保障机构正常运转、完成日常工作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2" w:line="229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0" w:h="16840"/>
          <w:pgMar w:top="1422" w:right="1611" w:bottom="388" w:left="1785" w:header="0" w:footer="224" w:gutter="0"/>
          <w:cols w:space="720" w:num="1"/>
        </w:sectPr>
      </w:pPr>
    </w:p>
    <w:p>
      <w:pPr>
        <w:spacing w:before="65" w:line="299" w:lineRule="auto"/>
        <w:ind w:left="36" w:right="445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24.项目支出：指在基本支出之外为完成特定行政任务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>
      <w:pPr>
        <w:spacing w:before="236" w:line="353" w:lineRule="auto"/>
        <w:ind w:left="36" w:right="27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25.“三公”经费：指部门用财政拨款安排的因公出国</w:t>
      </w:r>
      <w:r>
        <w:rPr>
          <w:rFonts w:ascii="仿宋" w:hAnsi="仿宋" w:eastAsia="仿宋" w:cs="仿宋"/>
          <w:spacing w:val="3"/>
          <w:sz w:val="31"/>
          <w:szCs w:val="31"/>
        </w:rPr>
        <w:t>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</w:t>
      </w:r>
      <w:r>
        <w:rPr>
          <w:rFonts w:ascii="仿宋" w:hAnsi="仿宋" w:eastAsia="仿宋" w:cs="仿宋"/>
          <w:spacing w:val="-5"/>
          <w:sz w:val="31"/>
          <w:szCs w:val="31"/>
        </w:rPr>
        <w:t>税）及租用费、燃料费、维修费、过路过桥费、保险费等支出；</w:t>
      </w:r>
      <w:r>
        <w:rPr>
          <w:rFonts w:ascii="仿宋" w:hAnsi="仿宋" w:eastAsia="仿宋" w:cs="仿宋"/>
          <w:spacing w:val="15"/>
          <w:sz w:val="31"/>
          <w:szCs w:val="31"/>
        </w:rPr>
        <w:t>公务接待费反映单位按规定开支的各类公务接待（含外宾接</w:t>
      </w:r>
      <w:r>
        <w:rPr>
          <w:rFonts w:ascii="仿宋" w:hAnsi="仿宋" w:eastAsia="仿宋" w:cs="仿宋"/>
          <w:spacing w:val="3"/>
          <w:sz w:val="31"/>
          <w:szCs w:val="31"/>
        </w:rPr>
        <w:t>待）支出。</w:t>
      </w:r>
    </w:p>
    <w:p>
      <w:pPr>
        <w:spacing w:before="246" w:line="341" w:lineRule="auto"/>
        <w:ind w:left="38" w:firstLine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26.机关运行经费：为保障行政单位（含参照公务员法管</w:t>
      </w:r>
      <w:r>
        <w:rPr>
          <w:rFonts w:ascii="仿宋" w:hAnsi="仿宋" w:eastAsia="仿宋" w:cs="仿宋"/>
          <w:spacing w:val="3"/>
          <w:sz w:val="31"/>
          <w:szCs w:val="31"/>
        </w:rPr>
        <w:t>理的事业单位）运行用于购买货物和服务的各项资金，包括办</w:t>
      </w:r>
      <w:r>
        <w:rPr>
          <w:rFonts w:ascii="仿宋" w:hAnsi="仿宋" w:eastAsia="仿宋" w:cs="仿宋"/>
          <w:spacing w:val="-4"/>
          <w:sz w:val="31"/>
          <w:szCs w:val="31"/>
        </w:rPr>
        <w:t>公及印刷费、邮电费、差旅费、会议费、福利费、日常维修费、</w:t>
      </w:r>
      <w:r>
        <w:rPr>
          <w:rFonts w:ascii="仿宋" w:hAnsi="仿宋" w:eastAsia="仿宋" w:cs="仿宋"/>
          <w:spacing w:val="3"/>
          <w:sz w:val="31"/>
          <w:szCs w:val="31"/>
        </w:rPr>
        <w:t>专用材料及一般设备购置费、办公用房水电费、办公用房取暖</w:t>
      </w:r>
      <w:r>
        <w:rPr>
          <w:rFonts w:ascii="仿宋" w:hAnsi="仿宋" w:eastAsia="仿宋" w:cs="仿宋"/>
          <w:spacing w:val="-4"/>
          <w:sz w:val="31"/>
          <w:szCs w:val="31"/>
        </w:rPr>
        <w:t>费、办公用房物业管理费、公务用车运行维护费以及其他费用。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00" w:line="299" w:lineRule="auto"/>
        <w:ind w:left="49" w:right="3320" w:firstLine="32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第四部分</w:t>
      </w:r>
      <w:r>
        <w:rPr>
          <w:rFonts w:ascii="仿宋" w:hAnsi="仿宋" w:eastAsia="仿宋" w:cs="仿宋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附件</w:t>
      </w:r>
      <w:r>
        <w:rPr>
          <w:rFonts w:ascii="仿宋" w:hAnsi="仿宋" w:eastAsia="仿宋" w:cs="仿宋"/>
          <w:spacing w:val="-9"/>
          <w:sz w:val="31"/>
          <w:szCs w:val="31"/>
        </w:rPr>
        <w:t>附件</w:t>
      </w:r>
    </w:p>
    <w:p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0" w:h="16840"/>
          <w:pgMar w:top="1422" w:right="1497" w:bottom="388" w:left="1785" w:header="0" w:footer="224" w:gutter="0"/>
          <w:cols w:space="720" w:num="1"/>
        </w:sectPr>
      </w:pPr>
    </w:p>
    <w:p>
      <w:pPr>
        <w:spacing w:before="90" w:line="223" w:lineRule="auto"/>
        <w:ind w:left="470"/>
        <w:rPr>
          <w:rFonts w:ascii="仿宋" w:hAnsi="仿宋" w:eastAsia="仿宋" w:cs="仿宋"/>
          <w:sz w:val="43"/>
          <w:szCs w:val="43"/>
        </w:rPr>
      </w:pPr>
      <w:bookmarkStart w:id="20" w:name="bookmark41"/>
      <w:bookmarkEnd w:id="20"/>
      <w:r>
        <w:rPr>
          <w:rFonts w:ascii="仿宋" w:hAnsi="仿宋" w:eastAsia="仿宋" w:cs="仿宋"/>
          <w:b/>
          <w:bCs/>
          <w:spacing w:val="2"/>
          <w:sz w:val="43"/>
          <w:szCs w:val="43"/>
        </w:rPr>
        <w:t>2021</w:t>
      </w:r>
      <w:r>
        <w:rPr>
          <w:rFonts w:ascii="仿宋" w:hAnsi="仿宋" w:eastAsia="仿宋" w:cs="仿宋"/>
          <w:spacing w:val="-49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43"/>
          <w:szCs w:val="43"/>
        </w:rPr>
        <w:t>年攀枝花市东区财政国库支付中心</w:t>
      </w:r>
    </w:p>
    <w:p>
      <w:pPr>
        <w:spacing w:before="334" w:line="226" w:lineRule="auto"/>
        <w:ind w:left="2081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4"/>
          <w:sz w:val="43"/>
          <w:szCs w:val="43"/>
        </w:rPr>
        <w:t>整体支出绩效评价报告</w:t>
      </w: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一、部门概况</w:t>
      </w:r>
    </w:p>
    <w:p>
      <w:pPr>
        <w:spacing w:before="239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（一）机构组成。</w:t>
      </w:r>
    </w:p>
    <w:p>
      <w:pPr>
        <w:spacing w:before="311" w:line="371" w:lineRule="auto"/>
        <w:ind w:left="177" w:right="2" w:firstLine="7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攀枝花市东区财政国库支付中心属于二级预算单位，隶</w:t>
      </w:r>
      <w:r>
        <w:rPr>
          <w:rFonts w:ascii="仿宋" w:hAnsi="仿宋" w:eastAsia="仿宋" w:cs="仿宋"/>
          <w:spacing w:val="5"/>
          <w:sz w:val="31"/>
          <w:szCs w:val="31"/>
        </w:rPr>
        <w:t>属于东区财政局。</w:t>
      </w:r>
    </w:p>
    <w:p>
      <w:pPr>
        <w:spacing w:line="227" w:lineRule="auto"/>
        <w:ind w:left="3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（二）机构职能。</w:t>
      </w:r>
    </w:p>
    <w:p>
      <w:pPr>
        <w:spacing w:before="242" w:line="323" w:lineRule="auto"/>
        <w:ind w:left="36" w:right="2" w:firstLine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1、配合业务科室管理区级国库单一账户体系，按照规定</w:t>
      </w:r>
      <w:r>
        <w:rPr>
          <w:rFonts w:ascii="仿宋" w:hAnsi="仿宋" w:eastAsia="仿宋" w:cs="仿宋"/>
          <w:spacing w:val="3"/>
          <w:sz w:val="31"/>
          <w:szCs w:val="31"/>
        </w:rPr>
        <w:t>程序为预算单位开设零余额账户，负责相关会计核算，编报会</w:t>
      </w:r>
      <w:r>
        <w:rPr>
          <w:rFonts w:ascii="仿宋" w:hAnsi="仿宋" w:eastAsia="仿宋" w:cs="仿宋"/>
          <w:spacing w:val="2"/>
          <w:sz w:val="31"/>
          <w:szCs w:val="31"/>
        </w:rPr>
        <w:t>计报表。</w:t>
      </w:r>
    </w:p>
    <w:p>
      <w:pPr>
        <w:spacing w:before="242" w:line="299" w:lineRule="auto"/>
        <w:ind w:left="3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2、根据批复的预算单位资金款计划，具体办理财政支付</w:t>
      </w:r>
      <w:r>
        <w:rPr>
          <w:rFonts w:ascii="仿宋" w:hAnsi="仿宋" w:eastAsia="仿宋" w:cs="仿宋"/>
          <w:spacing w:val="-1"/>
          <w:sz w:val="31"/>
          <w:szCs w:val="31"/>
        </w:rPr>
        <w:t>业务。</w:t>
      </w:r>
    </w:p>
    <w:p>
      <w:pPr>
        <w:spacing w:before="238" w:line="299" w:lineRule="auto"/>
        <w:ind w:left="3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3、建立财政资金汇总和财政资金清算管理系统，处理预</w:t>
      </w:r>
      <w:r>
        <w:rPr>
          <w:rFonts w:ascii="仿宋" w:hAnsi="仿宋" w:eastAsia="仿宋" w:cs="仿宋"/>
          <w:spacing w:val="8"/>
          <w:sz w:val="31"/>
          <w:szCs w:val="31"/>
        </w:rPr>
        <w:t>算单位的支出信息及其他经济信息。</w:t>
      </w:r>
    </w:p>
    <w:p>
      <w:pPr>
        <w:spacing w:before="240" w:line="299" w:lineRule="auto"/>
        <w:ind w:left="37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4、定期与业务科室、代理银行、预算单位核对</w:t>
      </w:r>
      <w:r>
        <w:rPr>
          <w:rFonts w:ascii="仿宋" w:hAnsi="仿宋" w:eastAsia="仿宋" w:cs="仿宋"/>
          <w:spacing w:val="9"/>
          <w:sz w:val="31"/>
          <w:szCs w:val="31"/>
        </w:rPr>
        <w:t>账务，提</w:t>
      </w:r>
      <w:r>
        <w:rPr>
          <w:rFonts w:ascii="仿宋" w:hAnsi="仿宋" w:eastAsia="仿宋" w:cs="仿宋"/>
          <w:spacing w:val="8"/>
          <w:sz w:val="31"/>
          <w:szCs w:val="31"/>
        </w:rPr>
        <w:t>供财政资金支付和清算信息，报告财政资金支付情况。</w:t>
      </w:r>
    </w:p>
    <w:p>
      <w:pPr>
        <w:spacing w:before="243" w:line="227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5、审核、汇总区本级部门决算。</w:t>
      </w:r>
    </w:p>
    <w:p>
      <w:pPr>
        <w:spacing w:before="239" w:line="299" w:lineRule="auto"/>
        <w:ind w:left="3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6、管理区级财政直发工资账户、办理区级预算单位工资</w:t>
      </w:r>
      <w:r>
        <w:rPr>
          <w:rFonts w:ascii="仿宋" w:hAnsi="仿宋" w:eastAsia="仿宋" w:cs="仿宋"/>
          <w:spacing w:val="6"/>
          <w:sz w:val="31"/>
          <w:szCs w:val="31"/>
        </w:rPr>
        <w:t>及离退休费的直接支付。</w:t>
      </w:r>
    </w:p>
    <w:p>
      <w:pPr>
        <w:spacing w:before="243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（三）人员概况。</w:t>
      </w:r>
    </w:p>
    <w:p>
      <w:pPr>
        <w:spacing w:before="239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东区财政国库支付中心，叁公编制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人，截至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2021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0" w:h="16840"/>
          <w:pgMar w:top="1417" w:right="1608" w:bottom="388" w:left="1785" w:header="0" w:footer="223" w:gutter="0"/>
          <w:cols w:space="720" w:num="1"/>
        </w:sectPr>
      </w:pPr>
    </w:p>
    <w:p>
      <w:pPr>
        <w:spacing w:before="64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12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31 日，实有参公人员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人，退休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人。</w:t>
      </w:r>
    </w:p>
    <w:p>
      <w:pPr>
        <w:spacing w:before="243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二、单位财政资金收支情况</w:t>
      </w:r>
    </w:p>
    <w:p>
      <w:pPr>
        <w:spacing w:before="244" w:line="226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（一）单位财政资金收入情况。</w:t>
      </w:r>
    </w:p>
    <w:p>
      <w:pPr>
        <w:spacing w:before="241" w:line="372" w:lineRule="auto"/>
        <w:ind w:left="38" w:right="139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2021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年攀枝花市东区财政国库支付中心财政拨款收入</w:t>
      </w:r>
      <w:r>
        <w:rPr>
          <w:rFonts w:ascii="仿宋" w:hAnsi="仿宋" w:eastAsia="仿宋" w:cs="仿宋"/>
          <w:spacing w:val="9"/>
          <w:sz w:val="31"/>
          <w:szCs w:val="31"/>
        </w:rPr>
        <w:t>总额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263.50 万元，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其中：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一般公共预算拨款收入</w:t>
      </w:r>
      <w:r>
        <w:rPr>
          <w:rFonts w:ascii="仿宋" w:hAnsi="仿宋" w:eastAsia="仿宋" w:cs="仿宋"/>
          <w:spacing w:val="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263.50</w:t>
      </w:r>
      <w:r>
        <w:rPr>
          <w:rFonts w:ascii="仿宋" w:hAnsi="仿宋" w:eastAsia="仿宋" w:cs="仿宋"/>
          <w:spacing w:val="8"/>
          <w:sz w:val="31"/>
          <w:szCs w:val="31"/>
        </w:rPr>
        <w:t>万元,政府性基金预算拨款收入 0 万元，其</w:t>
      </w:r>
      <w:r>
        <w:rPr>
          <w:rFonts w:ascii="仿宋" w:hAnsi="仿宋" w:eastAsia="仿宋" w:cs="仿宋"/>
          <w:spacing w:val="7"/>
          <w:sz w:val="31"/>
          <w:szCs w:val="31"/>
        </w:rPr>
        <w:t>他收入 0.01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</w:t>
      </w:r>
      <w:r>
        <w:rPr>
          <w:rFonts w:ascii="仿宋" w:hAnsi="仿宋" w:eastAsia="仿宋" w:cs="仿宋"/>
          <w:spacing w:val="-8"/>
          <w:sz w:val="31"/>
          <w:szCs w:val="31"/>
        </w:rPr>
        <w:t>元。</w: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1" w:line="226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（二）单位财政资金支出情况。</w:t>
      </w:r>
    </w:p>
    <w:p>
      <w:pPr>
        <w:spacing w:before="244" w:line="371" w:lineRule="auto"/>
        <w:ind w:left="36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攀枝花市东区财政国库支付中心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年一般公共预算财</w:t>
      </w:r>
      <w:r>
        <w:rPr>
          <w:rFonts w:ascii="仿宋" w:hAnsi="仿宋" w:eastAsia="仿宋" w:cs="仿宋"/>
          <w:spacing w:val="2"/>
          <w:sz w:val="31"/>
          <w:szCs w:val="31"/>
        </w:rPr>
        <w:t>政拨款支出 263.50 万元，与 2020</w:t>
      </w:r>
      <w:r>
        <w:rPr>
          <w:rFonts w:ascii="仿宋" w:hAnsi="仿宋" w:eastAsia="仿宋" w:cs="仿宋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年相比，财政拨款支</w:t>
      </w:r>
      <w:r>
        <w:rPr>
          <w:rFonts w:ascii="仿宋" w:hAnsi="仿宋" w:eastAsia="仿宋" w:cs="仿宋"/>
          <w:spacing w:val="1"/>
          <w:sz w:val="31"/>
          <w:szCs w:val="31"/>
        </w:rPr>
        <w:t>出减</w:t>
      </w:r>
      <w:r>
        <w:rPr>
          <w:rFonts w:ascii="仿宋" w:hAnsi="仿宋" w:eastAsia="仿宋" w:cs="仿宋"/>
          <w:sz w:val="31"/>
          <w:szCs w:val="31"/>
        </w:rPr>
        <w:t>少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0.43%。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371" w:lineRule="auto"/>
        <w:ind w:left="29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攀枝花市东区财政国库支付中心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2021 年财政拨款基本</w:t>
      </w:r>
      <w:r>
        <w:rPr>
          <w:rFonts w:ascii="仿宋" w:hAnsi="仿宋" w:eastAsia="仿宋" w:cs="仿宋"/>
          <w:spacing w:val="8"/>
          <w:sz w:val="31"/>
          <w:szCs w:val="31"/>
        </w:rPr>
        <w:t>支出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260.21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占支出总额的 98.75%，其中：</w:t>
      </w:r>
      <w:r>
        <w:rPr>
          <w:rFonts w:ascii="仿宋" w:hAnsi="仿宋" w:eastAsia="仿宋" w:cs="仿宋"/>
          <w:spacing w:val="7"/>
          <w:sz w:val="31"/>
          <w:szCs w:val="31"/>
        </w:rPr>
        <w:t>人员经费</w:t>
      </w:r>
      <w:r>
        <w:rPr>
          <w:rFonts w:ascii="仿宋" w:hAnsi="仿宋" w:eastAsia="仿宋" w:cs="仿宋"/>
          <w:spacing w:val="5"/>
          <w:sz w:val="31"/>
          <w:szCs w:val="31"/>
        </w:rPr>
        <w:t>239.96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比上年减少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0.13%，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日常公用经费支出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20.24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比上年减少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0.29%。</w:t>
      </w:r>
    </w:p>
    <w:p>
      <w:pPr>
        <w:pStyle w:val="2"/>
        <w:spacing w:line="259" w:lineRule="auto"/>
      </w:pPr>
    </w:p>
    <w:p>
      <w:pPr>
        <w:pStyle w:val="2"/>
        <w:spacing w:line="260" w:lineRule="auto"/>
      </w:pPr>
    </w:p>
    <w:p>
      <w:pPr>
        <w:spacing w:before="102" w:line="371" w:lineRule="auto"/>
        <w:ind w:left="36" w:right="218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攀枝花市东区财政国库支付中心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2021 </w:t>
      </w:r>
      <w:r>
        <w:rPr>
          <w:rFonts w:ascii="仿宋" w:hAnsi="仿宋" w:eastAsia="仿宋" w:cs="仿宋"/>
          <w:spacing w:val="8"/>
          <w:sz w:val="31"/>
          <w:szCs w:val="31"/>
        </w:rPr>
        <w:t>年财政拨款项目</w:t>
      </w:r>
      <w:r>
        <w:rPr>
          <w:rFonts w:ascii="仿宋" w:hAnsi="仿宋" w:eastAsia="仿宋" w:cs="仿宋"/>
          <w:sz w:val="31"/>
          <w:szCs w:val="31"/>
        </w:rPr>
        <w:t>支出 3.29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占支出总额的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1.25%。比上年减少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0.89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元，减少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21.29%。</w:t>
      </w:r>
    </w:p>
    <w:p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900" w:h="16840"/>
          <w:pgMar w:top="1422" w:right="1611" w:bottom="388" w:left="1785" w:header="0" w:footer="224" w:gutter="0"/>
          <w:cols w:space="720" w:num="1"/>
        </w:sectPr>
      </w:pPr>
    </w:p>
    <w:p>
      <w:pPr>
        <w:spacing w:before="62" w:line="371" w:lineRule="auto"/>
        <w:ind w:left="36" w:right="78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三、部门整体预算绩效管理情况（涉及有</w:t>
      </w:r>
      <w:r>
        <w:rPr>
          <w:rFonts w:ascii="仿宋" w:hAnsi="仿宋" w:eastAsia="仿宋" w:cs="仿宋"/>
          <w:spacing w:val="2"/>
          <w:sz w:val="31"/>
          <w:szCs w:val="31"/>
        </w:rPr>
        <w:t>专项预算的部</w:t>
      </w:r>
      <w:r>
        <w:rPr>
          <w:rFonts w:ascii="仿宋" w:hAnsi="仿宋" w:eastAsia="仿宋" w:cs="仿宋"/>
          <w:spacing w:val="3"/>
          <w:sz w:val="31"/>
          <w:szCs w:val="31"/>
        </w:rPr>
        <w:t>门，专项预算项目自评报告作为附件报送；特定目标类部门预</w:t>
      </w:r>
      <w:r>
        <w:rPr>
          <w:rFonts w:ascii="仿宋" w:hAnsi="仿宋" w:eastAsia="仿宋" w:cs="仿宋"/>
          <w:spacing w:val="8"/>
          <w:sz w:val="31"/>
          <w:szCs w:val="31"/>
        </w:rPr>
        <w:t>算项目绩效目标自评表作为附表报送）</w:t>
      </w:r>
    </w:p>
    <w:p>
      <w:pPr>
        <w:spacing w:before="1" w:line="222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部门预算项目绩效管理</w:t>
      </w: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spacing w:before="101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1.部门绩效目标制定.</w:t>
      </w:r>
    </w:p>
    <w:p>
      <w:pPr>
        <w:spacing w:before="233" w:line="371" w:lineRule="auto"/>
        <w:ind w:left="7" w:firstLine="6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0"/>
          <w:szCs w:val="30"/>
        </w:rPr>
        <w:t>按照“谁申请资金、谁设置目</w:t>
      </w:r>
      <w:r>
        <w:rPr>
          <w:rFonts w:ascii="仿宋" w:hAnsi="仿宋" w:eastAsia="仿宋" w:cs="仿宋"/>
          <w:spacing w:val="10"/>
          <w:sz w:val="31"/>
          <w:szCs w:val="31"/>
        </w:rPr>
        <w:t>标”的要求，我中心</w:t>
      </w:r>
      <w:r>
        <w:rPr>
          <w:rFonts w:ascii="仿宋" w:hAnsi="仿宋" w:eastAsia="仿宋" w:cs="仿宋"/>
          <w:spacing w:val="9"/>
          <w:sz w:val="31"/>
          <w:szCs w:val="31"/>
        </w:rPr>
        <w:t>牢固树</w:t>
      </w:r>
      <w:r>
        <w:rPr>
          <w:rFonts w:ascii="仿宋" w:hAnsi="仿宋" w:eastAsia="仿宋" w:cs="仿宋"/>
          <w:spacing w:val="4"/>
          <w:sz w:val="31"/>
          <w:szCs w:val="31"/>
        </w:rPr>
        <w:t>立绩效理念，将绩效目标作为预算安排的前置条件硬化绩效目</w:t>
      </w:r>
      <w:r>
        <w:rPr>
          <w:rFonts w:ascii="仿宋" w:hAnsi="仿宋" w:eastAsia="仿宋" w:cs="仿宋"/>
          <w:spacing w:val="-7"/>
          <w:sz w:val="31"/>
          <w:szCs w:val="31"/>
        </w:rPr>
        <w:t>标约束，绩效目标和部门预算一起编制。收入上，严格执行“收</w:t>
      </w:r>
      <w:r>
        <w:rPr>
          <w:rFonts w:ascii="仿宋" w:hAnsi="仿宋" w:eastAsia="仿宋" w:cs="仿宋"/>
          <w:spacing w:val="7"/>
          <w:sz w:val="31"/>
          <w:szCs w:val="31"/>
        </w:rPr>
        <w:t>支两条线”管理制度，按规定使用罚没票据并直接缴入国库，</w:t>
      </w:r>
      <w:r>
        <w:rPr>
          <w:rFonts w:ascii="仿宋" w:hAnsi="仿宋" w:eastAsia="仿宋" w:cs="仿宋"/>
          <w:spacing w:val="16"/>
          <w:sz w:val="31"/>
          <w:szCs w:val="31"/>
        </w:rPr>
        <w:t>无隐瞒收入和其他违反国家收费管理规定的行为。支出管理</w:t>
      </w:r>
      <w:r>
        <w:rPr>
          <w:rFonts w:ascii="仿宋" w:hAnsi="仿宋" w:eastAsia="仿宋" w:cs="仿宋"/>
          <w:spacing w:val="4"/>
          <w:sz w:val="31"/>
          <w:szCs w:val="31"/>
        </w:rPr>
        <w:t>中，认真执行国库集中支付、政府采购、公务卡报销、重点工作和大额支付上会集体决策等相关财务管理制度。进一步完善“三公”经费管理制度和审核程序，严格控制“三公”经费支出。根据执行进度对基本支出按照月度均衡原则、项目支出按实际需要及时申报，确保足额支出安排，保证了部门的正常运</w:t>
      </w:r>
      <w:r>
        <w:rPr>
          <w:rFonts w:ascii="仿宋" w:hAnsi="仿宋" w:eastAsia="仿宋" w:cs="仿宋"/>
          <w:spacing w:val="9"/>
          <w:sz w:val="31"/>
          <w:szCs w:val="31"/>
        </w:rPr>
        <w:t>行和专项工作任务的顺利开展。</w:t>
      </w:r>
    </w:p>
    <w:p>
      <w:pPr>
        <w:pStyle w:val="2"/>
        <w:spacing w:line="244" w:lineRule="auto"/>
      </w:pPr>
    </w:p>
    <w:p>
      <w:pPr>
        <w:spacing w:before="101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2.绩效目标实现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01" w:line="371" w:lineRule="auto"/>
        <w:ind w:left="46" w:right="236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攀枝花市东区财政国库支付中心不断加强机关各项工作管理，加强项目经费支出绩效考核，从严从紧控制和节约经</w:t>
      </w:r>
      <w:r>
        <w:rPr>
          <w:rFonts w:ascii="仿宋" w:hAnsi="仿宋" w:eastAsia="仿宋" w:cs="仿宋"/>
          <w:spacing w:val="7"/>
          <w:sz w:val="31"/>
          <w:szCs w:val="31"/>
        </w:rPr>
        <w:t>费支出，确保各项工作任务的顺利完成。</w:t>
      </w:r>
    </w:p>
    <w:p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00" w:h="16840"/>
          <w:pgMar w:top="1422" w:right="1533" w:bottom="388" w:left="1785" w:header="0" w:footer="224" w:gutter="0"/>
          <w:cols w:space="720" w:num="1"/>
        </w:sectPr>
      </w:pPr>
    </w:p>
    <w:p>
      <w:pPr>
        <w:spacing w:before="66" w:line="335" w:lineRule="auto"/>
        <w:ind w:left="39" w:right="78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（1）加大非税收入征收。严格执行《四川省非税收入征</w:t>
      </w:r>
      <w:r>
        <w:rPr>
          <w:rFonts w:ascii="仿宋" w:hAnsi="仿宋" w:eastAsia="仿宋" w:cs="仿宋"/>
          <w:spacing w:val="3"/>
          <w:sz w:val="31"/>
          <w:szCs w:val="31"/>
        </w:rPr>
        <w:t>收管理条例》，按照规定的项目、标准、方式执行非税收入政策。认真做好各项征缴工作，确保非税收入规范、有序，依法</w:t>
      </w:r>
      <w:r>
        <w:rPr>
          <w:rFonts w:ascii="仿宋" w:hAnsi="仿宋" w:eastAsia="仿宋" w:cs="仿宋"/>
          <w:spacing w:val="6"/>
          <w:sz w:val="31"/>
          <w:szCs w:val="31"/>
        </w:rPr>
        <w:t>收缴，及时、足额缴入。</w:t>
      </w:r>
    </w:p>
    <w:p>
      <w:pPr>
        <w:pStyle w:val="2"/>
      </w:pPr>
    </w:p>
    <w:p>
      <w:pPr>
        <w:pStyle w:val="2"/>
      </w:pPr>
    </w:p>
    <w:p>
      <w:pPr>
        <w:spacing w:before="98" w:line="335" w:lineRule="auto"/>
        <w:ind w:left="36" w:right="21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0"/>
          <w:szCs w:val="30"/>
        </w:rPr>
        <w:t>（2）加强政府采购管理。严格执行《政府采购法》，编制</w:t>
      </w:r>
      <w:r>
        <w:rPr>
          <w:rFonts w:ascii="仿宋" w:hAnsi="仿宋" w:eastAsia="仿宋" w:cs="仿宋"/>
          <w:spacing w:val="8"/>
          <w:sz w:val="30"/>
          <w:szCs w:val="30"/>
        </w:rPr>
        <w:t>政府采购计划，将采购项目全部纳入部门预算管理。严格按政</w:t>
      </w:r>
      <w:r>
        <w:rPr>
          <w:rFonts w:ascii="仿宋" w:hAnsi="仿宋" w:eastAsia="仿宋" w:cs="仿宋"/>
          <w:spacing w:val="4"/>
          <w:sz w:val="30"/>
          <w:szCs w:val="30"/>
        </w:rPr>
        <w:t>府采购预算实施采购计划，确保采购流</w:t>
      </w:r>
      <w:r>
        <w:rPr>
          <w:rFonts w:ascii="仿宋" w:hAnsi="仿宋" w:eastAsia="仿宋" w:cs="仿宋"/>
          <w:spacing w:val="4"/>
          <w:sz w:val="31"/>
          <w:szCs w:val="31"/>
        </w:rPr>
        <w:t>程合理合规，采购信息</w:t>
      </w:r>
      <w:r>
        <w:rPr>
          <w:rFonts w:ascii="仿宋" w:hAnsi="仿宋" w:eastAsia="仿宋" w:cs="仿宋"/>
          <w:spacing w:val="7"/>
          <w:sz w:val="31"/>
          <w:szCs w:val="31"/>
        </w:rPr>
        <w:t>公示公开，严把质量关力求实效。</w:t>
      </w:r>
    </w:p>
    <w:p>
      <w:pPr>
        <w:spacing w:before="238" w:line="335" w:lineRule="auto"/>
        <w:ind w:left="3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（3）加强固定资产管理。严格执行《行政单位国有资产</w:t>
      </w:r>
      <w:r>
        <w:rPr>
          <w:rFonts w:ascii="仿宋" w:hAnsi="仿宋" w:eastAsia="仿宋" w:cs="仿宋"/>
          <w:spacing w:val="3"/>
          <w:sz w:val="31"/>
          <w:szCs w:val="31"/>
        </w:rPr>
        <w:t>管理暂行办法》等制度，实行固定资产统一管理，专人负责固</w:t>
      </w:r>
      <w:r>
        <w:rPr>
          <w:rFonts w:ascii="仿宋" w:hAnsi="仿宋" w:eastAsia="仿宋" w:cs="仿宋"/>
          <w:spacing w:val="6"/>
          <w:sz w:val="31"/>
          <w:szCs w:val="31"/>
        </w:rPr>
        <w:t>定资产信息化管理，依规做好资产购置、报废、调剂等工作，确保账、卡、物相符。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00" w:line="371" w:lineRule="auto"/>
        <w:ind w:left="37" w:right="78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（4）加强政府信息公开。2021 年，攀枝花市东区财政国</w:t>
      </w:r>
      <w:r>
        <w:rPr>
          <w:rFonts w:ascii="仿宋" w:hAnsi="仿宋" w:eastAsia="仿宋" w:cs="仿宋"/>
          <w:spacing w:val="5"/>
          <w:sz w:val="31"/>
          <w:szCs w:val="31"/>
        </w:rPr>
        <w:t>库支付中心按照要求在财政部门预算批复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 日内，通过东区</w:t>
      </w:r>
      <w:r>
        <w:rPr>
          <w:rFonts w:ascii="仿宋" w:hAnsi="仿宋" w:eastAsia="仿宋" w:cs="仿宋"/>
          <w:spacing w:val="3"/>
          <w:sz w:val="31"/>
          <w:szCs w:val="31"/>
        </w:rPr>
        <w:t>政府门户网站主动公开部门预算编制说明；在其门户网站对外</w:t>
      </w:r>
      <w:r>
        <w:rPr>
          <w:rFonts w:ascii="仿宋" w:hAnsi="仿宋" w:eastAsia="仿宋" w:cs="仿宋"/>
          <w:spacing w:val="14"/>
          <w:sz w:val="31"/>
          <w:szCs w:val="31"/>
        </w:rPr>
        <w:t>公开了 2020 年度部门决算情况，并对部</w:t>
      </w:r>
      <w:r>
        <w:rPr>
          <w:rFonts w:ascii="仿宋" w:hAnsi="仿宋" w:eastAsia="仿宋" w:cs="仿宋"/>
          <w:spacing w:val="13"/>
          <w:sz w:val="31"/>
          <w:szCs w:val="31"/>
        </w:rPr>
        <w:t>门整体绩效自评情</w:t>
      </w:r>
      <w:r>
        <w:rPr>
          <w:rFonts w:ascii="仿宋" w:hAnsi="仿宋" w:eastAsia="仿宋" w:cs="仿宋"/>
          <w:spacing w:val="8"/>
          <w:sz w:val="31"/>
          <w:szCs w:val="31"/>
        </w:rPr>
        <w:t>况、自评得分等一并进行了公开，接受社会监督。</w:t>
      </w: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1" w:line="227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3.预算编制准确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01" w:line="372" w:lineRule="auto"/>
        <w:ind w:left="37" w:right="78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严格按照《预算法》、《政府会计制度》建立完善单</w:t>
      </w:r>
      <w:r>
        <w:rPr>
          <w:rFonts w:ascii="仿宋" w:hAnsi="仿宋" w:eastAsia="仿宋" w:cs="仿宋"/>
          <w:spacing w:val="-10"/>
          <w:sz w:val="31"/>
          <w:szCs w:val="31"/>
        </w:rPr>
        <w:t>位内部</w:t>
      </w:r>
      <w:r>
        <w:rPr>
          <w:rFonts w:ascii="仿宋" w:hAnsi="仿宋" w:eastAsia="仿宋" w:cs="仿宋"/>
          <w:spacing w:val="3"/>
          <w:sz w:val="31"/>
          <w:szCs w:val="31"/>
        </w:rPr>
        <w:t>控制制度，编制完成《内部控制手册》。贯彻落实党中央“八</w:t>
      </w:r>
    </w:p>
    <w:p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0" w:h="16840"/>
          <w:pgMar w:top="1422" w:right="1533" w:bottom="388" w:left="1785" w:header="0" w:footer="224" w:gutter="0"/>
          <w:cols w:space="720" w:num="1"/>
        </w:sectPr>
      </w:pPr>
    </w:p>
    <w:p>
      <w:pPr>
        <w:spacing w:before="61" w:line="371" w:lineRule="auto"/>
        <w:ind w:left="36" w:right="101" w:firstLine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项规定”、省市“十项规定”要求，严格执行《攀枝花市东区</w:t>
      </w:r>
      <w:r>
        <w:rPr>
          <w:rFonts w:ascii="仿宋" w:hAnsi="仿宋" w:eastAsia="仿宋" w:cs="仿宋"/>
          <w:spacing w:val="-8"/>
          <w:sz w:val="31"/>
          <w:szCs w:val="31"/>
        </w:rPr>
        <w:t>机关事业单位国内公务接待工作管理办法（暂行）》、《攀枝花市东区区级机关公务用车制度改革实施方案》、《攀枝花市东区区级行政事业单位差旅费管理办法》、《攀枝花市东区财政局关</w:t>
      </w:r>
      <w:r>
        <w:rPr>
          <w:rFonts w:ascii="仿宋" w:hAnsi="仿宋" w:eastAsia="仿宋" w:cs="仿宋"/>
          <w:spacing w:val="3"/>
          <w:sz w:val="31"/>
          <w:szCs w:val="31"/>
        </w:rPr>
        <w:t>于调整和完善区级机关事业单位差旅费管理办法的通知》等各项规章、制度和管理办法。严控“三公经费”、会议费、培训费、差旅费等支出。严格报账程序，严把票据审核关，规范资</w:t>
      </w:r>
      <w:r>
        <w:rPr>
          <w:rFonts w:ascii="仿宋" w:hAnsi="仿宋" w:eastAsia="仿宋" w:cs="仿宋"/>
          <w:spacing w:val="8"/>
          <w:sz w:val="31"/>
          <w:szCs w:val="31"/>
        </w:rPr>
        <w:t>金收支管理及会计核算，做到账账相符、账实相符。</w:t>
      </w: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4.</w:t>
      </w:r>
      <w:r>
        <w:rPr>
          <w:rFonts w:ascii="仿宋" w:hAnsi="仿宋" w:eastAsia="仿宋" w:cs="仿宋"/>
          <w:spacing w:val="1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预算支出控制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1" w:line="371" w:lineRule="auto"/>
        <w:ind w:left="37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我中心认真落实科学监管理念，严格安全预算要求管理和</w:t>
      </w:r>
      <w:r>
        <w:rPr>
          <w:rFonts w:ascii="仿宋" w:hAnsi="仿宋" w:eastAsia="仿宋" w:cs="仿宋"/>
          <w:spacing w:val="7"/>
          <w:sz w:val="31"/>
          <w:szCs w:val="31"/>
        </w:rPr>
        <w:t>使用资金，确保财政资金专款专用，切实提高资金使用效益。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0" w:line="229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5.</w:t>
      </w:r>
      <w:r>
        <w:rPr>
          <w:rFonts w:ascii="仿宋" w:hAnsi="仿宋" w:eastAsia="仿宋" w:cs="仿宋"/>
          <w:spacing w:val="1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违规记录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01" w:line="231" w:lineRule="auto"/>
        <w:ind w:left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无。</w:t>
      </w: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（二）结果应用情况。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02" w:line="370" w:lineRule="auto"/>
        <w:ind w:left="36" w:right="33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我中心按照财政通知要求，严格开展绩效支出评价工作，</w:t>
      </w:r>
      <w:r>
        <w:rPr>
          <w:rFonts w:ascii="仿宋" w:hAnsi="仿宋" w:eastAsia="仿宋" w:cs="仿宋"/>
          <w:spacing w:val="14"/>
          <w:sz w:val="31"/>
          <w:szCs w:val="31"/>
        </w:rPr>
        <w:t>形成自评报告，并严格按照财政规定时间在政府门户网站公布部门预决算、“三公”经费、部门支出绩效评价报告及其</w:t>
      </w:r>
    </w:p>
    <w:p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25" w:type="default"/>
          <w:pgSz w:w="11900" w:h="16840"/>
          <w:pgMar w:top="1422" w:right="1509" w:bottom="388" w:left="1785" w:header="0" w:footer="222" w:gutter="0"/>
          <w:cols w:space="720" w:num="1"/>
        </w:sectPr>
      </w:pPr>
    </w:p>
    <w:p>
      <w:pPr>
        <w:spacing w:before="65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他重要财政资金重要公开情况。</w:t>
      </w: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1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（三）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自评质量</w:t>
      </w: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371" w:lineRule="auto"/>
        <w:ind w:left="35" w:right="19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本中心按要求对 2021 年单位整体支出</w:t>
      </w:r>
      <w:r>
        <w:rPr>
          <w:rFonts w:ascii="仿宋" w:hAnsi="仿宋" w:eastAsia="仿宋" w:cs="仿宋"/>
          <w:spacing w:val="12"/>
          <w:sz w:val="31"/>
          <w:szCs w:val="31"/>
        </w:rPr>
        <w:t>开展绩效自评，</w:t>
      </w:r>
      <w:r>
        <w:rPr>
          <w:rFonts w:ascii="仿宋" w:hAnsi="仿宋" w:eastAsia="仿宋" w:cs="仿宋"/>
          <w:spacing w:val="8"/>
          <w:sz w:val="31"/>
          <w:szCs w:val="31"/>
        </w:rPr>
        <w:t>从评价情况来看，2021 年我中心单位整体支出绩效评价自查</w:t>
      </w:r>
      <w:r>
        <w:rPr>
          <w:rFonts w:ascii="仿宋" w:hAnsi="仿宋" w:eastAsia="仿宋" w:cs="仿宋"/>
          <w:spacing w:val="15"/>
          <w:sz w:val="31"/>
          <w:szCs w:val="31"/>
        </w:rPr>
        <w:t>自评结果良好，全年基本支出保证了单位的正常</w:t>
      </w:r>
      <w:r>
        <w:rPr>
          <w:rFonts w:ascii="仿宋" w:hAnsi="仿宋" w:eastAsia="仿宋" w:cs="仿宋"/>
          <w:spacing w:val="14"/>
          <w:sz w:val="31"/>
          <w:szCs w:val="31"/>
        </w:rPr>
        <w:t>运行和日常工作的正常开展，项目支出保障了重点工作的开展，绩效目标得到较好实现，绩效管理水平不断提高，绩效指标体系逐</w:t>
      </w:r>
      <w:r>
        <w:rPr>
          <w:rFonts w:ascii="仿宋" w:hAnsi="仿宋" w:eastAsia="仿宋" w:cs="仿宋"/>
          <w:spacing w:val="5"/>
          <w:sz w:val="31"/>
          <w:szCs w:val="31"/>
        </w:rPr>
        <w:t>渐丰富和完善。</w:t>
      </w:r>
    </w:p>
    <w:p>
      <w:pPr>
        <w:spacing w:before="1" w:line="228" w:lineRule="auto"/>
        <w:ind w:left="7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四、评价结论及建议</w:t>
      </w:r>
    </w:p>
    <w:p>
      <w:pPr>
        <w:spacing w:before="238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（一）评价结论。</w:t>
      </w:r>
    </w:p>
    <w:p>
      <w:pPr>
        <w:spacing w:before="238" w:line="371" w:lineRule="auto"/>
        <w:ind w:left="36" w:firstLine="7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2021 年，攀枝花市东区财政国库支付中心严格年初预算</w:t>
      </w:r>
      <w:r>
        <w:rPr>
          <w:rFonts w:ascii="仿宋" w:hAnsi="仿宋" w:eastAsia="仿宋" w:cs="仿宋"/>
          <w:spacing w:val="3"/>
          <w:sz w:val="31"/>
          <w:szCs w:val="31"/>
        </w:rPr>
        <w:t>批复认真组织实施，严格执行财经纪律管理规定，做到各项收支安排使用符合发展计划和财政政策要求，确保了单位正常运</w:t>
      </w:r>
      <w:r>
        <w:rPr>
          <w:rFonts w:ascii="仿宋" w:hAnsi="仿宋" w:eastAsia="仿宋" w:cs="仿宋"/>
          <w:spacing w:val="6"/>
          <w:sz w:val="31"/>
          <w:szCs w:val="31"/>
        </w:rPr>
        <w:t>行和重大项目实施。</w:t>
      </w:r>
    </w:p>
    <w:p>
      <w:pPr>
        <w:spacing w:before="2" w:line="224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（二）存在问题。</w:t>
      </w:r>
    </w:p>
    <w:p>
      <w:pPr>
        <w:spacing w:before="242" w:line="371" w:lineRule="auto"/>
        <w:ind w:left="37" w:firstLine="6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2021 年整体支出绩效评价自评工作中，主要存在以下问</w:t>
      </w:r>
      <w:r>
        <w:rPr>
          <w:rFonts w:ascii="仿宋" w:hAnsi="仿宋" w:eastAsia="仿宋" w:cs="仿宋"/>
          <w:spacing w:val="3"/>
          <w:sz w:val="31"/>
          <w:szCs w:val="31"/>
        </w:rPr>
        <w:t>题：一是绩效目标管理力度不够；二是预算编制不够完善；三</w:t>
      </w:r>
      <w:r>
        <w:rPr>
          <w:rFonts w:ascii="仿宋" w:hAnsi="仿宋" w:eastAsia="仿宋" w:cs="仿宋"/>
          <w:spacing w:val="7"/>
          <w:sz w:val="31"/>
          <w:szCs w:val="31"/>
        </w:rPr>
        <w:t>是部门预算执行进度需进一步提高。</w:t>
      </w: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2" w:line="229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（三）改进建议。</w:t>
      </w:r>
    </w:p>
    <w:p>
      <w:pPr>
        <w:spacing w:before="238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在今后的工作中，攀枝花市东区财政国库支付中心将</w:t>
      </w:r>
      <w:r>
        <w:rPr>
          <w:rFonts w:ascii="仿宋" w:hAnsi="仿宋" w:eastAsia="仿宋" w:cs="仿宋"/>
          <w:spacing w:val="2"/>
          <w:sz w:val="31"/>
          <w:szCs w:val="31"/>
        </w:rPr>
        <w:t>严格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900" w:h="16840"/>
          <w:pgMar w:top="1422" w:right="1611" w:bottom="388" w:left="1785" w:header="0" w:footer="222" w:gutter="0"/>
          <w:cols w:space="720" w:num="1"/>
        </w:sectPr>
      </w:pPr>
    </w:p>
    <w:p>
      <w:pPr>
        <w:spacing w:before="64" w:line="371" w:lineRule="auto"/>
        <w:ind w:left="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按照《预算法》的要求，充分了解预算需求，合理安排支出，</w:t>
      </w:r>
      <w:r>
        <w:rPr>
          <w:rFonts w:ascii="仿宋" w:hAnsi="仿宋" w:eastAsia="仿宋" w:cs="仿宋"/>
          <w:spacing w:val="-4"/>
          <w:sz w:val="31"/>
          <w:szCs w:val="31"/>
        </w:rPr>
        <w:t>提高预算编制的准确度。加大与业务股室深度衔接，紧密配合，</w:t>
      </w:r>
      <w:r>
        <w:rPr>
          <w:rFonts w:ascii="仿宋" w:hAnsi="仿宋" w:eastAsia="仿宋" w:cs="仿宋"/>
          <w:spacing w:val="7"/>
          <w:sz w:val="31"/>
          <w:szCs w:val="31"/>
        </w:rPr>
        <w:t>让预算编制合理贴合实际，使预算编制更具科学性、合理性。</w:t>
      </w:r>
      <w:r>
        <w:rPr>
          <w:rFonts w:ascii="仿宋" w:hAnsi="仿宋" w:eastAsia="仿宋" w:cs="仿宋"/>
          <w:spacing w:val="3"/>
          <w:sz w:val="31"/>
          <w:szCs w:val="31"/>
        </w:rPr>
        <w:t>严格按照批复预算执行，及时将预算分解，提高预算编制与预算执行的一致性，强化预算精细化管理水平。建立和完善预算</w:t>
      </w:r>
      <w:r>
        <w:rPr>
          <w:rFonts w:ascii="仿宋" w:hAnsi="仿宋" w:eastAsia="仿宋" w:cs="仿宋"/>
          <w:spacing w:val="-4"/>
          <w:sz w:val="31"/>
          <w:szCs w:val="31"/>
        </w:rPr>
        <w:t>执行情况的分析、监督机制，进一步加快预算执行进度，细化、</w:t>
      </w:r>
      <w:r>
        <w:rPr>
          <w:rFonts w:ascii="仿宋" w:hAnsi="仿宋" w:eastAsia="仿宋" w:cs="仿宋"/>
          <w:spacing w:val="3"/>
          <w:sz w:val="31"/>
          <w:szCs w:val="31"/>
        </w:rPr>
        <w:t>量化绩效目标编制，加强预算绩效管理，用好用活各类财政资</w:t>
      </w:r>
      <w:r>
        <w:rPr>
          <w:rFonts w:ascii="仿宋" w:hAnsi="仿宋" w:eastAsia="仿宋" w:cs="仿宋"/>
          <w:spacing w:val="7"/>
          <w:sz w:val="31"/>
          <w:szCs w:val="31"/>
        </w:rPr>
        <w:t>金，提升财政资金使用效益。</w:t>
      </w:r>
    </w:p>
    <w:p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00" w:h="16840"/>
          <w:pgMar w:top="1422" w:right="1506" w:bottom="388" w:left="1785" w:header="0" w:footer="224" w:gutter="0"/>
          <w:cols w:space="720" w:num="1"/>
        </w:sectPr>
      </w:pPr>
    </w:p>
    <w:p>
      <w:pPr>
        <w:pStyle w:val="2"/>
        <w:spacing w:line="340" w:lineRule="auto"/>
      </w:pPr>
    </w:p>
    <w:p>
      <w:pPr>
        <w:pStyle w:val="2"/>
        <w:spacing w:line="340" w:lineRule="auto"/>
      </w:pPr>
    </w:p>
    <w:p>
      <w:pPr>
        <w:spacing w:before="101" w:line="228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附件：</w:t>
      </w:r>
    </w:p>
    <w:p>
      <w:pPr>
        <w:spacing w:before="220" w:line="220" w:lineRule="auto"/>
        <w:ind w:left="149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5"/>
          <w:sz w:val="36"/>
          <w:szCs w:val="36"/>
        </w:rPr>
        <w:t>财务管理工作经费支出绩效自评报告</w:t>
      </w:r>
    </w:p>
    <w:p>
      <w:pPr>
        <w:spacing w:before="215" w:line="228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一、项目概况</w:t>
      </w:r>
    </w:p>
    <w:p>
      <w:pPr>
        <w:spacing w:before="243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（一）项目基本情况</w:t>
      </w:r>
    </w:p>
    <w:p>
      <w:pPr>
        <w:spacing w:before="240" w:line="372" w:lineRule="auto"/>
        <w:ind w:left="66" w:right="13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财务管理专项工作经费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2021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年预算安排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万元，实际支</w:t>
      </w:r>
      <w:r>
        <w:rPr>
          <w:rFonts w:ascii="仿宋" w:hAnsi="仿宋" w:eastAsia="仿宋" w:cs="仿宋"/>
          <w:spacing w:val="-7"/>
          <w:sz w:val="31"/>
          <w:szCs w:val="31"/>
        </w:rPr>
        <w:t>出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3.29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万元。</w:t>
      </w:r>
    </w:p>
    <w:p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（二）项目绩效目标</w:t>
      </w:r>
    </w:p>
    <w:p>
      <w:pPr>
        <w:spacing w:before="242" w:line="371" w:lineRule="auto"/>
        <w:ind w:left="38" w:right="137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财务管理费：预算安排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万元，实际完成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万元，完</w:t>
      </w:r>
      <w:r>
        <w:rPr>
          <w:rFonts w:ascii="仿宋" w:hAnsi="仿宋" w:eastAsia="仿宋" w:cs="仿宋"/>
          <w:spacing w:val="12"/>
          <w:sz w:val="31"/>
          <w:szCs w:val="31"/>
        </w:rPr>
        <w:t>成率为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32.9%，达到预期指标。该项目评价申报内容与实际相</w:t>
      </w:r>
      <w:r>
        <w:rPr>
          <w:rFonts w:ascii="仿宋" w:hAnsi="仿宋" w:eastAsia="仿宋" w:cs="仿宋"/>
          <w:spacing w:val="-1"/>
          <w:sz w:val="31"/>
          <w:szCs w:val="31"/>
        </w:rPr>
        <w:t>符，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申报目标合理可行。</w:t>
      </w:r>
    </w:p>
    <w:p>
      <w:pPr>
        <w:spacing w:before="2" w:line="225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（三）项目自评步骤及方法</w:t>
      </w:r>
    </w:p>
    <w:p>
      <w:pPr>
        <w:spacing w:before="240" w:line="372" w:lineRule="auto"/>
        <w:ind w:left="33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严格按照《攀枝花市东区财政局关于开展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年度部</w:t>
      </w:r>
      <w:r>
        <w:rPr>
          <w:rFonts w:ascii="仿宋" w:hAnsi="仿宋" w:eastAsia="仿宋" w:cs="仿宋"/>
          <w:spacing w:val="2"/>
          <w:sz w:val="31"/>
          <w:szCs w:val="31"/>
        </w:rPr>
        <w:t>门预</w:t>
      </w:r>
      <w:r>
        <w:rPr>
          <w:rFonts w:ascii="仿宋" w:hAnsi="仿宋" w:eastAsia="仿宋" w:cs="仿宋"/>
          <w:spacing w:val="11"/>
          <w:sz w:val="31"/>
          <w:szCs w:val="31"/>
        </w:rPr>
        <w:t>算整体绩效评价和财政重点项目（政策）支出绩效评价工作的</w:t>
      </w:r>
      <w:r>
        <w:rPr>
          <w:rFonts w:ascii="仿宋" w:hAnsi="仿宋" w:eastAsia="仿宋" w:cs="仿宋"/>
          <w:spacing w:val="12"/>
          <w:sz w:val="31"/>
          <w:szCs w:val="31"/>
        </w:rPr>
        <w:t>通知》要求，对项目依据预算执行率占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10%、产出指标（</w:t>
      </w:r>
      <w:r>
        <w:rPr>
          <w:rFonts w:ascii="仿宋" w:hAnsi="仿宋" w:eastAsia="仿宋" w:cs="仿宋"/>
          <w:spacing w:val="11"/>
          <w:sz w:val="31"/>
          <w:szCs w:val="31"/>
        </w:rPr>
        <w:t>数量</w:t>
      </w:r>
      <w:r>
        <w:rPr>
          <w:rFonts w:ascii="仿宋" w:hAnsi="仿宋" w:eastAsia="仿宋" w:cs="仿宋"/>
          <w:spacing w:val="2"/>
          <w:sz w:val="31"/>
          <w:szCs w:val="31"/>
        </w:rPr>
        <w:t>指标、质量指标、时效指标、成本指标）占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50%、效</w:t>
      </w:r>
      <w:r>
        <w:rPr>
          <w:rFonts w:ascii="仿宋" w:hAnsi="仿宋" w:eastAsia="仿宋" w:cs="仿宋"/>
          <w:spacing w:val="1"/>
          <w:sz w:val="31"/>
          <w:szCs w:val="31"/>
        </w:rPr>
        <w:t>益指标（经</w:t>
      </w:r>
      <w:r>
        <w:rPr>
          <w:rFonts w:ascii="仿宋" w:hAnsi="仿宋" w:eastAsia="仿宋" w:cs="仿宋"/>
          <w:spacing w:val="4"/>
          <w:sz w:val="31"/>
          <w:szCs w:val="31"/>
        </w:rPr>
        <w:t>济效益指标、社会效益指标、生态效益指标、可持续影响指标）</w:t>
      </w:r>
      <w:r>
        <w:rPr>
          <w:rFonts w:ascii="仿宋" w:hAnsi="仿宋" w:eastAsia="仿宋" w:cs="仿宋"/>
          <w:spacing w:val="5"/>
          <w:sz w:val="31"/>
          <w:szCs w:val="31"/>
        </w:rPr>
        <w:t>占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30%、服务对象满意度指标占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10%逐条进行自评。</w:t>
      </w:r>
    </w:p>
    <w:p>
      <w:pPr>
        <w:spacing w:line="228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二、项目资金申报及使用情况</w:t>
      </w:r>
    </w:p>
    <w:p>
      <w:pPr>
        <w:spacing w:before="244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（一）项目资金申报及批复情况</w:t>
      </w:r>
    </w:p>
    <w:p>
      <w:pPr>
        <w:spacing w:before="239" w:line="374" w:lineRule="auto"/>
        <w:ind w:left="30" w:right="13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该项目预算资金批复数为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10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区财政实际拨款数为</w:t>
      </w:r>
      <w:r>
        <w:rPr>
          <w:rFonts w:ascii="仿宋" w:hAnsi="仿宋" w:eastAsia="仿宋" w:cs="仿宋"/>
          <w:spacing w:val="-1"/>
          <w:sz w:val="31"/>
          <w:szCs w:val="31"/>
        </w:rPr>
        <w:t>3.29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line="374" w:lineRule="auto"/>
        <w:rPr>
          <w:rFonts w:ascii="仿宋" w:hAnsi="仿宋" w:eastAsia="仿宋" w:cs="仿宋"/>
          <w:sz w:val="31"/>
          <w:szCs w:val="31"/>
        </w:rPr>
        <w:sectPr>
          <w:footerReference r:id="rId28" w:type="default"/>
          <w:pgSz w:w="11900" w:h="16840"/>
          <w:pgMar w:top="1431" w:right="1269" w:bottom="400" w:left="1785" w:header="0" w:footer="0" w:gutter="0"/>
          <w:cols w:space="720" w:num="1"/>
        </w:sectPr>
      </w:pPr>
    </w:p>
    <w:p>
      <w:pPr>
        <w:spacing w:before="164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（二）资金计划、到位及使用情况</w:t>
      </w:r>
    </w:p>
    <w:p>
      <w:pPr>
        <w:spacing w:before="241" w:line="372" w:lineRule="auto"/>
        <w:ind w:left="3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该项目资金计划为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万元，到位资金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万元，使用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3.29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（三）项目财务管理情况</w:t>
      </w:r>
    </w:p>
    <w:p>
      <w:pPr>
        <w:spacing w:before="239" w:line="226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项目实施单位东区财政局国库支付中心财务管理制度健</w:t>
      </w:r>
    </w:p>
    <w:p>
      <w:pPr>
        <w:spacing w:before="244" w:line="226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全，严格执行财务管理制度，账务处理及时，会计核算规范。</w:t>
      </w:r>
    </w:p>
    <w:p>
      <w:pPr>
        <w:spacing w:before="243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三、项目实施及管理情况</w:t>
      </w:r>
    </w:p>
    <w:p>
      <w:pPr>
        <w:spacing w:before="241" w:line="229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财务管理项目资金是专款专用。</w:t>
      </w:r>
    </w:p>
    <w:p>
      <w:pPr>
        <w:spacing w:before="240" w:line="228" w:lineRule="auto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四、项目绩效情况</w:t>
      </w:r>
    </w:p>
    <w:p>
      <w:pPr>
        <w:spacing w:before="243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（一）项目完成情况</w:t>
      </w:r>
    </w:p>
    <w:p>
      <w:pPr>
        <w:spacing w:before="239" w:line="228" w:lineRule="auto"/>
        <w:ind w:left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1、数量指标：未达到预期指标。</w:t>
      </w:r>
    </w:p>
    <w:p>
      <w:pPr>
        <w:spacing w:before="241" w:line="228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2、质量指标：基本达到预期指标。</w:t>
      </w:r>
    </w:p>
    <w:p>
      <w:pPr>
        <w:spacing w:before="242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3、时效指标：基本达到预期指标。</w:t>
      </w:r>
    </w:p>
    <w:p>
      <w:pPr>
        <w:spacing w:before="241" w:line="228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4、成本指标：未达到预期指标。</w:t>
      </w:r>
    </w:p>
    <w:p>
      <w:pPr>
        <w:spacing w:before="243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（二）项目效益情况</w:t>
      </w:r>
    </w:p>
    <w:p>
      <w:pPr>
        <w:spacing w:before="240" w:line="226" w:lineRule="auto"/>
        <w:ind w:left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1、经济效益指标：无</w:t>
      </w:r>
    </w:p>
    <w:p>
      <w:pPr>
        <w:spacing w:before="243" w:line="228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2、社会效益指标：无。</w:t>
      </w:r>
    </w:p>
    <w:p>
      <w:pPr>
        <w:spacing w:before="242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3、生态效益指标：无</w:t>
      </w:r>
    </w:p>
    <w:p>
      <w:pPr>
        <w:spacing w:before="241" w:line="228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4、可持续影响指标：无</w:t>
      </w:r>
    </w:p>
    <w:p>
      <w:pPr>
        <w:spacing w:before="241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5、服务对象满意度：全部达到预期指标。</w:t>
      </w:r>
    </w:p>
    <w:p>
      <w:pPr>
        <w:spacing w:before="241" w:line="228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五、评价结论及建议</w:t>
      </w:r>
    </w:p>
    <w:p>
      <w:pPr>
        <w:spacing w:before="244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（一）评价结论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29" w:type="default"/>
          <w:pgSz w:w="11900" w:h="16840"/>
          <w:pgMar w:top="1431" w:right="1403" w:bottom="1379" w:left="1785" w:header="0" w:footer="1214" w:gutter="0"/>
          <w:cols w:space="720" w:num="1"/>
        </w:sectPr>
      </w:pPr>
    </w:p>
    <w:p>
      <w:pPr>
        <w:spacing w:before="161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加强对项目的监管，合理安排预算。</w:t>
      </w:r>
    </w:p>
    <w:p>
      <w:pPr>
        <w:spacing w:before="243" w:line="226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（二）存在的问题</w:t>
      </w:r>
      <w:r>
        <w:rPr>
          <w:rFonts w:ascii="仿宋" w:hAnsi="仿宋" w:eastAsia="仿宋" w:cs="仿宋"/>
          <w:spacing w:val="5"/>
          <w:sz w:val="31"/>
          <w:szCs w:val="31"/>
        </w:rPr>
        <w:t>无</w:t>
      </w:r>
    </w:p>
    <w:p>
      <w:pPr>
        <w:spacing w:before="243" w:line="229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（三）相关建议</w:t>
      </w:r>
      <w:r>
        <w:rPr>
          <w:rFonts w:ascii="仿宋" w:hAnsi="仿宋" w:eastAsia="仿宋" w:cs="仿宋"/>
          <w:spacing w:val="4"/>
          <w:sz w:val="31"/>
          <w:szCs w:val="31"/>
        </w:rPr>
        <w:t>无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01" w:line="372" w:lineRule="auto"/>
        <w:ind w:left="2103" w:right="2075" w:firstLine="2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年部门预算项目自评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财务管理费项目</w:t>
      </w:r>
      <w:r>
        <w:rPr>
          <w:rFonts w:ascii="Calibri" w:hAnsi="Calibri" w:eastAsia="Calibri" w:cs="Calibri"/>
          <w:spacing w:val="-1"/>
          <w:position w:val="5"/>
          <w:sz w:val="18"/>
          <w:szCs w:val="18"/>
        </w:rPr>
        <w:t>3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绩效目标自评</w:t>
      </w:r>
    </w:p>
    <w:p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footerReference r:id="rId30" w:type="default"/>
          <w:pgSz w:w="11900" w:h="16840"/>
          <w:pgMar w:top="1431" w:right="1785" w:bottom="400" w:left="1785" w:header="0" w:footer="0" w:gutter="0"/>
          <w:cols w:space="720" w:num="1"/>
        </w:sectPr>
      </w:pPr>
    </w:p>
    <w:p>
      <w:pPr>
        <w:spacing w:line="90" w:lineRule="auto"/>
        <w:rPr>
          <w:rFonts w:ascii="Arial"/>
          <w:sz w:val="2"/>
        </w:rPr>
      </w:pPr>
    </w:p>
    <w:tbl>
      <w:tblPr>
        <w:tblStyle w:val="5"/>
        <w:tblW w:w="108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166"/>
        <w:gridCol w:w="1672"/>
        <w:gridCol w:w="3982"/>
        <w:gridCol w:w="1252"/>
        <w:gridCol w:w="1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118" w:type="dxa"/>
            <w:gridSpan w:val="2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8"/>
            </w:pPr>
            <w:r>
              <w:rPr>
                <w:spacing w:val="-3"/>
              </w:rPr>
              <w:t>主管部门及代码</w:t>
            </w:r>
          </w:p>
        </w:tc>
        <w:tc>
          <w:tcPr>
            <w:tcW w:w="5654" w:type="dxa"/>
            <w:gridSpan w:val="2"/>
            <w:vAlign w:val="top"/>
          </w:tcPr>
          <w:p>
            <w:pPr>
              <w:pStyle w:val="6"/>
              <w:spacing w:before="116" w:line="316" w:lineRule="auto"/>
              <w:ind w:left="233" w:right="1464" w:hanging="108"/>
            </w:pPr>
            <w:r>
              <w:rPr>
                <w:spacing w:val="-4"/>
              </w:rPr>
              <w:t>东区财政国库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4"/>
              </w:rPr>
              <w:t>支付中心</w:t>
            </w:r>
            <w:r>
              <w:rPr>
                <w:spacing w:val="-2"/>
              </w:rPr>
              <w:t>019001</w:t>
            </w:r>
          </w:p>
        </w:tc>
        <w:tc>
          <w:tcPr>
            <w:tcW w:w="125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66"/>
            </w:pPr>
            <w:r>
              <w:rPr>
                <w:spacing w:val="-4"/>
              </w:rPr>
              <w:t>实施单位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before="116" w:line="316" w:lineRule="auto"/>
              <w:ind w:left="430" w:right="176" w:hanging="234"/>
            </w:pPr>
            <w:r>
              <w:rPr>
                <w:spacing w:val="-4"/>
              </w:rPr>
              <w:t>东区财政国库</w:t>
            </w:r>
            <w:r>
              <w:rPr>
                <w:spacing w:val="-3"/>
              </w:rPr>
              <w:t>支付中心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1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2" w:lineRule="auto"/>
              <w:ind w:left="590" w:right="577" w:firstLine="1"/>
              <w:jc w:val="both"/>
            </w:pPr>
            <w:r>
              <w:rPr>
                <w:spacing w:val="-5"/>
              </w:rPr>
              <w:t>项目预算</w:t>
            </w:r>
            <w:r>
              <w:rPr>
                <w:spacing w:val="-4"/>
              </w:rPr>
              <w:t>执行情况</w:t>
            </w:r>
            <w:r>
              <w:rPr>
                <w:spacing w:val="-6"/>
              </w:rPr>
              <w:t>（万元）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12" w:line="222" w:lineRule="auto"/>
              <w:ind w:left="241"/>
            </w:pPr>
            <w:r>
              <w:rPr>
                <w:spacing w:val="-14"/>
              </w:rPr>
              <w:t>预算数：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12" w:line="241" w:lineRule="auto"/>
              <w:ind w:left="1895"/>
            </w:pPr>
            <w:r>
              <w:rPr>
                <w:spacing w:val="-7"/>
              </w:rPr>
              <w:t>10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2" w:line="221" w:lineRule="auto"/>
              <w:ind w:left="242"/>
            </w:pPr>
            <w:r>
              <w:rPr>
                <w:spacing w:val="-13"/>
              </w:rPr>
              <w:t>执行数：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before="113"/>
              <w:ind w:left="1217"/>
            </w:pPr>
            <w:r>
              <w:rPr>
                <w:spacing w:val="-4"/>
              </w:rPr>
              <w:t>3.29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6"/>
              <w:spacing w:before="113" w:line="222" w:lineRule="auto"/>
              <w:ind w:left="121"/>
            </w:pPr>
            <w:r>
              <w:rPr>
                <w:spacing w:val="-16"/>
              </w:rPr>
              <w:t>其中：</w:t>
            </w:r>
          </w:p>
          <w:p>
            <w:pPr>
              <w:pStyle w:val="6"/>
              <w:spacing w:before="179" w:line="223" w:lineRule="auto"/>
              <w:ind w:left="122"/>
            </w:pPr>
            <w:r>
              <w:rPr>
                <w:spacing w:val="-4"/>
              </w:rPr>
              <w:t>财政拨款</w:t>
            </w:r>
          </w:p>
        </w:tc>
        <w:tc>
          <w:tcPr>
            <w:tcW w:w="3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3" w:line="314" w:lineRule="auto"/>
              <w:ind w:left="125" w:right="179" w:firstLine="205"/>
            </w:pPr>
            <w:r>
              <w:t>其中：</w:t>
            </w:r>
            <w:r>
              <w:rPr>
                <w:spacing w:val="-5"/>
              </w:rPr>
              <w:t>财政拨款</w:t>
            </w:r>
          </w:p>
        </w:tc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1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6"/>
              <w:spacing w:before="113" w:line="222" w:lineRule="auto"/>
              <w:ind w:left="121"/>
            </w:pPr>
            <w:r>
              <w:rPr>
                <w:spacing w:val="-4"/>
              </w:rPr>
              <w:t>其他资金</w:t>
            </w:r>
          </w:p>
        </w:tc>
        <w:tc>
          <w:tcPr>
            <w:tcW w:w="3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3" w:line="222" w:lineRule="auto"/>
              <w:ind w:left="124"/>
            </w:pPr>
            <w:r>
              <w:rPr>
                <w:spacing w:val="-4"/>
              </w:rPr>
              <w:t>其他资金</w:t>
            </w:r>
          </w:p>
        </w:tc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5"/>
              </w:rPr>
              <w:t>年度总</w:t>
            </w:r>
          </w:p>
          <w:p>
            <w:pPr>
              <w:pStyle w:val="6"/>
              <w:spacing w:before="179" w:line="222" w:lineRule="auto"/>
              <w:ind w:left="129"/>
            </w:pPr>
            <w:r>
              <w:rPr>
                <w:spacing w:val="-4"/>
              </w:rPr>
              <w:t>体目标</w:t>
            </w:r>
          </w:p>
          <w:p>
            <w:pPr>
              <w:pStyle w:val="6"/>
              <w:spacing w:before="179" w:line="222" w:lineRule="auto"/>
              <w:ind w:left="133"/>
            </w:pPr>
            <w:r>
              <w:rPr>
                <w:spacing w:val="-5"/>
              </w:rPr>
              <w:t>完成情</w:t>
            </w:r>
          </w:p>
          <w:p>
            <w:pPr>
              <w:pStyle w:val="6"/>
              <w:spacing w:before="179" w:line="224" w:lineRule="auto"/>
              <w:ind w:left="369"/>
            </w:pPr>
            <w:r>
              <w:t>况</w:t>
            </w:r>
          </w:p>
        </w:tc>
        <w:tc>
          <w:tcPr>
            <w:tcW w:w="6820" w:type="dxa"/>
            <w:gridSpan w:val="3"/>
            <w:vAlign w:val="top"/>
          </w:tcPr>
          <w:p>
            <w:pPr>
              <w:pStyle w:val="6"/>
              <w:spacing w:before="114" w:line="222" w:lineRule="auto"/>
              <w:ind w:left="2943"/>
            </w:pPr>
            <w:r>
              <w:rPr>
                <w:spacing w:val="-4"/>
              </w:rPr>
              <w:t>预期目标</w:t>
            </w:r>
          </w:p>
        </w:tc>
        <w:tc>
          <w:tcPr>
            <w:tcW w:w="3049" w:type="dxa"/>
            <w:gridSpan w:val="2"/>
            <w:vAlign w:val="top"/>
          </w:tcPr>
          <w:p>
            <w:pPr>
              <w:pStyle w:val="6"/>
              <w:spacing w:before="114" w:line="222" w:lineRule="auto"/>
              <w:ind w:left="618"/>
            </w:pPr>
            <w:r>
              <w:rPr>
                <w:spacing w:val="-7"/>
              </w:rPr>
              <w:t>目标实际完成情况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9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0" w:type="dxa"/>
            <w:gridSpan w:val="3"/>
            <w:vAlign w:val="top"/>
          </w:tcPr>
          <w:p>
            <w:pPr>
              <w:pStyle w:val="6"/>
              <w:spacing w:before="117" w:line="348" w:lineRule="auto"/>
              <w:ind w:left="117" w:right="103" w:firstLine="1"/>
              <w:jc w:val="both"/>
            </w:pPr>
            <w:r>
              <w:rPr>
                <w:spacing w:val="-5"/>
              </w:rPr>
              <w:t>进一步统一区级行政事业单位会计标准，夯实区级各部门和单位</w:t>
            </w:r>
            <w:r>
              <w:rPr>
                <w:spacing w:val="-9"/>
              </w:rPr>
              <w:t>会计核算基础，规范行政事业单位会计核算，提高会计信息质量;</w:t>
            </w:r>
            <w:r>
              <w:rPr>
                <w:spacing w:val="-5"/>
              </w:rPr>
              <w:t>用于购买支票、财政资金支出申请书、专用报销凭证、用友软件专用凭证等，如实记录经济业务事项的发生和完成情况，明确经</w:t>
            </w:r>
            <w:r>
              <w:rPr>
                <w:spacing w:val="-1"/>
              </w:rPr>
              <w:t>济责任，并作为记账依据的书面证明。提高会计信息质量;用于</w:t>
            </w:r>
            <w:r>
              <w:rPr>
                <w:spacing w:val="-5"/>
              </w:rPr>
              <w:t>购买支票、财政资金支出申请书、专用报销凭证、用友软件专用凭证等，如实记录经济业务事项的发生和完成情况，明确经济责</w:t>
            </w:r>
            <w:r>
              <w:rPr>
                <w:spacing w:val="-3"/>
              </w:rPr>
              <w:t>任，并作为记账依据的书面证明。</w:t>
            </w:r>
          </w:p>
        </w:tc>
        <w:tc>
          <w:tcPr>
            <w:tcW w:w="3049" w:type="dxa"/>
            <w:gridSpan w:val="2"/>
            <w:vAlign w:val="top"/>
          </w:tcPr>
          <w:p>
            <w:pPr>
              <w:pStyle w:val="6"/>
              <w:spacing w:before="114" w:line="223" w:lineRule="auto"/>
              <w:ind w:left="122"/>
            </w:pPr>
            <w:r>
              <w:rPr>
                <w:spacing w:val="-3"/>
              </w:rPr>
              <w:t>按进度完成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5"/>
              </w:rPr>
              <w:t>年度绩</w:t>
            </w:r>
          </w:p>
          <w:p>
            <w:pPr>
              <w:pStyle w:val="6"/>
              <w:spacing w:before="179" w:line="222" w:lineRule="auto"/>
              <w:ind w:left="132"/>
            </w:pPr>
            <w:r>
              <w:rPr>
                <w:spacing w:val="-5"/>
              </w:rPr>
              <w:t>效指标</w:t>
            </w:r>
          </w:p>
          <w:p>
            <w:pPr>
              <w:pStyle w:val="6"/>
              <w:spacing w:before="179" w:line="222" w:lineRule="auto"/>
              <w:ind w:left="133"/>
            </w:pPr>
            <w:r>
              <w:rPr>
                <w:spacing w:val="-5"/>
              </w:rPr>
              <w:t>完成情</w:t>
            </w:r>
          </w:p>
          <w:p>
            <w:pPr>
              <w:pStyle w:val="6"/>
              <w:spacing w:before="179" w:line="224" w:lineRule="auto"/>
              <w:ind w:left="369"/>
            </w:pPr>
            <w:r>
              <w:t>况</w:t>
            </w:r>
          </w:p>
        </w:tc>
        <w:tc>
          <w:tcPr>
            <w:tcW w:w="1166" w:type="dxa"/>
            <w:vAlign w:val="top"/>
          </w:tcPr>
          <w:p>
            <w:pPr>
              <w:pStyle w:val="6"/>
              <w:spacing w:before="115" w:line="224" w:lineRule="auto"/>
              <w:ind w:left="358"/>
            </w:pPr>
            <w:r>
              <w:rPr>
                <w:spacing w:val="-10"/>
              </w:rPr>
              <w:t>一级</w:t>
            </w:r>
          </w:p>
          <w:p>
            <w:pPr>
              <w:pStyle w:val="6"/>
              <w:spacing w:before="177" w:line="222" w:lineRule="auto"/>
              <w:ind w:left="354"/>
            </w:pPr>
            <w:r>
              <w:rPr>
                <w:spacing w:val="-4"/>
              </w:rPr>
              <w:t>指标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15" w:line="224" w:lineRule="auto"/>
              <w:ind w:left="614"/>
            </w:pPr>
            <w:r>
              <w:rPr>
                <w:spacing w:val="-6"/>
              </w:rPr>
              <w:t>二级</w:t>
            </w:r>
          </w:p>
          <w:p>
            <w:pPr>
              <w:pStyle w:val="6"/>
              <w:spacing w:before="177" w:line="222" w:lineRule="auto"/>
              <w:ind w:left="607"/>
            </w:pPr>
            <w:r>
              <w:rPr>
                <w:spacing w:val="-4"/>
              </w:rPr>
              <w:t>指标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15" w:line="224" w:lineRule="auto"/>
              <w:ind w:left="1771"/>
            </w:pPr>
            <w:r>
              <w:rPr>
                <w:spacing w:val="-6"/>
              </w:rPr>
              <w:t>三级</w:t>
            </w:r>
          </w:p>
          <w:p>
            <w:pPr>
              <w:pStyle w:val="6"/>
              <w:spacing w:before="177" w:line="222" w:lineRule="auto"/>
              <w:ind w:left="1764"/>
            </w:pPr>
            <w:r>
              <w:rPr>
                <w:spacing w:val="-4"/>
              </w:rPr>
              <w:t>指标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6" w:line="314" w:lineRule="auto"/>
              <w:ind w:left="520" w:right="141" w:hanging="357"/>
            </w:pPr>
            <w:r>
              <w:rPr>
                <w:spacing w:val="-5"/>
              </w:rPr>
              <w:t>预期指标</w:t>
            </w:r>
            <w:r>
              <w:t>值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before="116" w:line="314" w:lineRule="auto"/>
              <w:ind w:left="789" w:right="176" w:hanging="594"/>
            </w:pPr>
            <w:r>
              <w:rPr>
                <w:spacing w:val="-4"/>
              </w:rPr>
              <w:t>实际完成指标</w:t>
            </w: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1" w:lineRule="auto"/>
              <w:ind w:left="354" w:right="341" w:firstLine="4"/>
            </w:pPr>
            <w:r>
              <w:rPr>
                <w:spacing w:val="-11"/>
              </w:rPr>
              <w:t>完成</w:t>
            </w:r>
            <w:r>
              <w:rPr>
                <w:spacing w:val="-8"/>
              </w:rPr>
              <w:t>指标</w:t>
            </w:r>
          </w:p>
        </w:tc>
        <w:tc>
          <w:tcPr>
            <w:tcW w:w="167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366"/>
            </w:pPr>
            <w:r>
              <w:rPr>
                <w:spacing w:val="-3"/>
              </w:rPr>
              <w:t>数量指标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16" w:line="313" w:lineRule="auto"/>
              <w:ind w:left="121" w:right="103"/>
            </w:pPr>
            <w:r>
              <w:rPr>
                <w:spacing w:val="-6"/>
              </w:rPr>
              <w:t>对全区财务人员开展培训、对全区行</w:t>
            </w:r>
            <w:r>
              <w:rPr>
                <w:spacing w:val="-2"/>
              </w:rPr>
              <w:t>政事业单位开展业务指导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3" w:line="220" w:lineRule="auto"/>
              <w:ind w:left="162"/>
            </w:pPr>
            <w:r>
              <w:rPr>
                <w:spacing w:val="-4"/>
              </w:rPr>
              <w:t>确保工作</w:t>
            </w:r>
          </w:p>
          <w:p>
            <w:pPr>
              <w:pStyle w:val="6"/>
              <w:spacing w:before="181" w:line="221" w:lineRule="auto"/>
              <w:ind w:left="164"/>
            </w:pPr>
            <w:r>
              <w:rPr>
                <w:spacing w:val="-4"/>
              </w:rPr>
              <w:t>正常运行</w:t>
            </w:r>
          </w:p>
        </w:tc>
        <w:tc>
          <w:tcPr>
            <w:tcW w:w="17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93"/>
            </w:pPr>
            <w:r>
              <w:rPr>
                <w:spacing w:val="-3"/>
              </w:rPr>
              <w:t>达到预期指标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373"/>
            </w:pPr>
            <w:r>
              <w:rPr>
                <w:spacing w:val="-5"/>
              </w:rPr>
              <w:t>质量指标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14" w:line="329" w:lineRule="auto"/>
              <w:ind w:left="120" w:right="103" w:firstLine="1"/>
            </w:pPr>
            <w:r>
              <w:rPr>
                <w:spacing w:val="-2"/>
              </w:rPr>
              <w:t>夯实区级各部门和单位会计核算基</w:t>
            </w:r>
            <w:r>
              <w:rPr>
                <w:spacing w:val="-6"/>
              </w:rPr>
              <w:t>础，规范行政事业单位会计核算，提</w:t>
            </w:r>
            <w:r>
              <w:rPr>
                <w:spacing w:val="-2"/>
              </w:rPr>
              <w:t>高会计信息质量</w:t>
            </w:r>
          </w:p>
        </w:tc>
        <w:tc>
          <w:tcPr>
            <w:tcW w:w="125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4" w:lineRule="auto"/>
              <w:ind w:left="163" w:right="141" w:hanging="1"/>
            </w:pPr>
            <w:r>
              <w:rPr>
                <w:spacing w:val="-5"/>
              </w:rPr>
              <w:t>确保工作正常运行</w:t>
            </w:r>
          </w:p>
        </w:tc>
        <w:tc>
          <w:tcPr>
            <w:tcW w:w="179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93"/>
            </w:pPr>
            <w:r>
              <w:rPr>
                <w:spacing w:val="-3"/>
              </w:rPr>
              <w:t>达到预期指标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384"/>
            </w:pPr>
            <w:r>
              <w:rPr>
                <w:spacing w:val="-7"/>
              </w:rPr>
              <w:t>时效指标</w:t>
            </w:r>
          </w:p>
        </w:tc>
        <w:tc>
          <w:tcPr>
            <w:tcW w:w="398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69"/>
            </w:pPr>
            <w:r>
              <w:rPr>
                <w:spacing w:val="-4"/>
              </w:rPr>
              <w:t>2021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年全年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6" w:line="313" w:lineRule="auto"/>
              <w:ind w:left="525" w:right="112" w:hanging="400"/>
            </w:pPr>
            <w:r>
              <w:rPr>
                <w:spacing w:val="-6"/>
              </w:rPr>
              <w:t>2021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年全</w:t>
            </w:r>
            <w:r>
              <w:t>年</w:t>
            </w:r>
          </w:p>
        </w:tc>
        <w:tc>
          <w:tcPr>
            <w:tcW w:w="179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93"/>
            </w:pPr>
            <w:r>
              <w:rPr>
                <w:spacing w:val="-3"/>
              </w:rPr>
              <w:t>达到预期指标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371"/>
            </w:pPr>
            <w:r>
              <w:rPr>
                <w:spacing w:val="-4"/>
              </w:rPr>
              <w:t>成本指标</w:t>
            </w:r>
          </w:p>
        </w:tc>
        <w:tc>
          <w:tcPr>
            <w:tcW w:w="398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0" w:lineRule="auto"/>
              <w:ind w:left="132" w:right="103" w:hanging="12"/>
            </w:pPr>
            <w:r>
              <w:rPr>
                <w:spacing w:val="-6"/>
              </w:rPr>
              <w:t>开展业务培训所需会议费，购买票证</w:t>
            </w:r>
            <w:r>
              <w:rPr>
                <w:spacing w:val="-4"/>
              </w:rPr>
              <w:t>资料及印刷费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7" w:line="222" w:lineRule="auto"/>
              <w:ind w:left="162"/>
            </w:pPr>
            <w:r>
              <w:rPr>
                <w:spacing w:val="-4"/>
              </w:rPr>
              <w:t>各类软件</w:t>
            </w:r>
          </w:p>
          <w:p>
            <w:pPr>
              <w:pStyle w:val="6"/>
              <w:spacing w:before="179" w:line="222" w:lineRule="auto"/>
              <w:ind w:left="160"/>
            </w:pPr>
            <w:r>
              <w:rPr>
                <w:spacing w:val="-3"/>
              </w:rPr>
              <w:t>服务费及</w:t>
            </w:r>
          </w:p>
          <w:p>
            <w:pPr>
              <w:pStyle w:val="6"/>
              <w:spacing w:before="177" w:line="313" w:lineRule="auto"/>
              <w:ind w:left="282" w:right="141" w:hanging="118"/>
            </w:pPr>
            <w:r>
              <w:rPr>
                <w:spacing w:val="-5"/>
              </w:rPr>
              <w:t>财政专网</w:t>
            </w:r>
            <w:r>
              <w:rPr>
                <w:spacing w:val="-4"/>
              </w:rPr>
              <w:t>使用费</w:t>
            </w:r>
          </w:p>
        </w:tc>
        <w:tc>
          <w:tcPr>
            <w:tcW w:w="179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93"/>
            </w:pPr>
            <w:r>
              <w:rPr>
                <w:spacing w:val="-3"/>
              </w:rPr>
              <w:t>达到预期指标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pStyle w:val="6"/>
              <w:spacing w:before="122" w:line="223" w:lineRule="auto"/>
              <w:ind w:left="358"/>
            </w:pPr>
            <w:r>
              <w:rPr>
                <w:spacing w:val="-5"/>
              </w:rPr>
              <w:t>效益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29" w:line="221" w:lineRule="auto"/>
              <w:ind w:left="127"/>
            </w:pPr>
            <w:r>
              <w:rPr>
                <w:spacing w:val="-4"/>
              </w:rPr>
              <w:t>经济效益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指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30" w:line="225" w:lineRule="auto"/>
              <w:ind w:left="1887"/>
            </w:pPr>
            <w:r>
              <w:t>无</w:t>
            </w: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1" w:type="default"/>
          <w:pgSz w:w="11900" w:h="16840"/>
          <w:pgMar w:top="1431" w:right="535" w:bottom="1379" w:left="537" w:header="0" w:footer="1214" w:gutter="0"/>
          <w:cols w:space="720" w:num="1"/>
        </w:sectPr>
      </w:pPr>
    </w:p>
    <w:p>
      <w:pPr>
        <w:spacing w:line="90" w:lineRule="auto"/>
        <w:rPr>
          <w:rFonts w:ascii="Arial"/>
          <w:sz w:val="2"/>
        </w:rPr>
      </w:pPr>
    </w:p>
    <w:tbl>
      <w:tblPr>
        <w:tblStyle w:val="5"/>
        <w:tblW w:w="108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166"/>
        <w:gridCol w:w="1672"/>
        <w:gridCol w:w="3982"/>
        <w:gridCol w:w="1252"/>
        <w:gridCol w:w="1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52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7" w:line="222" w:lineRule="auto"/>
              <w:ind w:left="354"/>
            </w:pPr>
            <w:bookmarkStart w:id="21" w:name="bookmark42"/>
            <w:bookmarkEnd w:id="21"/>
            <w:r>
              <w:rPr>
                <w:spacing w:val="-4"/>
              </w:rPr>
              <w:t>指标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17" w:line="222" w:lineRule="auto"/>
              <w:ind w:left="726"/>
            </w:pPr>
            <w:r>
              <w:t>标</w:t>
            </w:r>
          </w:p>
        </w:tc>
        <w:tc>
          <w:tcPr>
            <w:tcW w:w="3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6"/>
              <w:spacing w:before="110" w:line="315" w:lineRule="auto"/>
              <w:ind w:left="726" w:right="115" w:hanging="599"/>
            </w:pPr>
            <w:r>
              <w:rPr>
                <w:spacing w:val="-7"/>
              </w:rPr>
              <w:t>社会效益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指</w:t>
            </w:r>
            <w:r>
              <w:t>标</w:t>
            </w:r>
          </w:p>
        </w:tc>
        <w:tc>
          <w:tcPr>
            <w:tcW w:w="3982" w:type="dxa"/>
            <w:vAlign w:val="top"/>
          </w:tcPr>
          <w:p>
            <w:pPr>
              <w:pStyle w:val="6"/>
              <w:spacing w:before="112" w:line="314" w:lineRule="auto"/>
              <w:ind w:left="125" w:right="103"/>
            </w:pPr>
            <w:r>
              <w:rPr>
                <w:spacing w:val="-6"/>
              </w:rPr>
              <w:t>通过会计人员业务培训，提高业务素</w:t>
            </w:r>
            <w:r>
              <w:rPr>
                <w:spacing w:val="-2"/>
              </w:rPr>
              <w:t>质，确保会计活动真实性、完整性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3" w:line="222" w:lineRule="auto"/>
              <w:ind w:left="158"/>
            </w:pPr>
            <w:r>
              <w:rPr>
                <w:spacing w:val="-3"/>
              </w:rPr>
              <w:t>有效开展</w:t>
            </w:r>
          </w:p>
          <w:p>
            <w:pPr>
              <w:pStyle w:val="6"/>
              <w:spacing w:before="179" w:line="220" w:lineRule="auto"/>
              <w:ind w:left="161"/>
            </w:pPr>
            <w:r>
              <w:rPr>
                <w:spacing w:val="-3"/>
              </w:rPr>
              <w:t>指导作用</w:t>
            </w:r>
          </w:p>
        </w:tc>
        <w:tc>
          <w:tcPr>
            <w:tcW w:w="179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93"/>
            </w:pPr>
            <w:r>
              <w:rPr>
                <w:spacing w:val="-3"/>
              </w:rPr>
              <w:t>达到预期指标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6"/>
              <w:spacing w:before="113" w:line="314" w:lineRule="auto"/>
              <w:ind w:left="541" w:right="420" w:hanging="225"/>
            </w:pPr>
            <w:r>
              <w:rPr>
                <w:spacing w:val="-8"/>
              </w:rPr>
              <w:t>生态效益</w:t>
            </w:r>
            <w:r>
              <w:rPr>
                <w:spacing w:val="-4"/>
              </w:rPr>
              <w:t>指标</w:t>
            </w:r>
          </w:p>
        </w:tc>
        <w:tc>
          <w:tcPr>
            <w:tcW w:w="398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887"/>
            </w:pPr>
            <w:r>
              <w:t>无</w:t>
            </w: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6"/>
              <w:spacing w:before="115" w:line="313" w:lineRule="auto"/>
              <w:ind w:left="607" w:right="235" w:hanging="356"/>
            </w:pPr>
            <w:r>
              <w:rPr>
                <w:spacing w:val="-4"/>
              </w:rPr>
              <w:t>可持续影响指标</w:t>
            </w:r>
          </w:p>
        </w:tc>
        <w:tc>
          <w:tcPr>
            <w:tcW w:w="398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3"/>
            </w:pPr>
            <w:r>
              <w:t>无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5" w:line="220" w:lineRule="auto"/>
              <w:ind w:left="162"/>
            </w:pPr>
            <w:r>
              <w:rPr>
                <w:spacing w:val="-4"/>
              </w:rPr>
              <w:t>确保工作</w:t>
            </w:r>
          </w:p>
          <w:p>
            <w:pPr>
              <w:pStyle w:val="6"/>
              <w:spacing w:before="181" w:line="221" w:lineRule="auto"/>
              <w:ind w:left="164"/>
            </w:pPr>
            <w:r>
              <w:rPr>
                <w:spacing w:val="-4"/>
              </w:rPr>
              <w:t>正常运行</w:t>
            </w:r>
          </w:p>
        </w:tc>
        <w:tc>
          <w:tcPr>
            <w:tcW w:w="179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93"/>
            </w:pPr>
            <w:r>
              <w:rPr>
                <w:spacing w:val="-3"/>
              </w:rPr>
              <w:t>达到预期指标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pStyle w:val="6"/>
              <w:spacing w:before="117" w:line="314" w:lineRule="auto"/>
              <w:ind w:left="234" w:right="221" w:firstLine="120"/>
            </w:pPr>
            <w:r>
              <w:rPr>
                <w:spacing w:val="-9"/>
              </w:rPr>
              <w:t>满意</w:t>
            </w:r>
            <w:r>
              <w:rPr>
                <w:spacing w:val="-6"/>
              </w:rPr>
              <w:t>度指标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117" w:line="314" w:lineRule="auto"/>
              <w:ind w:left="607" w:right="475" w:hanging="119"/>
            </w:pPr>
            <w:r>
              <w:rPr>
                <w:spacing w:val="-6"/>
              </w:rPr>
              <w:t>满意度</w:t>
            </w:r>
            <w:r>
              <w:rPr>
                <w:spacing w:val="-4"/>
              </w:rPr>
              <w:t>指标</w:t>
            </w:r>
          </w:p>
        </w:tc>
        <w:tc>
          <w:tcPr>
            <w:tcW w:w="398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3"/>
              </w:rPr>
              <w:t>社会满意率达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95%以上</w:t>
            </w:r>
          </w:p>
        </w:tc>
        <w:tc>
          <w:tcPr>
            <w:tcW w:w="125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61"/>
            </w:pPr>
            <w:r>
              <w:rPr>
                <w:spacing w:val="-3"/>
              </w:rPr>
              <w:t>基本满意</w:t>
            </w:r>
          </w:p>
        </w:tc>
        <w:tc>
          <w:tcPr>
            <w:tcW w:w="179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93"/>
            </w:pPr>
            <w:r>
              <w:rPr>
                <w:spacing w:val="-3"/>
              </w:rPr>
              <w:t>达到预期指标</w:t>
            </w:r>
          </w:p>
        </w:tc>
      </w:tr>
    </w:tbl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40" w:line="225" w:lineRule="auto"/>
        <w:ind w:left="4195"/>
        <w:outlineLvl w:val="0"/>
        <w:rPr>
          <w:rFonts w:ascii="黑体" w:hAnsi="黑体" w:eastAsia="黑体" w:cs="黑体"/>
          <w:sz w:val="43"/>
          <w:szCs w:val="43"/>
        </w:rPr>
      </w:pPr>
      <w:bookmarkStart w:id="22" w:name="bookmark19"/>
      <w:bookmarkEnd w:id="22"/>
      <w:r>
        <w:rPr>
          <w:rFonts w:ascii="黑体" w:hAnsi="黑体" w:eastAsia="黑体" w:cs="黑体"/>
          <w:sz w:val="43"/>
          <w:szCs w:val="43"/>
        </w:rPr>
        <w:t>第五部分</w:t>
      </w:r>
      <w:r>
        <w:rPr>
          <w:rFonts w:ascii="黑体" w:hAnsi="黑体" w:eastAsia="黑体" w:cs="黑体"/>
          <w:spacing w:val="45"/>
          <w:sz w:val="43"/>
          <w:szCs w:val="43"/>
        </w:rPr>
        <w:t xml:space="preserve"> </w:t>
      </w:r>
      <w:r>
        <w:rPr>
          <w:rFonts w:ascii="黑体" w:hAnsi="黑体" w:eastAsia="黑体" w:cs="黑体"/>
          <w:sz w:val="43"/>
          <w:szCs w:val="43"/>
        </w:rPr>
        <w:t>附表</w:t>
      </w:r>
    </w:p>
    <w:p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footerReference r:id="rId32" w:type="default"/>
          <w:pgSz w:w="11900" w:h="16840"/>
          <w:pgMar w:top="1431" w:right="535" w:bottom="1379" w:left="537" w:header="0" w:footer="1215" w:gutter="0"/>
          <w:cols w:space="720" w:num="1"/>
        </w:sectPr>
      </w:pPr>
    </w:p>
    <w:p>
      <w:pPr>
        <w:spacing w:before="161" w:line="227" w:lineRule="auto"/>
        <w:ind w:left="38"/>
        <w:outlineLvl w:val="1"/>
        <w:rPr>
          <w:rFonts w:ascii="仿宋" w:hAnsi="仿宋" w:eastAsia="仿宋" w:cs="仿宋"/>
          <w:sz w:val="31"/>
          <w:szCs w:val="31"/>
        </w:rPr>
      </w:pPr>
      <w:bookmarkStart w:id="23" w:name="bookmark43"/>
      <w:bookmarkEnd w:id="23"/>
      <w:bookmarkStart w:id="24" w:name="bookmark20"/>
      <w:bookmarkEnd w:id="24"/>
      <w:r>
        <w:rPr>
          <w:rFonts w:ascii="仿宋" w:hAnsi="仿宋" w:eastAsia="仿宋" w:cs="仿宋"/>
          <w:spacing w:val="6"/>
          <w:sz w:val="31"/>
          <w:szCs w:val="31"/>
        </w:rPr>
        <w:t>一、收入支出决算总表</w:t>
      </w:r>
    </w:p>
    <w:p>
      <w:pPr>
        <w:pStyle w:val="2"/>
        <w:spacing w:line="398" w:lineRule="auto"/>
      </w:pPr>
    </w:p>
    <w:p>
      <w:pPr>
        <w:spacing w:before="101" w:line="227" w:lineRule="auto"/>
        <w:ind w:left="43"/>
        <w:outlineLvl w:val="1"/>
        <w:rPr>
          <w:rFonts w:ascii="仿宋" w:hAnsi="仿宋" w:eastAsia="仿宋" w:cs="仿宋"/>
          <w:sz w:val="31"/>
          <w:szCs w:val="31"/>
        </w:rPr>
      </w:pPr>
      <w:bookmarkStart w:id="25" w:name="bookmark21"/>
      <w:bookmarkEnd w:id="25"/>
      <w:r>
        <w:rPr>
          <w:rFonts w:ascii="仿宋" w:hAnsi="仿宋" w:eastAsia="仿宋" w:cs="仿宋"/>
          <w:spacing w:val="5"/>
          <w:sz w:val="31"/>
          <w:szCs w:val="31"/>
        </w:rPr>
        <w:t>二、收入决算表</w:t>
      </w:r>
    </w:p>
    <w:p>
      <w:pPr>
        <w:pStyle w:val="2"/>
        <w:spacing w:line="401" w:lineRule="auto"/>
      </w:pPr>
    </w:p>
    <w:p>
      <w:pPr>
        <w:spacing w:before="100" w:line="227" w:lineRule="auto"/>
        <w:ind w:left="42"/>
        <w:outlineLvl w:val="1"/>
        <w:rPr>
          <w:rFonts w:ascii="仿宋" w:hAnsi="仿宋" w:eastAsia="仿宋" w:cs="仿宋"/>
          <w:sz w:val="31"/>
          <w:szCs w:val="31"/>
        </w:rPr>
      </w:pPr>
      <w:bookmarkStart w:id="26" w:name="bookmark22"/>
      <w:bookmarkEnd w:id="26"/>
      <w:r>
        <w:rPr>
          <w:rFonts w:ascii="仿宋" w:hAnsi="仿宋" w:eastAsia="仿宋" w:cs="仿宋"/>
          <w:spacing w:val="5"/>
          <w:sz w:val="31"/>
          <w:szCs w:val="31"/>
        </w:rPr>
        <w:t>三、支出决算表</w:t>
      </w:r>
    </w:p>
    <w:p>
      <w:pPr>
        <w:pStyle w:val="2"/>
        <w:spacing w:line="398" w:lineRule="auto"/>
      </w:pPr>
    </w:p>
    <w:p>
      <w:pPr>
        <w:spacing w:before="101" w:line="227" w:lineRule="auto"/>
        <w:ind w:left="71"/>
        <w:outlineLvl w:val="1"/>
        <w:rPr>
          <w:rFonts w:ascii="仿宋" w:hAnsi="仿宋" w:eastAsia="仿宋" w:cs="仿宋"/>
          <w:sz w:val="31"/>
          <w:szCs w:val="31"/>
        </w:rPr>
      </w:pPr>
      <w:bookmarkStart w:id="27" w:name="bookmark23"/>
      <w:bookmarkEnd w:id="27"/>
      <w:r>
        <w:rPr>
          <w:rFonts w:ascii="仿宋" w:hAnsi="仿宋" w:eastAsia="仿宋" w:cs="仿宋"/>
          <w:spacing w:val="5"/>
          <w:sz w:val="31"/>
          <w:szCs w:val="31"/>
        </w:rPr>
        <w:t>四、财政拨款收入支出决算总表</w:t>
      </w:r>
    </w:p>
    <w:p>
      <w:pPr>
        <w:pStyle w:val="2"/>
        <w:spacing w:line="398" w:lineRule="auto"/>
      </w:pPr>
    </w:p>
    <w:p>
      <w:pPr>
        <w:spacing w:before="102" w:line="227" w:lineRule="auto"/>
        <w:ind w:left="38"/>
        <w:outlineLvl w:val="1"/>
        <w:rPr>
          <w:rFonts w:ascii="仿宋" w:hAnsi="仿宋" w:eastAsia="仿宋" w:cs="仿宋"/>
          <w:sz w:val="31"/>
          <w:szCs w:val="31"/>
        </w:rPr>
      </w:pPr>
      <w:bookmarkStart w:id="28" w:name="bookmark24"/>
      <w:bookmarkEnd w:id="28"/>
      <w:r>
        <w:rPr>
          <w:rFonts w:ascii="仿宋" w:hAnsi="仿宋" w:eastAsia="仿宋" w:cs="仿宋"/>
          <w:spacing w:val="7"/>
          <w:sz w:val="31"/>
          <w:szCs w:val="31"/>
        </w:rPr>
        <w:t>五、财政拨款支出决算明细表</w:t>
      </w:r>
    </w:p>
    <w:p>
      <w:pPr>
        <w:pStyle w:val="2"/>
        <w:spacing w:line="401" w:lineRule="auto"/>
      </w:pPr>
    </w:p>
    <w:p>
      <w:pPr>
        <w:spacing w:before="101" w:line="227" w:lineRule="auto"/>
        <w:ind w:left="36"/>
        <w:outlineLvl w:val="1"/>
        <w:rPr>
          <w:rFonts w:ascii="仿宋" w:hAnsi="仿宋" w:eastAsia="仿宋" w:cs="仿宋"/>
          <w:sz w:val="31"/>
          <w:szCs w:val="31"/>
        </w:rPr>
      </w:pPr>
      <w:bookmarkStart w:id="29" w:name="bookmark25"/>
      <w:bookmarkEnd w:id="29"/>
      <w:r>
        <w:rPr>
          <w:rFonts w:ascii="仿宋" w:hAnsi="仿宋" w:eastAsia="仿宋" w:cs="仿宋"/>
          <w:spacing w:val="8"/>
          <w:sz w:val="31"/>
          <w:szCs w:val="31"/>
        </w:rPr>
        <w:t>六、一般公共预算财政拨款支出决算表</w:t>
      </w:r>
    </w:p>
    <w:p>
      <w:pPr>
        <w:pStyle w:val="2"/>
        <w:spacing w:line="398" w:lineRule="auto"/>
      </w:pPr>
    </w:p>
    <w:p>
      <w:pPr>
        <w:spacing w:before="102" w:line="227" w:lineRule="auto"/>
        <w:ind w:left="40"/>
        <w:outlineLvl w:val="1"/>
        <w:rPr>
          <w:rFonts w:ascii="仿宋" w:hAnsi="仿宋" w:eastAsia="仿宋" w:cs="仿宋"/>
          <w:sz w:val="31"/>
          <w:szCs w:val="31"/>
        </w:rPr>
      </w:pPr>
      <w:bookmarkStart w:id="30" w:name="bookmark26"/>
      <w:bookmarkEnd w:id="30"/>
      <w:r>
        <w:rPr>
          <w:rFonts w:ascii="仿宋" w:hAnsi="仿宋" w:eastAsia="仿宋" w:cs="仿宋"/>
          <w:spacing w:val="8"/>
          <w:sz w:val="31"/>
          <w:szCs w:val="31"/>
        </w:rPr>
        <w:t>七、一般公共预算财政拨款支出决算明细表</w:t>
      </w:r>
    </w:p>
    <w:p>
      <w:pPr>
        <w:pStyle w:val="2"/>
        <w:spacing w:line="398" w:lineRule="auto"/>
      </w:pPr>
    </w:p>
    <w:p>
      <w:pPr>
        <w:spacing w:before="101" w:line="227" w:lineRule="auto"/>
        <w:ind w:left="32"/>
        <w:outlineLvl w:val="1"/>
        <w:rPr>
          <w:rFonts w:ascii="仿宋" w:hAnsi="仿宋" w:eastAsia="仿宋" w:cs="仿宋"/>
          <w:sz w:val="31"/>
          <w:szCs w:val="31"/>
        </w:rPr>
      </w:pPr>
      <w:bookmarkStart w:id="31" w:name="bookmark27"/>
      <w:bookmarkEnd w:id="31"/>
      <w:r>
        <w:rPr>
          <w:rFonts w:ascii="仿宋" w:hAnsi="仿宋" w:eastAsia="仿宋" w:cs="仿宋"/>
          <w:spacing w:val="8"/>
          <w:sz w:val="31"/>
          <w:szCs w:val="31"/>
        </w:rPr>
        <w:t>八、一般公共预算财政拨款基本支出决算表</w:t>
      </w:r>
    </w:p>
    <w:p>
      <w:pPr>
        <w:pStyle w:val="2"/>
        <w:spacing w:line="401" w:lineRule="auto"/>
      </w:pPr>
    </w:p>
    <w:p>
      <w:pPr>
        <w:spacing w:before="101" w:line="227" w:lineRule="auto"/>
        <w:ind w:left="45"/>
        <w:outlineLvl w:val="1"/>
        <w:rPr>
          <w:rFonts w:ascii="仿宋" w:hAnsi="仿宋" w:eastAsia="仿宋" w:cs="仿宋"/>
          <w:sz w:val="31"/>
          <w:szCs w:val="31"/>
        </w:rPr>
      </w:pPr>
      <w:bookmarkStart w:id="32" w:name="bookmark28"/>
      <w:bookmarkEnd w:id="32"/>
      <w:r>
        <w:rPr>
          <w:rFonts w:ascii="仿宋" w:hAnsi="仿宋" w:eastAsia="仿宋" w:cs="仿宋"/>
          <w:spacing w:val="8"/>
          <w:sz w:val="31"/>
          <w:szCs w:val="31"/>
        </w:rPr>
        <w:t>九、一般公共预算财政拨款项目支出决算表</w:t>
      </w:r>
    </w:p>
    <w:p>
      <w:pPr>
        <w:pStyle w:val="2"/>
        <w:spacing w:line="398" w:lineRule="auto"/>
      </w:pPr>
    </w:p>
    <w:p>
      <w:pPr>
        <w:spacing w:before="102" w:line="227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十、一般公共预算财政拨款“三公”经费支出决算表</w:t>
      </w:r>
    </w:p>
    <w:p>
      <w:pPr>
        <w:pStyle w:val="2"/>
        <w:spacing w:line="398" w:lineRule="auto"/>
      </w:pPr>
    </w:p>
    <w:p>
      <w:pPr>
        <w:spacing w:before="101" w:line="226" w:lineRule="auto"/>
        <w:ind w:left="42"/>
        <w:outlineLvl w:val="1"/>
        <w:rPr>
          <w:rFonts w:ascii="仿宋" w:hAnsi="仿宋" w:eastAsia="仿宋" w:cs="仿宋"/>
          <w:sz w:val="31"/>
          <w:szCs w:val="31"/>
        </w:rPr>
      </w:pPr>
      <w:bookmarkStart w:id="33" w:name="bookmark30"/>
      <w:bookmarkEnd w:id="33"/>
      <w:r>
        <w:rPr>
          <w:rFonts w:ascii="仿宋" w:hAnsi="仿宋" w:eastAsia="仿宋" w:cs="仿宋"/>
          <w:spacing w:val="8"/>
          <w:sz w:val="31"/>
          <w:szCs w:val="31"/>
        </w:rPr>
        <w:t>十一、政府性基金预算财政拨款收入支出决算表</w:t>
      </w:r>
    </w:p>
    <w:p>
      <w:pPr>
        <w:pStyle w:val="2"/>
        <w:spacing w:line="402" w:lineRule="auto"/>
      </w:pPr>
    </w:p>
    <w:p>
      <w:pPr>
        <w:spacing w:before="101" w:line="226" w:lineRule="auto"/>
        <w:ind w:left="42"/>
        <w:outlineLvl w:val="1"/>
        <w:rPr>
          <w:rFonts w:ascii="仿宋" w:hAnsi="仿宋" w:eastAsia="仿宋" w:cs="仿宋"/>
          <w:sz w:val="31"/>
          <w:szCs w:val="31"/>
        </w:rPr>
      </w:pPr>
      <w:bookmarkStart w:id="34" w:name="bookmark31"/>
      <w:bookmarkEnd w:id="34"/>
      <w:r>
        <w:rPr>
          <w:rFonts w:ascii="仿宋" w:hAnsi="仿宋" w:eastAsia="仿宋" w:cs="仿宋"/>
          <w:spacing w:val="8"/>
          <w:sz w:val="31"/>
          <w:szCs w:val="31"/>
        </w:rPr>
        <w:t>十二、政府性基金预算财政拨款“三公”经费支出决算表</w:t>
      </w:r>
    </w:p>
    <w:p>
      <w:pPr>
        <w:pStyle w:val="2"/>
        <w:spacing w:line="401" w:lineRule="auto"/>
      </w:pPr>
    </w:p>
    <w:p>
      <w:pPr>
        <w:spacing w:before="101" w:line="227" w:lineRule="auto"/>
        <w:ind w:left="42"/>
        <w:outlineLvl w:val="1"/>
        <w:rPr>
          <w:rFonts w:ascii="仿宋" w:hAnsi="仿宋" w:eastAsia="仿宋" w:cs="仿宋"/>
          <w:sz w:val="31"/>
          <w:szCs w:val="31"/>
        </w:rPr>
      </w:pPr>
      <w:bookmarkStart w:id="35" w:name="bookmark32"/>
      <w:bookmarkEnd w:id="35"/>
      <w:r>
        <w:rPr>
          <w:rFonts w:ascii="仿宋" w:hAnsi="仿宋" w:eastAsia="仿宋" w:cs="仿宋"/>
          <w:spacing w:val="8"/>
          <w:sz w:val="31"/>
          <w:szCs w:val="31"/>
        </w:rPr>
        <w:t>十三、国有资本经营预算财政拨款收入支出决算表</w:t>
      </w:r>
    </w:p>
    <w:p>
      <w:pPr>
        <w:pStyle w:val="2"/>
        <w:spacing w:line="398" w:lineRule="auto"/>
      </w:pPr>
    </w:p>
    <w:p>
      <w:pPr>
        <w:spacing w:before="102" w:line="227" w:lineRule="auto"/>
        <w:ind w:left="42"/>
        <w:outlineLvl w:val="1"/>
        <w:rPr>
          <w:rFonts w:ascii="仿宋" w:hAnsi="仿宋" w:eastAsia="仿宋" w:cs="仿宋"/>
          <w:sz w:val="31"/>
          <w:szCs w:val="31"/>
        </w:rPr>
      </w:pPr>
      <w:bookmarkStart w:id="36" w:name="bookmark33"/>
      <w:bookmarkEnd w:id="36"/>
      <w:r>
        <w:rPr>
          <w:rFonts w:ascii="仿宋" w:hAnsi="仿宋" w:eastAsia="仿宋" w:cs="仿宋"/>
          <w:spacing w:val="8"/>
          <w:sz w:val="31"/>
          <w:szCs w:val="31"/>
        </w:rPr>
        <w:t>十四、国有资本经营预算财政拨款支出决算表</w:t>
      </w:r>
    </w:p>
    <w:sectPr>
      <w:footerReference r:id="rId33" w:type="default"/>
      <w:pgSz w:w="11900" w:h="16840"/>
      <w:pgMar w:top="1431" w:right="1785" w:bottom="1379" w:left="1785" w:header="0" w:footer="12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7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7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7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7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55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557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3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2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1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2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2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2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1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1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8B1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Office_11.8.2.11978_F1E327BC-269C-435d-A152-05C5408002CA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2023-09-27T10:30:00Z</dcterms:created>
  <dc:creator>Administrator</dc:creator>
  <cp:lastModifiedBy>花瓣雨</cp:lastModifiedBy>
  <dcterms:modified xsi:type="dcterms:W3CDTF">2026-02-03T03:36:41Z</dcterms:modified>
  <dc:title>&lt;B6ABC7F8B2C6D5FEB9FABFE2D6A7B8B6D6D0D0C432303231C4EAB5A5CEBBBEF6CBE3B1E0D6C6CBB5C3F72E646F63&gt;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2026-02-03T11:25:02Z</vt:filetime>
  </property>
  <property fmtid="{D5CDD505-2E9C-101B-9397-08002B2CF9AE}" pid="4" name="KSOProductBuildVer">
    <vt:lpwstr>2052-11.8.2.11978</vt:lpwstr>
  </property>
  <property fmtid="{D5CDD505-2E9C-101B-9397-08002B2CF9AE}" pid="5" name="ICV">
    <vt:lpwstr>225C674CC3D34E0FB3CCCBDAA1DA0D4E</vt:lpwstr>
  </property>
</Properties>
</file>