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line="579" w:lineRule="atLeast"/>
        <w:textAlignment w:val="auto"/>
        <w:rPr>
          <w:rFonts w:ascii="Times New Roman" w:hAnsi="Times New Roman" w:eastAsia="黑体" w:cs="Times New Roman"/>
          <w:snapToGrid/>
          <w:kern w:val="2"/>
          <w:sz w:val="28"/>
          <w:szCs w:val="28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</w:rPr>
        <w:t>附件1</w:t>
      </w:r>
    </w:p>
    <w:p>
      <w:pPr>
        <w:adjustRightInd w:val="0"/>
        <w:snapToGrid w:val="0"/>
        <w:spacing w:line="276" w:lineRule="auto"/>
        <w:ind w:firstLine="0" w:firstLineChars="0"/>
        <w:jc w:val="center"/>
        <w:rPr>
          <w:rFonts w:ascii="Times New Roman" w:hAnsi="Times New Roman" w:eastAsia="方正小标宋简体" w:cs="Times New Roman"/>
          <w:snapToGrid/>
          <w:kern w:val="2"/>
          <w:sz w:val="32"/>
          <w:szCs w:val="32"/>
        </w:rPr>
      </w:pPr>
    </w:p>
    <w:p>
      <w:pPr>
        <w:adjustRightInd w:val="0"/>
        <w:snapToGrid w:val="0"/>
        <w:spacing w:line="276" w:lineRule="auto"/>
        <w:ind w:left="-44" w:right="-44" w:firstLine="0" w:firstLineChars="0"/>
        <w:jc w:val="center"/>
        <w:rPr>
          <w:rFonts w:ascii="Times New Roman" w:hAnsi="Times New Roman" w:eastAsia="方正小标宋_GBK" w:cs="Times New Roman"/>
          <w:kern w:val="2"/>
          <w:sz w:val="38"/>
          <w:szCs w:val="38"/>
        </w:rPr>
      </w:pPr>
      <w:r>
        <w:rPr>
          <w:rFonts w:ascii="Times New Roman" w:hAnsi="Times New Roman" w:eastAsia="方正小标宋_GBK" w:cs="Times New Roman"/>
          <w:b/>
          <w:bCs/>
          <w:kern w:val="2"/>
          <w:sz w:val="44"/>
          <w:szCs w:val="44"/>
        </w:rPr>
        <w:t>2025年攀枝花市东区一般公共预算调整表</w:t>
      </w:r>
    </w:p>
    <w:p>
      <w:pPr>
        <w:spacing w:line="579" w:lineRule="exact"/>
        <w:ind w:left="-44" w:right="10" w:rightChars="5" w:firstLine="470" w:firstLineChars="196"/>
        <w:jc w:val="right"/>
        <w:rPr>
          <w:rFonts w:ascii="Times New Roman" w:hAnsi="Times New Roman" w:eastAsia="仿宋_GB2312" w:cs="Times New Roman"/>
          <w:bCs/>
          <w:kern w:val="2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kern w:val="2"/>
          <w:sz w:val="24"/>
          <w:szCs w:val="24"/>
        </w:rPr>
        <w:t xml:space="preserve">   </w:t>
      </w:r>
      <w:r>
        <w:rPr>
          <w:rFonts w:ascii="Times New Roman" w:hAnsi="Times New Roman" w:eastAsia="方正仿宋_GBK" w:cs="Times New Roman"/>
          <w:bCs/>
          <w:kern w:val="2"/>
          <w:sz w:val="24"/>
          <w:szCs w:val="24"/>
        </w:rPr>
        <w:t>单位：万元</w:t>
      </w:r>
    </w:p>
    <w:tbl>
      <w:tblPr>
        <w:tblStyle w:val="5"/>
        <w:tblW w:w="94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34"/>
        <w:gridCol w:w="916"/>
        <w:gridCol w:w="1129"/>
        <w:gridCol w:w="1585"/>
        <w:gridCol w:w="1134"/>
        <w:gridCol w:w="964"/>
        <w:gridCol w:w="1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收入项目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变动情况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调整预算数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支出项目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变动情况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调整预算数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一、一般公共预算收入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108,000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108,000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一、一般公共预算支出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227,427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,573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（一）税收收入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64,000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-7,000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57,000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二、补助下级支出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（二）非税收入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44,000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7,000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0"/>
                <w:szCs w:val="20"/>
                <w:lang w:bidi="ar"/>
              </w:rPr>
              <w:t>51,000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三、上解上级支出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24,000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10,123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34,123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二、上级补助收入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77,427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83,724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161,151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其中：专项上解支出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24,000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10,123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34,123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（一）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返还性收入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1,152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1,152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四、调出资金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eastAsia="zh-CN"/>
              </w:rPr>
              <w:t>二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一般性转移支付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76,275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28,724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104,999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五、债务还本支出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25,252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25,252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eastAsia="zh-CN"/>
              </w:rPr>
              <w:t>三</w:t>
            </w: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专项转移支付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55,000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55,000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其中：地方政府一般债券还本支出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25,252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25,252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三、下级上解收入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六、补充预算周转金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四、上年结余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53,348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3,416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56,764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七、安排预算稳定调节基金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25,000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25,000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五、调入资金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2,000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2,000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八、援助其他地区支出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六、债务收入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九、年终结余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,065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七、债务转贷收入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22,700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5,372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28,072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其中：结转下年支出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,065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,065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（一）再融资债券收入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22,700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22,700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（二）新增债券收入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5,372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5,372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八、动用预算稳定调节基金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13,204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13,453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2"/>
                <w:sz w:val="20"/>
                <w:szCs w:val="20"/>
              </w:rPr>
              <w:t>收入总计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276,679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92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,761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36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,440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2" w:leftChars="-20" w:right="-42" w:rightChars="-20" w:firstLine="0" w:firstLineChars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2"/>
                <w:sz w:val="20"/>
                <w:szCs w:val="20"/>
              </w:rPr>
              <w:t>支出总计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276,679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92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,761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36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,440</w:t>
            </w:r>
          </w:p>
        </w:tc>
      </w:tr>
    </w:tbl>
    <w:p>
      <w:pPr>
        <w:spacing w:line="60" w:lineRule="exact"/>
        <w:ind w:left="-44" w:right="-44" w:firstLine="300" w:firstLineChars="0"/>
        <w:jc w:val="both"/>
        <w:rPr>
          <w:rFonts w:ascii="Times New Roman" w:hAnsi="Times New Roman" w:eastAsia="宋体" w:cs="Times New Roman"/>
          <w:kern w:val="2"/>
          <w:sz w:val="15"/>
          <w:szCs w:val="15"/>
        </w:rPr>
      </w:pPr>
    </w:p>
    <w:p>
      <w:pPr>
        <w:ind w:left="-44" w:right="-44" w:firstLine="21" w:firstLineChars="10"/>
        <w:jc w:val="both"/>
        <w:rPr>
          <w:rFonts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24"/>
        </w:rPr>
        <w:br w:type="page"/>
      </w:r>
      <w:r>
        <w:rPr>
          <w:rFonts w:ascii="Times New Roman" w:hAnsi="Times New Roman" w:eastAsia="方正黑体_GBK" w:cs="Times New Roman"/>
          <w:kern w:val="2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276" w:lineRule="auto"/>
        <w:ind w:left="-44" w:right="-44" w:firstLine="0" w:firstLineChars="0"/>
        <w:jc w:val="center"/>
        <w:rPr>
          <w:rFonts w:ascii="Times New Roman" w:hAnsi="Times New Roman" w:eastAsia="方正小标宋简体" w:cs="Times New Roman"/>
          <w:kern w:val="2"/>
          <w:sz w:val="32"/>
          <w:szCs w:val="32"/>
        </w:rPr>
      </w:pPr>
    </w:p>
    <w:p>
      <w:pPr>
        <w:adjustRightInd w:val="0"/>
        <w:snapToGrid w:val="0"/>
        <w:spacing w:line="276" w:lineRule="auto"/>
        <w:ind w:left="-44" w:right="-44" w:firstLine="0" w:firstLineChars="0"/>
        <w:jc w:val="center"/>
        <w:rPr>
          <w:rFonts w:ascii="Times New Roman" w:hAnsi="Times New Roman" w:eastAsia="方正小标宋_GBK" w:cs="Times New Roman"/>
          <w:kern w:val="2"/>
          <w:sz w:val="38"/>
          <w:szCs w:val="38"/>
        </w:rPr>
      </w:pPr>
      <w:r>
        <w:rPr>
          <w:rFonts w:ascii="Times New Roman" w:hAnsi="Times New Roman" w:eastAsia="方正小标宋_GBK" w:cs="Times New Roman"/>
          <w:b/>
          <w:bCs/>
          <w:kern w:val="2"/>
          <w:sz w:val="44"/>
          <w:szCs w:val="44"/>
        </w:rPr>
        <w:t>2025年攀枝花市东区政府性基金预算调整表</w:t>
      </w:r>
    </w:p>
    <w:p>
      <w:pPr>
        <w:spacing w:line="579" w:lineRule="exact"/>
        <w:ind w:left="-44" w:right="10" w:rightChars="5" w:firstLine="470" w:firstLineChars="196"/>
        <w:jc w:val="right"/>
        <w:rPr>
          <w:rFonts w:ascii="Times New Roman" w:hAnsi="Times New Roman" w:eastAsia="仿宋_GB2312" w:cs="Times New Roman"/>
          <w:bCs/>
          <w:kern w:val="2"/>
          <w:sz w:val="24"/>
          <w:szCs w:val="24"/>
        </w:rPr>
      </w:pPr>
      <w:r>
        <w:rPr>
          <w:rFonts w:ascii="Times New Roman" w:hAnsi="Times New Roman" w:eastAsia="方正仿宋_GBK" w:cs="Times New Roman"/>
          <w:bCs/>
          <w:kern w:val="2"/>
          <w:sz w:val="24"/>
          <w:szCs w:val="24"/>
        </w:rPr>
        <w:t>单位：万元</w:t>
      </w:r>
    </w:p>
    <w:tbl>
      <w:tblPr>
        <w:tblStyle w:val="5"/>
        <w:tblW w:w="9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852"/>
        <w:gridCol w:w="968"/>
        <w:gridCol w:w="1227"/>
        <w:gridCol w:w="1498"/>
        <w:gridCol w:w="925"/>
        <w:gridCol w:w="978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收入项目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变动情况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调整预算数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支出项目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变动情况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调整预算数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一、政府性基金预算收入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20,000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-6,822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13,178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一、政府性基金预算支出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51,433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93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其中：土地出让收入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19,000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-6,022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12,978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二、补助下级支出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二、上级补助收入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三、上解上级支出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三、下级上解收入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四、调出资金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四、上年结余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31,433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-171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31,262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五、债务还本支出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73,800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73,800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五、调入资金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六、债务转贷支出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六、债务收入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七、年终结余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七、债务转贷收入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132,128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132,128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（一）再融资债券收入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  <w:t>（二）新增债券收入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132,128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132,128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ind w:left="-44" w:right="-44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2"/>
                <w:sz w:val="20"/>
                <w:szCs w:val="20"/>
              </w:rPr>
              <w:t>收入总计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51,433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2"/>
                <w:sz w:val="20"/>
                <w:szCs w:val="20"/>
              </w:rPr>
              <w:t>支出总计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51,433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b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等线" w:cs="Times New Roman"/>
                <w:b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b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hAnsi="Times New Roman" w:eastAsia="等线" w:cs="Times New Roman"/>
                <w:b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</w:tr>
    </w:tbl>
    <w:p>
      <w:pPr>
        <w:spacing w:line="60" w:lineRule="exact"/>
        <w:ind w:left="-44" w:right="-44" w:firstLine="300" w:firstLineChars="0"/>
        <w:jc w:val="both"/>
        <w:rPr>
          <w:rFonts w:ascii="Times New Roman" w:hAnsi="Times New Roman" w:eastAsia="宋体" w:cs="Times New Roman"/>
          <w:kern w:val="2"/>
          <w:sz w:val="15"/>
          <w:szCs w:val="15"/>
        </w:rPr>
      </w:pPr>
    </w:p>
    <w:p>
      <w:pPr>
        <w:ind w:left="-44" w:right="-44" w:firstLine="0" w:firstLineChars="0"/>
        <w:jc w:val="both"/>
        <w:rPr>
          <w:rFonts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br w:type="page"/>
      </w:r>
      <w:r>
        <w:rPr>
          <w:rFonts w:ascii="Times New Roman" w:hAnsi="Times New Roman" w:eastAsia="方正黑体_GBK" w:cs="Times New Roman"/>
          <w:kern w:val="2"/>
          <w:sz w:val="32"/>
          <w:szCs w:val="32"/>
        </w:rPr>
        <w:t>附件3</w:t>
      </w:r>
    </w:p>
    <w:p>
      <w:pPr>
        <w:adjustRightInd w:val="0"/>
        <w:snapToGrid w:val="0"/>
        <w:spacing w:line="276" w:lineRule="auto"/>
        <w:ind w:left="-44" w:right="-44" w:firstLine="0" w:firstLineChars="0"/>
        <w:jc w:val="center"/>
        <w:rPr>
          <w:rFonts w:ascii="Times New Roman" w:hAnsi="Times New Roman" w:eastAsia="方正小标宋简体" w:cs="Times New Roman"/>
          <w:kern w:val="2"/>
          <w:sz w:val="32"/>
          <w:szCs w:val="32"/>
        </w:rPr>
      </w:pPr>
    </w:p>
    <w:p>
      <w:pPr>
        <w:adjustRightInd w:val="0"/>
        <w:snapToGrid w:val="0"/>
        <w:spacing w:line="276" w:lineRule="auto"/>
        <w:ind w:left="-44" w:right="-44" w:firstLine="0" w:firstLineChars="0"/>
        <w:jc w:val="center"/>
        <w:rPr>
          <w:rFonts w:ascii="Times New Roman" w:hAnsi="Times New Roman" w:eastAsia="方正小标宋_GBK" w:cs="Times New Roman"/>
          <w:b/>
          <w:bCs/>
          <w:w w:val="95"/>
          <w:kern w:val="2"/>
          <w:sz w:val="40"/>
          <w:szCs w:val="40"/>
        </w:rPr>
      </w:pPr>
      <w:r>
        <w:rPr>
          <w:rFonts w:ascii="Times New Roman" w:hAnsi="Times New Roman" w:eastAsia="方正小标宋_GBK" w:cs="Times New Roman"/>
          <w:b/>
          <w:bCs/>
          <w:w w:val="95"/>
          <w:kern w:val="2"/>
          <w:sz w:val="44"/>
          <w:szCs w:val="44"/>
        </w:rPr>
        <w:t>2025年攀枝花市东区国有资本经营预算调整表</w:t>
      </w:r>
    </w:p>
    <w:p>
      <w:pPr>
        <w:spacing w:line="579" w:lineRule="exact"/>
        <w:ind w:left="-44" w:right="10" w:rightChars="5" w:firstLine="470" w:firstLineChars="196"/>
        <w:jc w:val="right"/>
        <w:rPr>
          <w:rFonts w:ascii="Times New Roman" w:hAnsi="Times New Roman" w:eastAsia="方正仿宋_GBK" w:cs="Times New Roman"/>
          <w:bCs/>
          <w:kern w:val="2"/>
          <w:sz w:val="24"/>
          <w:szCs w:val="24"/>
        </w:rPr>
      </w:pPr>
      <w:r>
        <w:rPr>
          <w:rFonts w:ascii="Times New Roman" w:hAnsi="Times New Roman" w:eastAsia="方正仿宋_GBK" w:cs="Times New Roman"/>
          <w:bCs/>
          <w:kern w:val="2"/>
          <w:sz w:val="24"/>
          <w:szCs w:val="24"/>
        </w:rPr>
        <w:t>单位：万元</w:t>
      </w:r>
    </w:p>
    <w:tbl>
      <w:tblPr>
        <w:tblStyle w:val="5"/>
        <w:tblW w:w="90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802"/>
        <w:gridCol w:w="986"/>
        <w:gridCol w:w="1125"/>
        <w:gridCol w:w="1650"/>
        <w:gridCol w:w="750"/>
        <w:gridCol w:w="925"/>
        <w:gridCol w:w="1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收入项目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变动情况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调整预算数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支出项目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变动情况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84" w:leftChars="-40" w:right="-84" w:rightChars="-40" w:firstLine="0" w:firstLineChars="0"/>
              <w:jc w:val="center"/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1"/>
                <w:szCs w:val="21"/>
              </w:rPr>
              <w:t>调整预算数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一、国有资本经营预算收入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2,000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2,000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一、国有资本经营预算支出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2,360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2,360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二、上级补助收入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2,150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2,150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二、补助下级支出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三、下级上解收入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三、上解上级支出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四、上年结余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四、调出资金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2,000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-44" w:right="-44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both"/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2"/>
                <w:sz w:val="20"/>
                <w:szCs w:val="20"/>
              </w:rPr>
              <w:t>五、年终结余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2"/>
                <w:sz w:val="20"/>
                <w:szCs w:val="20"/>
              </w:rPr>
              <w:t>收入总计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4,360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4,360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2" w:leftChars="-20" w:right="-42" w:rightChars="-20"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2"/>
                <w:sz w:val="20"/>
                <w:szCs w:val="20"/>
              </w:rPr>
              <w:t>支出总计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4,360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44" w:right="-44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4,360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ODhiNzUxOWFhMTAzYmI5NmIyMDNkMmQwMzllZTAifQ=="/>
  </w:docVars>
  <w:rsids>
    <w:rsidRoot w:val="00000000"/>
    <w:rsid w:val="12477494"/>
    <w:rsid w:val="195F6980"/>
    <w:rsid w:val="22D634D1"/>
    <w:rsid w:val="28594FC5"/>
    <w:rsid w:val="571569A2"/>
    <w:rsid w:val="5AD8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autoRedefine/>
    <w:qFormat/>
    <w:uiPriority w:val="0"/>
    <w:pPr>
      <w:widowControl w:val="0"/>
      <w:ind w:left="42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2024-01-30T07:15:00Z</dcterms:created>
  <dc:creator>ASUS</dc:creator>
  <cp:lastModifiedBy>徐驰</cp:lastModifiedBy>
  <dcterms:modified xsi:type="dcterms:W3CDTF">2025-12-26T00:59:12Z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E20717DA9517496AB607F84B16CF2EC6_12</vt:lpwstr>
  </property>
</Properties>
</file>