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BA58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imes New Roman" w:hAnsi="Times New Roman" w:eastAsia="宋体" w:cs="Times New Roman"/>
          <w:b/>
          <w:bCs/>
          <w:sz w:val="44"/>
          <w:szCs w:val="52"/>
          <w:highlight w:val="none"/>
        </w:rPr>
      </w:pPr>
      <w:bookmarkStart w:id="0" w:name="_Toc9616"/>
      <w:bookmarkStart w:id="1" w:name="_Toc5300"/>
      <w:bookmarkStart w:id="2" w:name="_Toc6069"/>
      <w:bookmarkStart w:id="3" w:name="_Toc14466"/>
      <w:r>
        <w:rPr>
          <w:rFonts w:hint="default" w:ascii="Times New Roman" w:hAnsi="Times New Roman" w:eastAsia="宋体" w:cs="Times New Roman"/>
          <w:b/>
          <w:bCs/>
          <w:sz w:val="44"/>
          <w:szCs w:val="52"/>
          <w:highlight w:val="none"/>
        </w:rPr>
        <w:t>攀枝花市东区X001桐银路、X006沙阿路、X008双弄路、X009遥茨路4条美丽乡村路建设工程审计服务</w:t>
      </w:r>
    </w:p>
    <w:p w14:paraId="767F3EC4">
      <w:pPr>
        <w:rPr>
          <w:rFonts w:hint="default" w:ascii="Times New Roman" w:hAnsi="Times New Roman" w:cs="Times New Roman"/>
          <w:highlight w:val="none"/>
        </w:rPr>
      </w:pPr>
    </w:p>
    <w:p w14:paraId="7469C161">
      <w:pPr>
        <w:jc w:val="center"/>
        <w:outlineLvl w:val="0"/>
        <w:rPr>
          <w:rFonts w:hint="default" w:ascii="Times New Roman" w:hAnsi="Times New Roman" w:cs="Times New Roman"/>
          <w:b/>
          <w:bCs/>
          <w:sz w:val="72"/>
          <w:szCs w:val="72"/>
          <w:highlight w:val="none"/>
        </w:rPr>
      </w:pPr>
      <w:r>
        <w:rPr>
          <w:rFonts w:hint="default" w:ascii="Times New Roman" w:hAnsi="Times New Roman" w:cs="Times New Roman"/>
          <w:b/>
          <w:bCs/>
          <w:sz w:val="72"/>
          <w:szCs w:val="72"/>
          <w:highlight w:val="none"/>
        </w:rPr>
        <w:t>比</w:t>
      </w:r>
      <w:bookmarkEnd w:id="0"/>
      <w:bookmarkEnd w:id="1"/>
      <w:bookmarkEnd w:id="2"/>
      <w:bookmarkEnd w:id="3"/>
    </w:p>
    <w:p w14:paraId="50D00621">
      <w:pPr>
        <w:pStyle w:val="13"/>
        <w:ind w:firstLine="0" w:firstLineChars="0"/>
        <w:jc w:val="center"/>
        <w:rPr>
          <w:rFonts w:hint="default" w:ascii="Times New Roman" w:hAnsi="Times New Roman" w:cs="Times New Roman"/>
          <w:sz w:val="72"/>
          <w:szCs w:val="72"/>
          <w:highlight w:val="none"/>
        </w:rPr>
      </w:pPr>
    </w:p>
    <w:p w14:paraId="0CA0F348">
      <w:pPr>
        <w:jc w:val="center"/>
        <w:outlineLvl w:val="0"/>
        <w:rPr>
          <w:rFonts w:hint="default" w:ascii="Times New Roman" w:hAnsi="Times New Roman" w:cs="Times New Roman"/>
          <w:b/>
          <w:bCs/>
          <w:sz w:val="72"/>
          <w:szCs w:val="72"/>
          <w:highlight w:val="none"/>
        </w:rPr>
      </w:pPr>
      <w:bookmarkStart w:id="4" w:name="_Toc2913"/>
      <w:bookmarkStart w:id="5" w:name="_Toc26730"/>
      <w:bookmarkStart w:id="6" w:name="_Toc10206"/>
      <w:bookmarkStart w:id="7" w:name="_Toc12886"/>
      <w:r>
        <w:rPr>
          <w:rFonts w:hint="default" w:ascii="Times New Roman" w:hAnsi="Times New Roman" w:cs="Times New Roman"/>
          <w:b/>
          <w:bCs/>
          <w:sz w:val="72"/>
          <w:szCs w:val="72"/>
          <w:highlight w:val="none"/>
        </w:rPr>
        <w:t>选</w:t>
      </w:r>
      <w:bookmarkEnd w:id="4"/>
      <w:bookmarkEnd w:id="5"/>
      <w:bookmarkEnd w:id="6"/>
      <w:bookmarkEnd w:id="7"/>
    </w:p>
    <w:p w14:paraId="07148643">
      <w:pPr>
        <w:pStyle w:val="13"/>
        <w:ind w:firstLine="0" w:firstLineChars="0"/>
        <w:jc w:val="center"/>
        <w:rPr>
          <w:rFonts w:hint="default" w:ascii="Times New Roman" w:hAnsi="Times New Roman" w:cs="Times New Roman"/>
          <w:sz w:val="72"/>
          <w:szCs w:val="72"/>
          <w:highlight w:val="none"/>
        </w:rPr>
      </w:pPr>
    </w:p>
    <w:p w14:paraId="329D8324">
      <w:pPr>
        <w:jc w:val="center"/>
        <w:outlineLvl w:val="0"/>
        <w:rPr>
          <w:rFonts w:hint="default" w:ascii="Times New Roman" w:hAnsi="Times New Roman" w:cs="Times New Roman"/>
          <w:b/>
          <w:bCs/>
          <w:sz w:val="72"/>
          <w:szCs w:val="72"/>
          <w:highlight w:val="none"/>
        </w:rPr>
      </w:pPr>
      <w:bookmarkStart w:id="8" w:name="_Toc28598"/>
      <w:bookmarkStart w:id="9" w:name="_Toc14786"/>
      <w:bookmarkStart w:id="10" w:name="_Toc29567"/>
      <w:bookmarkStart w:id="11" w:name="_Toc10101"/>
      <w:r>
        <w:rPr>
          <w:rFonts w:hint="default" w:ascii="Times New Roman" w:hAnsi="Times New Roman" w:cs="Times New Roman"/>
          <w:b/>
          <w:bCs/>
          <w:sz w:val="72"/>
          <w:szCs w:val="72"/>
          <w:highlight w:val="none"/>
        </w:rPr>
        <w:t>文</w:t>
      </w:r>
      <w:bookmarkEnd w:id="8"/>
      <w:bookmarkEnd w:id="9"/>
      <w:bookmarkEnd w:id="10"/>
      <w:bookmarkEnd w:id="11"/>
    </w:p>
    <w:p w14:paraId="077A208C">
      <w:pPr>
        <w:pStyle w:val="13"/>
        <w:ind w:firstLine="0" w:firstLineChars="0"/>
        <w:jc w:val="center"/>
        <w:rPr>
          <w:rFonts w:hint="default" w:ascii="Times New Roman" w:hAnsi="Times New Roman" w:cs="Times New Roman"/>
          <w:sz w:val="72"/>
          <w:szCs w:val="72"/>
          <w:highlight w:val="none"/>
        </w:rPr>
      </w:pPr>
    </w:p>
    <w:p w14:paraId="4844E703">
      <w:pPr>
        <w:jc w:val="center"/>
        <w:outlineLvl w:val="0"/>
        <w:rPr>
          <w:rFonts w:hint="default" w:ascii="Times New Roman" w:hAnsi="Times New Roman" w:cs="Times New Roman"/>
          <w:b/>
          <w:bCs/>
          <w:sz w:val="72"/>
          <w:szCs w:val="72"/>
          <w:highlight w:val="none"/>
        </w:rPr>
      </w:pPr>
      <w:bookmarkStart w:id="12" w:name="_Toc11308"/>
      <w:bookmarkStart w:id="13" w:name="_Toc18100"/>
      <w:bookmarkStart w:id="14" w:name="_Toc30098"/>
      <w:bookmarkStart w:id="15" w:name="_Toc29698"/>
      <w:r>
        <w:rPr>
          <w:rFonts w:hint="default" w:ascii="Times New Roman" w:hAnsi="Times New Roman" w:cs="Times New Roman"/>
          <w:b/>
          <w:bCs/>
          <w:sz w:val="72"/>
          <w:szCs w:val="72"/>
          <w:highlight w:val="none"/>
        </w:rPr>
        <w:t>件</w:t>
      </w:r>
      <w:bookmarkEnd w:id="12"/>
      <w:bookmarkEnd w:id="13"/>
      <w:bookmarkEnd w:id="14"/>
      <w:bookmarkEnd w:id="15"/>
      <w:bookmarkStart w:id="16" w:name="_Toc13800"/>
    </w:p>
    <w:p w14:paraId="2758732B">
      <w:pPr>
        <w:spacing w:line="600" w:lineRule="auto"/>
        <w:jc w:val="center"/>
        <w:rPr>
          <w:rFonts w:hint="default" w:ascii="Times New Roman" w:hAnsi="Times New Roman" w:cs="Times New Roman"/>
          <w:b/>
          <w:bCs/>
          <w:sz w:val="72"/>
          <w:szCs w:val="72"/>
          <w:highlight w:val="none"/>
        </w:rPr>
      </w:pPr>
    </w:p>
    <w:p w14:paraId="795005BE">
      <w:pPr>
        <w:spacing w:line="600" w:lineRule="auto"/>
        <w:jc w:val="center"/>
        <w:outlineLvl w:val="0"/>
        <w:rPr>
          <w:rFonts w:hint="default" w:ascii="Times New Roman" w:hAnsi="Times New Roman" w:eastAsia="宋体" w:cs="Times New Roman"/>
          <w:b/>
          <w:bCs/>
          <w:sz w:val="36"/>
          <w:szCs w:val="36"/>
          <w:highlight w:val="none"/>
          <w:lang w:eastAsia="zh-CN"/>
        </w:rPr>
      </w:pPr>
      <w:bookmarkStart w:id="17" w:name="_Toc24197"/>
      <w:bookmarkStart w:id="18" w:name="_Toc22989"/>
      <w:bookmarkStart w:id="19" w:name="_Toc31091"/>
      <w:r>
        <w:rPr>
          <w:rFonts w:hint="default" w:ascii="Times New Roman" w:hAnsi="Times New Roman" w:cs="Times New Roman"/>
          <w:b/>
          <w:bCs/>
          <w:sz w:val="36"/>
          <w:szCs w:val="36"/>
          <w:highlight w:val="none"/>
        </w:rPr>
        <w:t>比选人：</w:t>
      </w:r>
      <w:bookmarkEnd w:id="16"/>
      <w:bookmarkEnd w:id="17"/>
      <w:bookmarkEnd w:id="18"/>
      <w:bookmarkEnd w:id="19"/>
      <w:r>
        <w:rPr>
          <w:rFonts w:hint="default" w:ascii="Times New Roman" w:hAnsi="Times New Roman" w:cs="Times New Roman"/>
          <w:b/>
          <w:bCs/>
          <w:sz w:val="36"/>
          <w:szCs w:val="36"/>
          <w:highlight w:val="none"/>
          <w:lang w:eastAsia="zh-CN"/>
        </w:rPr>
        <w:t>攀枝花市东区农业农村和交通水利局</w:t>
      </w:r>
    </w:p>
    <w:p w14:paraId="1B68F512">
      <w:pPr>
        <w:spacing w:line="600" w:lineRule="auto"/>
        <w:jc w:val="center"/>
        <w:rPr>
          <w:rFonts w:hint="default" w:ascii="Times New Roman" w:hAnsi="Times New Roman" w:cs="Times New Roman"/>
          <w:b/>
          <w:bCs/>
          <w:sz w:val="32"/>
          <w:szCs w:val="32"/>
          <w:highlight w:val="none"/>
        </w:rPr>
      </w:pPr>
      <w:bookmarkStart w:id="20" w:name="_Toc10779"/>
      <w:r>
        <w:rPr>
          <w:rFonts w:hint="default" w:ascii="Times New Roman" w:hAnsi="Times New Roman" w:cs="Times New Roman"/>
          <w:b/>
          <w:bCs/>
          <w:sz w:val="36"/>
          <w:szCs w:val="36"/>
          <w:highlight w:val="none"/>
        </w:rPr>
        <w:t>202</w:t>
      </w:r>
      <w:r>
        <w:rPr>
          <w:rFonts w:hint="default" w:ascii="Times New Roman" w:hAnsi="Times New Roman" w:cs="Times New Roman"/>
          <w:b/>
          <w:bCs/>
          <w:sz w:val="36"/>
          <w:szCs w:val="36"/>
          <w:highlight w:val="none"/>
          <w:lang w:val="en-US" w:eastAsia="zh-CN"/>
        </w:rPr>
        <w:t>6</w:t>
      </w:r>
      <w:r>
        <w:rPr>
          <w:rFonts w:hint="default" w:ascii="Times New Roman" w:hAnsi="Times New Roman" w:cs="Times New Roman"/>
          <w:b/>
          <w:bCs/>
          <w:sz w:val="36"/>
          <w:szCs w:val="36"/>
          <w:highlight w:val="none"/>
        </w:rPr>
        <w:t>年</w:t>
      </w:r>
      <w:r>
        <w:rPr>
          <w:rFonts w:hint="default" w:ascii="Times New Roman" w:hAnsi="Times New Roman" w:cs="Times New Roman"/>
          <w:b/>
          <w:bCs/>
          <w:sz w:val="36"/>
          <w:szCs w:val="36"/>
          <w:highlight w:val="none"/>
          <w:lang w:val="en-US" w:eastAsia="zh-CN"/>
        </w:rPr>
        <w:t>1</w:t>
      </w:r>
      <w:r>
        <w:rPr>
          <w:rFonts w:hint="default" w:ascii="Times New Roman" w:hAnsi="Times New Roman" w:cs="Times New Roman"/>
          <w:b/>
          <w:bCs/>
          <w:sz w:val="36"/>
          <w:szCs w:val="36"/>
          <w:highlight w:val="none"/>
          <w:lang w:val="zh-CN"/>
        </w:rPr>
        <w:t>月</w:t>
      </w:r>
      <w:bookmarkEnd w:id="20"/>
    </w:p>
    <w:p w14:paraId="21417898">
      <w:pPr>
        <w:spacing w:after="156" w:afterLines="50" w:line="420" w:lineRule="exact"/>
        <w:ind w:firstLine="643" w:firstLineChars="200"/>
        <w:jc w:val="center"/>
        <w:rPr>
          <w:rFonts w:hint="default" w:ascii="Times New Roman" w:hAnsi="Times New Roman" w:cs="Times New Roman"/>
          <w:b/>
          <w:bCs/>
          <w:sz w:val="32"/>
          <w:szCs w:val="32"/>
          <w:highlight w:val="none"/>
        </w:rPr>
        <w:sectPr>
          <w:footerReference r:id="rId3" w:type="default"/>
          <w:pgSz w:w="11906" w:h="16838"/>
          <w:pgMar w:top="2098" w:right="1474" w:bottom="1984" w:left="1588" w:header="851" w:footer="992" w:gutter="0"/>
          <w:pgNumType w:fmt="numberInDash" w:start="1"/>
          <w:cols w:space="720" w:num="1"/>
          <w:docGrid w:type="lines" w:linePitch="312" w:charSpace="0"/>
        </w:sectPr>
      </w:pPr>
    </w:p>
    <w:p w14:paraId="2054FFE4">
      <w:pPr>
        <w:jc w:val="center"/>
        <w:rPr>
          <w:rFonts w:hint="default" w:ascii="Times New Roman" w:hAnsi="Times New Roman" w:cs="Times New Roman"/>
          <w:b/>
          <w:bCs/>
          <w:sz w:val="44"/>
          <w:szCs w:val="44"/>
          <w:highlight w:val="none"/>
        </w:rPr>
      </w:pPr>
    </w:p>
    <w:p w14:paraId="0C49FCFD">
      <w:pPr>
        <w:jc w:val="center"/>
        <w:rPr>
          <w:rFonts w:hint="default" w:ascii="Times New Roman" w:hAnsi="Times New Roman" w:cs="Times New Roman"/>
          <w:sz w:val="44"/>
          <w:szCs w:val="44"/>
          <w:highlight w:val="none"/>
        </w:rPr>
      </w:pPr>
      <w:r>
        <w:rPr>
          <w:rFonts w:hint="default" w:ascii="Times New Roman" w:hAnsi="Times New Roman" w:cs="Times New Roman"/>
          <w:b/>
          <w:bCs/>
          <w:sz w:val="44"/>
          <w:szCs w:val="44"/>
          <w:highlight w:val="none"/>
        </w:rPr>
        <w:t>目 录</w:t>
      </w:r>
    </w:p>
    <w:p w14:paraId="6C0C769C">
      <w:pPr>
        <w:pStyle w:val="11"/>
        <w:tabs>
          <w:tab w:val="right" w:leader="dot" w:pos="9070"/>
        </w:tabs>
        <w:rPr>
          <w:rFonts w:hint="default" w:ascii="Times New Roman" w:hAnsi="Times New Roman" w:cs="Times New Roman"/>
          <w:sz w:val="40"/>
          <w:szCs w:val="40"/>
          <w:highlight w:val="none"/>
        </w:rPr>
      </w:pPr>
    </w:p>
    <w:p w14:paraId="052B3DA0">
      <w:pPr>
        <w:pStyle w:val="11"/>
        <w:tabs>
          <w:tab w:val="right" w:leader="dot" w:pos="9070"/>
        </w:tabs>
        <w:rPr>
          <w:rFonts w:hint="default" w:ascii="Times New Roman" w:hAnsi="Times New Roman" w:cs="Times New Roman"/>
          <w:sz w:val="32"/>
          <w:szCs w:val="40"/>
          <w:highlight w:val="none"/>
        </w:rPr>
      </w:pPr>
      <w:r>
        <w:rPr>
          <w:rFonts w:hint="default" w:ascii="Times New Roman" w:hAnsi="Times New Roman" w:cs="Times New Roman"/>
          <w:sz w:val="40"/>
          <w:szCs w:val="40"/>
          <w:highlight w:val="none"/>
        </w:rPr>
        <w:fldChar w:fldCharType="begin"/>
      </w:r>
      <w:r>
        <w:rPr>
          <w:rFonts w:hint="default" w:ascii="Times New Roman" w:hAnsi="Times New Roman" w:cs="Times New Roman"/>
          <w:sz w:val="40"/>
          <w:szCs w:val="40"/>
          <w:highlight w:val="none"/>
        </w:rPr>
        <w:instrText xml:space="preserve">TOC \o "1-1" \h \u </w:instrText>
      </w:r>
      <w:r>
        <w:rPr>
          <w:rFonts w:hint="default" w:ascii="Times New Roman" w:hAnsi="Times New Roman" w:cs="Times New Roman"/>
          <w:sz w:val="40"/>
          <w:szCs w:val="40"/>
          <w:highlight w:val="none"/>
        </w:rPr>
        <w:fldChar w:fldCharType="separate"/>
      </w: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HYPERLINK \l _Toc22116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bCs/>
          <w:sz w:val="32"/>
          <w:szCs w:val="72"/>
          <w:highlight w:val="none"/>
        </w:rPr>
        <w:t>第一部分 比选公告</w:t>
      </w:r>
      <w:r>
        <w:rPr>
          <w:rFonts w:hint="default" w:ascii="Times New Roman" w:hAnsi="Times New Roman" w:cs="Times New Roman"/>
          <w:sz w:val="32"/>
          <w:szCs w:val="40"/>
          <w:highlight w:val="none"/>
        </w:rPr>
        <w:tab/>
      </w: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PAGEREF _Toc22116 \h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sz w:val="32"/>
          <w:szCs w:val="40"/>
          <w:highlight w:val="none"/>
        </w:rPr>
        <w:t>- 3 -</w:t>
      </w:r>
      <w:r>
        <w:rPr>
          <w:rFonts w:hint="default" w:ascii="Times New Roman" w:hAnsi="Times New Roman" w:cs="Times New Roman"/>
          <w:sz w:val="32"/>
          <w:szCs w:val="40"/>
          <w:highlight w:val="none"/>
        </w:rPr>
        <w:fldChar w:fldCharType="end"/>
      </w:r>
      <w:r>
        <w:rPr>
          <w:rFonts w:hint="default" w:ascii="Times New Roman" w:hAnsi="Times New Roman" w:cs="Times New Roman"/>
          <w:sz w:val="32"/>
          <w:szCs w:val="40"/>
          <w:highlight w:val="none"/>
        </w:rPr>
        <w:fldChar w:fldCharType="end"/>
      </w:r>
    </w:p>
    <w:p w14:paraId="5CE244D1">
      <w:pPr>
        <w:rPr>
          <w:rFonts w:hint="default" w:ascii="Times New Roman" w:hAnsi="Times New Roman" w:cs="Times New Roman"/>
          <w:highlight w:val="none"/>
        </w:rPr>
      </w:pPr>
    </w:p>
    <w:p w14:paraId="785368CE">
      <w:pPr>
        <w:pStyle w:val="11"/>
        <w:tabs>
          <w:tab w:val="right" w:leader="dot" w:pos="9070"/>
        </w:tabs>
        <w:rPr>
          <w:rFonts w:hint="default" w:ascii="Times New Roman" w:hAnsi="Times New Roman" w:cs="Times New Roman"/>
          <w:sz w:val="32"/>
          <w:szCs w:val="40"/>
          <w:highlight w:val="none"/>
        </w:rPr>
      </w:pP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HYPERLINK \l _Toc12223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bCs/>
          <w:sz w:val="32"/>
          <w:szCs w:val="72"/>
          <w:highlight w:val="none"/>
        </w:rPr>
        <w:t>第二部分 比选人须知</w:t>
      </w:r>
      <w:r>
        <w:rPr>
          <w:rFonts w:hint="default" w:ascii="Times New Roman" w:hAnsi="Times New Roman" w:cs="Times New Roman"/>
          <w:sz w:val="32"/>
          <w:szCs w:val="40"/>
          <w:highlight w:val="none"/>
        </w:rPr>
        <w:tab/>
      </w: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PAGEREF _Toc12223 \h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sz w:val="32"/>
          <w:szCs w:val="40"/>
          <w:highlight w:val="none"/>
        </w:rPr>
        <w:t xml:space="preserve">- </w:t>
      </w:r>
      <w:r>
        <w:rPr>
          <w:rFonts w:hint="default" w:ascii="Times New Roman" w:hAnsi="Times New Roman" w:cs="Times New Roman"/>
          <w:sz w:val="32"/>
          <w:szCs w:val="40"/>
          <w:highlight w:val="none"/>
          <w:lang w:val="en-US" w:eastAsia="zh-CN"/>
        </w:rPr>
        <w:t>6</w:t>
      </w:r>
      <w:r>
        <w:rPr>
          <w:rFonts w:hint="default" w:ascii="Times New Roman" w:hAnsi="Times New Roman" w:cs="Times New Roman"/>
          <w:sz w:val="32"/>
          <w:szCs w:val="40"/>
          <w:highlight w:val="none"/>
        </w:rPr>
        <w:t xml:space="preserve"> -</w:t>
      </w:r>
      <w:r>
        <w:rPr>
          <w:rFonts w:hint="default" w:ascii="Times New Roman" w:hAnsi="Times New Roman" w:cs="Times New Roman"/>
          <w:sz w:val="32"/>
          <w:szCs w:val="40"/>
          <w:highlight w:val="none"/>
        </w:rPr>
        <w:fldChar w:fldCharType="end"/>
      </w:r>
      <w:r>
        <w:rPr>
          <w:rFonts w:hint="default" w:ascii="Times New Roman" w:hAnsi="Times New Roman" w:cs="Times New Roman"/>
          <w:sz w:val="32"/>
          <w:szCs w:val="40"/>
          <w:highlight w:val="none"/>
        </w:rPr>
        <w:fldChar w:fldCharType="end"/>
      </w:r>
    </w:p>
    <w:p w14:paraId="5236E977">
      <w:pPr>
        <w:rPr>
          <w:rFonts w:hint="default" w:ascii="Times New Roman" w:hAnsi="Times New Roman" w:cs="Times New Roman"/>
          <w:highlight w:val="none"/>
        </w:rPr>
      </w:pPr>
    </w:p>
    <w:p w14:paraId="0E3CE3CA">
      <w:pPr>
        <w:pStyle w:val="11"/>
        <w:tabs>
          <w:tab w:val="right" w:leader="dot" w:pos="9070"/>
        </w:tabs>
        <w:rPr>
          <w:rFonts w:hint="default" w:ascii="Times New Roman" w:hAnsi="Times New Roman" w:cs="Times New Roman"/>
          <w:sz w:val="32"/>
          <w:szCs w:val="40"/>
          <w:highlight w:val="none"/>
        </w:rPr>
      </w:pP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HYPERLINK \l _Toc9210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bCs/>
          <w:sz w:val="32"/>
          <w:szCs w:val="72"/>
          <w:highlight w:val="none"/>
        </w:rPr>
        <w:t>第三部分 申请</w:t>
      </w:r>
      <w:r>
        <w:rPr>
          <w:rFonts w:hint="default" w:ascii="Times New Roman" w:hAnsi="Times New Roman" w:cs="Times New Roman"/>
          <w:sz w:val="32"/>
          <w:szCs w:val="72"/>
          <w:highlight w:val="none"/>
        </w:rPr>
        <w:t>比选文件格式</w:t>
      </w:r>
      <w:r>
        <w:rPr>
          <w:rFonts w:hint="default" w:ascii="Times New Roman" w:hAnsi="Times New Roman" w:cs="Times New Roman"/>
          <w:sz w:val="32"/>
          <w:szCs w:val="40"/>
          <w:highlight w:val="none"/>
        </w:rPr>
        <w:tab/>
      </w: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PAGEREF _Toc9210 \h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sz w:val="32"/>
          <w:szCs w:val="40"/>
          <w:highlight w:val="none"/>
        </w:rPr>
        <w:t xml:space="preserve">- </w:t>
      </w:r>
      <w:r>
        <w:rPr>
          <w:rFonts w:hint="eastAsia" w:ascii="Times New Roman" w:hAnsi="Times New Roman" w:cs="Times New Roman"/>
          <w:sz w:val="32"/>
          <w:szCs w:val="40"/>
          <w:highlight w:val="none"/>
          <w:lang w:val="en-US" w:eastAsia="zh-CN"/>
        </w:rPr>
        <w:t>14</w:t>
      </w:r>
      <w:r>
        <w:rPr>
          <w:rFonts w:hint="default" w:ascii="Times New Roman" w:hAnsi="Times New Roman" w:cs="Times New Roman"/>
          <w:sz w:val="32"/>
          <w:szCs w:val="40"/>
          <w:highlight w:val="none"/>
        </w:rPr>
        <w:t xml:space="preserve"> -</w:t>
      </w:r>
      <w:r>
        <w:rPr>
          <w:rFonts w:hint="default" w:ascii="Times New Roman" w:hAnsi="Times New Roman" w:cs="Times New Roman"/>
          <w:sz w:val="32"/>
          <w:szCs w:val="40"/>
          <w:highlight w:val="none"/>
        </w:rPr>
        <w:fldChar w:fldCharType="end"/>
      </w:r>
      <w:r>
        <w:rPr>
          <w:rFonts w:hint="default" w:ascii="Times New Roman" w:hAnsi="Times New Roman" w:cs="Times New Roman"/>
          <w:sz w:val="32"/>
          <w:szCs w:val="40"/>
          <w:highlight w:val="none"/>
        </w:rPr>
        <w:fldChar w:fldCharType="end"/>
      </w:r>
    </w:p>
    <w:p w14:paraId="1C9751AE">
      <w:pPr>
        <w:pStyle w:val="11"/>
        <w:tabs>
          <w:tab w:val="right" w:leader="dot" w:pos="9070"/>
        </w:tabs>
        <w:rPr>
          <w:rFonts w:hint="default" w:ascii="Times New Roman" w:hAnsi="Times New Roman" w:cs="Times New Roman"/>
          <w:sz w:val="32"/>
          <w:szCs w:val="40"/>
          <w:highlight w:val="none"/>
        </w:rPr>
      </w:pPr>
      <w:r>
        <w:rPr>
          <w:rFonts w:hint="default" w:ascii="Times New Roman" w:hAnsi="Times New Roman" w:cs="Times New Roman"/>
          <w:sz w:val="32"/>
          <w:szCs w:val="40"/>
          <w:highlight w:val="none"/>
        </w:rPr>
        <w:fldChar w:fldCharType="begin"/>
      </w:r>
      <w:r>
        <w:rPr>
          <w:rFonts w:hint="default" w:ascii="Times New Roman" w:hAnsi="Times New Roman" w:cs="Times New Roman"/>
          <w:sz w:val="32"/>
          <w:szCs w:val="40"/>
          <w:highlight w:val="none"/>
        </w:rPr>
        <w:instrText xml:space="preserve"> HYPERLINK \l _Toc4078 </w:instrText>
      </w:r>
      <w:r>
        <w:rPr>
          <w:rFonts w:hint="default" w:ascii="Times New Roman" w:hAnsi="Times New Roman" w:cs="Times New Roman"/>
          <w:sz w:val="32"/>
          <w:szCs w:val="40"/>
          <w:highlight w:val="none"/>
        </w:rPr>
        <w:fldChar w:fldCharType="separate"/>
      </w:r>
      <w:r>
        <w:rPr>
          <w:rFonts w:hint="default" w:ascii="Times New Roman" w:hAnsi="Times New Roman" w:cs="Times New Roman"/>
          <w:sz w:val="32"/>
          <w:szCs w:val="40"/>
          <w:highlight w:val="none"/>
        </w:rPr>
        <w:fldChar w:fldCharType="end"/>
      </w:r>
    </w:p>
    <w:p w14:paraId="6FD89B3F">
      <w:pPr>
        <w:spacing w:after="156" w:afterLines="50" w:line="420" w:lineRule="exact"/>
        <w:rPr>
          <w:rFonts w:hint="default" w:ascii="Times New Roman" w:hAnsi="Times New Roman" w:cs="Times New Roman"/>
          <w:sz w:val="24"/>
          <w:highlight w:val="none"/>
        </w:rPr>
      </w:pPr>
      <w:r>
        <w:rPr>
          <w:rFonts w:hint="default" w:ascii="Times New Roman" w:hAnsi="Times New Roman" w:cs="Times New Roman"/>
          <w:sz w:val="32"/>
          <w:szCs w:val="40"/>
          <w:highlight w:val="none"/>
        </w:rPr>
        <w:fldChar w:fldCharType="end"/>
      </w:r>
    </w:p>
    <w:p w14:paraId="038EA166">
      <w:pPr>
        <w:spacing w:after="156" w:afterLines="50" w:line="420" w:lineRule="exact"/>
        <w:rPr>
          <w:rFonts w:hint="default" w:ascii="Times New Roman" w:hAnsi="Times New Roman" w:cs="Times New Roman"/>
          <w:sz w:val="24"/>
          <w:highlight w:val="none"/>
        </w:rPr>
      </w:pPr>
    </w:p>
    <w:p w14:paraId="2CE6816C">
      <w:pPr>
        <w:pStyle w:val="2"/>
        <w:rPr>
          <w:rFonts w:hint="default" w:ascii="Times New Roman" w:hAnsi="Times New Roman" w:cs="Times New Roman"/>
          <w:highlight w:val="none"/>
        </w:rPr>
        <w:sectPr>
          <w:footerReference r:id="rId4" w:type="default"/>
          <w:pgSz w:w="11906" w:h="16838"/>
          <w:pgMar w:top="1440" w:right="1418" w:bottom="1134" w:left="1418" w:header="851" w:footer="992" w:gutter="0"/>
          <w:pgNumType w:fmt="numberInDash"/>
          <w:cols w:space="720" w:num="1"/>
          <w:docGrid w:type="lines" w:linePitch="312" w:charSpace="0"/>
        </w:sectPr>
      </w:pPr>
      <w:bookmarkStart w:id="21" w:name="_Toc1988"/>
    </w:p>
    <w:p w14:paraId="3E4AE98B">
      <w:pPr>
        <w:spacing w:line="360" w:lineRule="auto"/>
        <w:jc w:val="center"/>
        <w:outlineLvl w:val="0"/>
        <w:rPr>
          <w:rFonts w:hint="default" w:ascii="Times New Roman" w:hAnsi="Times New Roman" w:cs="Times New Roman"/>
          <w:b/>
          <w:bCs/>
          <w:sz w:val="44"/>
          <w:szCs w:val="44"/>
          <w:highlight w:val="none"/>
        </w:rPr>
      </w:pPr>
      <w:bookmarkStart w:id="22" w:name="_Toc22116"/>
      <w:bookmarkStart w:id="23" w:name="_Toc6279"/>
      <w:bookmarkStart w:id="24" w:name="_Toc21311"/>
      <w:r>
        <w:rPr>
          <w:rFonts w:hint="default" w:ascii="Times New Roman" w:hAnsi="Times New Roman" w:cs="Times New Roman"/>
          <w:b/>
          <w:bCs/>
          <w:sz w:val="44"/>
          <w:szCs w:val="44"/>
          <w:highlight w:val="none"/>
        </w:rPr>
        <w:t>第一部分 比选公告</w:t>
      </w:r>
      <w:bookmarkEnd w:id="21"/>
      <w:bookmarkEnd w:id="22"/>
      <w:bookmarkEnd w:id="23"/>
      <w:bookmarkEnd w:id="24"/>
    </w:p>
    <w:p w14:paraId="07852934">
      <w:pPr>
        <w:pStyle w:val="6"/>
        <w:rPr>
          <w:rFonts w:hint="default" w:ascii="Times New Roman" w:hAnsi="Times New Roman" w:cs="Times New Roman"/>
          <w:color w:val="auto"/>
          <w:highlight w:val="none"/>
        </w:rPr>
      </w:pPr>
    </w:p>
    <w:p w14:paraId="29DB1B61">
      <w:pPr>
        <w:spacing w:line="336" w:lineRule="auto"/>
        <w:ind w:firstLine="640" w:firstLineChars="200"/>
        <w:rPr>
          <w:rFonts w:hint="default" w:ascii="Times New Roman" w:hAnsi="Times New Roman" w:eastAsia="方正仿宋_GBK" w:cs="Times New Roman"/>
          <w:b w:val="0"/>
          <w:bCs w:val="0"/>
          <w:sz w:val="32"/>
          <w:szCs w:val="32"/>
        </w:rPr>
      </w:pPr>
      <w:bookmarkStart w:id="25" w:name="_Toc12223"/>
      <w:bookmarkStart w:id="26" w:name="_Toc21688"/>
      <w:bookmarkStart w:id="27" w:name="_Toc24221"/>
      <w:r>
        <w:rPr>
          <w:rFonts w:hint="default" w:ascii="Times New Roman" w:hAnsi="Times New Roman" w:eastAsia="方正仿宋_GBK" w:cs="Times New Roman"/>
          <w:sz w:val="32"/>
          <w:szCs w:val="32"/>
          <w:lang w:val="en-US" w:eastAsia="zh-CN"/>
        </w:rPr>
        <w:t>攀枝花市东区农业农村和交通水利局作为比选人拟对攀枝花市东区X001桐银路、X006</w:t>
      </w:r>
      <w:r>
        <w:rPr>
          <w:rFonts w:hint="default" w:ascii="Times New Roman" w:hAnsi="Times New Roman" w:eastAsia="方正仿宋_GBK" w:cs="Times New Roman"/>
          <w:b w:val="0"/>
          <w:bCs w:val="0"/>
          <w:sz w:val="32"/>
          <w:szCs w:val="32"/>
          <w:lang w:val="en-US" w:eastAsia="zh-CN"/>
        </w:rPr>
        <w:t>沙阿路、X008双弄路、X009遥茨路4条美丽乡村路建设工程审计服务单位进行公开比选</w:t>
      </w:r>
      <w:r>
        <w:rPr>
          <w:rFonts w:hint="default" w:ascii="Times New Roman" w:hAnsi="Times New Roman" w:eastAsia="方正仿宋_GBK" w:cs="Times New Roman"/>
          <w:b w:val="0"/>
          <w:bCs w:val="0"/>
          <w:sz w:val="32"/>
          <w:szCs w:val="32"/>
        </w:rPr>
        <w:t>。现邀请符合本次比选要求的单位参加比选。</w:t>
      </w:r>
    </w:p>
    <w:p w14:paraId="6D702913">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一、项目简要说明</w:t>
      </w:r>
    </w:p>
    <w:p w14:paraId="109FE666">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1.1项目名称：攀枝花市东区攀枝花市东区X001桐银路、X006沙阿路、X008双弄路、X009遥茨路4条美丽乡村路建设工程</w:t>
      </w:r>
      <w:r>
        <w:rPr>
          <w:rFonts w:hint="default" w:ascii="Times New Roman" w:hAnsi="Times New Roman" w:eastAsia="方正仿宋_GBK" w:cs="Times New Roman"/>
          <w:sz w:val="32"/>
          <w:szCs w:val="32"/>
          <w:lang w:val="en-US" w:eastAsia="zh-CN"/>
        </w:rPr>
        <w:t>审计服务</w:t>
      </w:r>
      <w:r>
        <w:rPr>
          <w:rFonts w:hint="default" w:ascii="Times New Roman" w:hAnsi="Times New Roman" w:eastAsia="方正仿宋_GBK" w:cs="Times New Roman"/>
          <w:sz w:val="32"/>
          <w:szCs w:val="32"/>
        </w:rPr>
        <w:t>。</w:t>
      </w:r>
    </w:p>
    <w:p w14:paraId="7D2A42E1">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1.2项目财评评审结论：</w:t>
      </w:r>
      <w:r>
        <w:rPr>
          <w:rFonts w:hint="default" w:ascii="Times New Roman" w:hAnsi="Times New Roman" w:eastAsia="方正仿宋_GBK" w:cs="Times New Roman"/>
          <w:color w:val="auto"/>
          <w:sz w:val="32"/>
          <w:szCs w:val="32"/>
        </w:rPr>
        <w:t>送审金额</w:t>
      </w:r>
      <w:r>
        <w:rPr>
          <w:rFonts w:hint="default" w:ascii="Times New Roman" w:hAnsi="Times New Roman" w:eastAsia="方正仿宋_GBK" w:cs="Times New Roman"/>
          <w:color w:val="auto"/>
          <w:sz w:val="32"/>
          <w:szCs w:val="32"/>
          <w:lang w:val="en-US" w:eastAsia="zh-CN"/>
        </w:rPr>
        <w:t>约为6599.6515万</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以最终送审金额为准）</w:t>
      </w:r>
      <w:r>
        <w:rPr>
          <w:rFonts w:hint="default" w:ascii="Times New Roman" w:hAnsi="Times New Roman" w:eastAsia="方正仿宋_GBK" w:cs="Times New Roman"/>
          <w:sz w:val="32"/>
          <w:szCs w:val="32"/>
        </w:rPr>
        <w:t>。</w:t>
      </w:r>
    </w:p>
    <w:p w14:paraId="2F0C6EA7">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1.3审计内容：详见施工量清单等全部内容。</w:t>
      </w:r>
    </w:p>
    <w:p w14:paraId="12059014">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1.4建设地址：攀枝花市东区</w:t>
      </w:r>
      <w:r>
        <w:rPr>
          <w:rFonts w:hint="default" w:ascii="Times New Roman" w:hAnsi="Times New Roman" w:eastAsia="方正仿宋_GBK" w:cs="Times New Roman"/>
          <w:sz w:val="32"/>
          <w:szCs w:val="32"/>
          <w:lang w:val="en-US" w:eastAsia="zh-CN"/>
        </w:rPr>
        <w:t>桐银路、沙阿路、双弄路、遥茨路</w:t>
      </w:r>
      <w:r>
        <w:rPr>
          <w:rFonts w:hint="default" w:ascii="Times New Roman" w:hAnsi="Times New Roman" w:eastAsia="方正仿宋_GBK" w:cs="Times New Roman"/>
          <w:sz w:val="32"/>
          <w:szCs w:val="32"/>
        </w:rPr>
        <w:t>。</w:t>
      </w:r>
    </w:p>
    <w:p w14:paraId="28DCE59A">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1.5计划工期：</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日历天，具体以本项目实际审计工作工期为准。</w:t>
      </w:r>
    </w:p>
    <w:p w14:paraId="16F0B048">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1.6采购控制价：</w:t>
      </w:r>
      <w:r>
        <w:rPr>
          <w:rFonts w:hint="default" w:ascii="Times New Roman" w:hAnsi="Times New Roman" w:eastAsia="方正仿宋_GBK" w:cs="Times New Roman"/>
          <w:sz w:val="32"/>
          <w:szCs w:val="32"/>
          <w:lang w:val="en-US" w:eastAsia="zh-CN"/>
        </w:rPr>
        <w:t>28.72万元以内</w:t>
      </w:r>
      <w:r>
        <w:rPr>
          <w:rFonts w:hint="default" w:ascii="Times New Roman" w:hAnsi="Times New Roman" w:eastAsia="方正仿宋_GBK" w:cs="Times New Roman"/>
          <w:sz w:val="32"/>
          <w:szCs w:val="32"/>
        </w:rPr>
        <w:t>。</w:t>
      </w:r>
    </w:p>
    <w:p w14:paraId="57DC61B3">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二、供应商资格要求</w:t>
      </w:r>
    </w:p>
    <w:p w14:paraId="50A53DC0">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具有独立企业法人资格，且具有良好的商业信誉和良好的财务状况。</w:t>
      </w:r>
    </w:p>
    <w:p w14:paraId="1B0D6EF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企业营业执照经营范围须含有工程造价咨询业务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须有1名以上1级造价工程师资质证书。</w:t>
      </w:r>
    </w:p>
    <w:p w14:paraId="1A8D4CE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年1月至今已完成1个及以上的类似项目业绩，并具有履行合同所需的人员、设备、专业技术能力，类似项目是指:工程投资规模在500万元以上造价咨询业绩。</w:t>
      </w:r>
    </w:p>
    <w:p w14:paraId="543D11BF">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其他要求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近3年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年至今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没有不良行为记录。</w:t>
      </w:r>
    </w:p>
    <w:p w14:paraId="1A3A47BB">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本次招标不接受联合体投标。</w:t>
      </w:r>
    </w:p>
    <w:p w14:paraId="2DA00020">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三、报名及相关要求</w:t>
      </w:r>
    </w:p>
    <w:p w14:paraId="0476351B">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3.1 </w:t>
      </w:r>
      <w:r>
        <w:rPr>
          <w:rFonts w:hint="default" w:ascii="Times New Roman" w:hAnsi="Times New Roman" w:eastAsia="方正仿宋_GBK" w:cs="Times New Roman"/>
          <w:sz w:val="32"/>
          <w:szCs w:val="32"/>
        </w:rPr>
        <w:t>报名所需资料。营业执照副本、授权委托书、法定代表人身份证复印件和授权代表身份证复印件，上述资料均须加盖公章。</w:t>
      </w:r>
    </w:p>
    <w:p w14:paraId="30FC843E">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3.2 </w:t>
      </w:r>
      <w:r>
        <w:rPr>
          <w:rFonts w:hint="default" w:ascii="Times New Roman" w:hAnsi="Times New Roman" w:eastAsia="方正仿宋_GBK" w:cs="Times New Roman"/>
          <w:sz w:val="32"/>
          <w:szCs w:val="32"/>
        </w:rPr>
        <w:t>报名时间。</w:t>
      </w:r>
    </w:p>
    <w:p w14:paraId="406DE01E">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报名时间：202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日9:00至202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日18:</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（北京时间）。</w:t>
      </w:r>
    </w:p>
    <w:p w14:paraId="585DC9E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3.3 </w:t>
      </w:r>
      <w:r>
        <w:rPr>
          <w:rFonts w:hint="default" w:ascii="Times New Roman" w:hAnsi="Times New Roman" w:eastAsia="方正仿宋_GBK" w:cs="Times New Roman"/>
          <w:sz w:val="32"/>
          <w:szCs w:val="32"/>
        </w:rPr>
        <w:t>报名方式。</w:t>
      </w:r>
    </w:p>
    <w:p w14:paraId="55ABF737">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本项目采取电话报名方式，报名所需资料扫描后发本项目联系人电子邮箱：</w:t>
      </w:r>
      <w:r>
        <w:rPr>
          <w:rFonts w:hint="default" w:ascii="Times New Roman" w:hAnsi="Times New Roman" w:eastAsia="方正仿宋_GBK" w:cs="Times New Roman"/>
          <w:sz w:val="32"/>
          <w:szCs w:val="32"/>
          <w:lang w:val="en-US" w:eastAsia="zh-CN"/>
        </w:rPr>
        <w:t>2322853088</w:t>
      </w:r>
      <w:r>
        <w:rPr>
          <w:rFonts w:hint="default" w:ascii="Times New Roman" w:hAnsi="Times New Roman" w:eastAsia="方正仿宋_GBK" w:cs="Times New Roman"/>
          <w:sz w:val="32"/>
          <w:szCs w:val="32"/>
        </w:rPr>
        <w:t>@qq.com（收到“报名成功”回复后，比选文件由本项目联系人通过邮箱发送）。</w:t>
      </w:r>
    </w:p>
    <w:p w14:paraId="36CACE28">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方正黑体_GBK" w:cs="Times New Roman"/>
          <w:sz w:val="32"/>
          <w:szCs w:val="32"/>
          <w:lang w:val="en-US" w:eastAsia="zh-CN"/>
        </w:rPr>
        <w:t>比选申请文件</w:t>
      </w:r>
      <w:r>
        <w:rPr>
          <w:rFonts w:hint="default" w:ascii="Times New Roman" w:hAnsi="Times New Roman" w:eastAsia="方正黑体_GBK" w:cs="Times New Roman"/>
          <w:sz w:val="32"/>
          <w:szCs w:val="32"/>
        </w:rPr>
        <w:t>递交地点和截止时间</w:t>
      </w:r>
    </w:p>
    <w:p w14:paraId="359DFC07">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4.1比选申请文件递交的截止时间202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rPr>
        <w:t>时</w:t>
      </w:r>
      <w:r>
        <w:rPr>
          <w:rFonts w:hint="default" w:ascii="Times New Roman" w:hAnsi="Times New Roman" w:eastAsia="方正仿宋_GBK" w:cs="Times New Roman"/>
          <w:sz w:val="32"/>
          <w:szCs w:val="32"/>
          <w:lang w:eastAsia="zh-CN"/>
        </w:rPr>
        <w:t>（递交文件请提前电话联系），若遇不可抗力因素导致计划变更的另行通知。</w:t>
      </w:r>
    </w:p>
    <w:p w14:paraId="011C6110">
      <w:pPr>
        <w:spacing w:line="336"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4.2递交地点：攀枝花市东区农业农村和交通水利局</w:t>
      </w:r>
      <w:r>
        <w:rPr>
          <w:rFonts w:hint="default" w:ascii="Times New Roman" w:hAnsi="Times New Roman" w:eastAsia="方正仿宋_GBK" w:cs="Times New Roman"/>
          <w:sz w:val="32"/>
          <w:szCs w:val="32"/>
          <w:lang w:val="en-US" w:eastAsia="zh-CN"/>
        </w:rPr>
        <w:t>交通运输股办公室。</w:t>
      </w:r>
    </w:p>
    <w:p w14:paraId="12163F3A">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4.3比选申请文件必须在比选截止时间前送达比选地点。逾期送达、没有密封以及未送达指定地点的比选申请文件比选人不予受理。</w:t>
      </w:r>
    </w:p>
    <w:p w14:paraId="16AF9C65">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本竞争性比选公告在攀枝花市东区人民政府官网上发布。</w:t>
      </w:r>
    </w:p>
    <w:p w14:paraId="2847EB1E">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联系方式</w:t>
      </w:r>
    </w:p>
    <w:p w14:paraId="41051A10">
      <w:pPr>
        <w:spacing w:line="336"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比选人：攀枝花市东区农业农村和交通水利局</w:t>
      </w:r>
    </w:p>
    <w:p w14:paraId="1EB2664E">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地址：攀枝花市东区长寿路</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号</w:t>
      </w:r>
    </w:p>
    <w:p w14:paraId="10994558">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崔</w:t>
      </w:r>
      <w:r>
        <w:rPr>
          <w:rFonts w:hint="default" w:ascii="Times New Roman" w:hAnsi="Times New Roman" w:eastAsia="方正仿宋_GBK" w:cs="Times New Roman"/>
          <w:sz w:val="32"/>
          <w:szCs w:val="32"/>
        </w:rPr>
        <w:t>先生或</w:t>
      </w:r>
      <w:r>
        <w:rPr>
          <w:rFonts w:hint="default" w:ascii="Times New Roman" w:hAnsi="Times New Roman" w:eastAsia="方正仿宋_GBK" w:cs="Times New Roman"/>
          <w:sz w:val="32"/>
          <w:szCs w:val="32"/>
          <w:lang w:val="en-US" w:eastAsia="zh-CN"/>
        </w:rPr>
        <w:t>黄女士</w:t>
      </w:r>
      <w:r>
        <w:rPr>
          <w:rFonts w:hint="default" w:ascii="Times New Roman" w:hAnsi="Times New Roman" w:eastAsia="方正仿宋_GBK" w:cs="Times New Roman"/>
          <w:sz w:val="32"/>
          <w:szCs w:val="32"/>
        </w:rPr>
        <w:t xml:space="preserve">         </w:t>
      </w:r>
    </w:p>
    <w:p w14:paraId="5EDC764B">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话:135</w:t>
      </w:r>
      <w:r>
        <w:rPr>
          <w:rFonts w:hint="default" w:ascii="Times New Roman" w:hAnsi="Times New Roman" w:eastAsia="方正仿宋_GBK" w:cs="Times New Roman"/>
          <w:sz w:val="32"/>
          <w:szCs w:val="32"/>
          <w:lang w:val="en-US" w:eastAsia="zh-CN"/>
        </w:rPr>
        <w:t>50911256</w:t>
      </w:r>
      <w:r>
        <w:rPr>
          <w:rFonts w:hint="default" w:ascii="Times New Roman" w:hAnsi="Times New Roman" w:eastAsia="方正仿宋_GBK" w:cs="Times New Roman"/>
          <w:sz w:val="32"/>
          <w:szCs w:val="32"/>
        </w:rPr>
        <w:t>或</w:t>
      </w:r>
      <w:r>
        <w:rPr>
          <w:rFonts w:hint="default" w:ascii="Times New Roman" w:hAnsi="Times New Roman" w:eastAsia="方正仿宋_GBK" w:cs="Times New Roman"/>
          <w:sz w:val="32"/>
          <w:szCs w:val="32"/>
          <w:lang w:val="en-US" w:eastAsia="zh-CN"/>
        </w:rPr>
        <w:t xml:space="preserve">2321536 </w:t>
      </w:r>
      <w:r>
        <w:rPr>
          <w:rFonts w:hint="default" w:ascii="Times New Roman" w:hAnsi="Times New Roman" w:eastAsia="方正仿宋_GBK" w:cs="Times New Roman"/>
          <w:sz w:val="32"/>
          <w:szCs w:val="32"/>
        </w:rPr>
        <w:t xml:space="preserve">       </w:t>
      </w:r>
    </w:p>
    <w:p w14:paraId="0AE31DC4">
      <w:pPr>
        <w:spacing w:line="336" w:lineRule="auto"/>
        <w:ind w:firstLine="640" w:firstLineChars="200"/>
        <w:rPr>
          <w:rFonts w:hint="default" w:ascii="Times New Roman" w:hAnsi="Times New Roman" w:eastAsia="方正仿宋_GBK" w:cs="Times New Roman"/>
          <w:sz w:val="32"/>
          <w:szCs w:val="32"/>
        </w:rPr>
      </w:pPr>
    </w:p>
    <w:p w14:paraId="3FC009BF">
      <w:pPr>
        <w:spacing w:line="360" w:lineRule="auto"/>
        <w:ind w:firstLine="640" w:firstLineChars="200"/>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14:paraId="21C31D7A">
      <w:pPr>
        <w:spacing w:line="500" w:lineRule="exact"/>
        <w:jc w:val="center"/>
        <w:outlineLvl w:val="0"/>
        <w:rPr>
          <w:rFonts w:hint="default" w:ascii="Times New Roman" w:hAnsi="Times New Roman" w:eastAsia="方正仿宋_GBK" w:cs="Times New Roman"/>
          <w:b/>
          <w:bCs/>
          <w:sz w:val="32"/>
          <w:szCs w:val="32"/>
          <w:highlight w:val="none"/>
        </w:rPr>
      </w:pPr>
    </w:p>
    <w:p w14:paraId="2C745BC3">
      <w:pPr>
        <w:spacing w:line="500" w:lineRule="exact"/>
        <w:jc w:val="center"/>
        <w:outlineLvl w:val="0"/>
        <w:rPr>
          <w:rFonts w:hint="default" w:ascii="Times New Roman" w:hAnsi="Times New Roman" w:cs="Times New Roman"/>
          <w:b/>
          <w:bCs/>
          <w:sz w:val="44"/>
          <w:szCs w:val="44"/>
          <w:highlight w:val="none"/>
        </w:rPr>
      </w:pPr>
    </w:p>
    <w:p w14:paraId="14BF3131">
      <w:pPr>
        <w:spacing w:line="500" w:lineRule="exact"/>
        <w:jc w:val="center"/>
        <w:outlineLvl w:val="0"/>
        <w:rPr>
          <w:rFonts w:hint="default" w:ascii="Times New Roman" w:hAnsi="Times New Roman" w:cs="Times New Roman"/>
          <w:b/>
          <w:bCs/>
          <w:sz w:val="44"/>
          <w:szCs w:val="44"/>
          <w:highlight w:val="none"/>
        </w:rPr>
      </w:pPr>
    </w:p>
    <w:p w14:paraId="216111B0">
      <w:pPr>
        <w:spacing w:line="500" w:lineRule="exact"/>
        <w:jc w:val="center"/>
        <w:outlineLvl w:val="0"/>
        <w:rPr>
          <w:rFonts w:hint="default" w:ascii="Times New Roman" w:hAnsi="Times New Roman" w:cs="Times New Roman"/>
          <w:b/>
          <w:bCs/>
          <w:sz w:val="44"/>
          <w:szCs w:val="44"/>
          <w:highlight w:val="none"/>
        </w:rPr>
      </w:pPr>
    </w:p>
    <w:p w14:paraId="60E23F37">
      <w:pPr>
        <w:spacing w:line="500" w:lineRule="exact"/>
        <w:jc w:val="center"/>
        <w:outlineLvl w:val="0"/>
        <w:rPr>
          <w:rFonts w:hint="default" w:ascii="Times New Roman" w:hAnsi="Times New Roman" w:cs="Times New Roman"/>
          <w:b/>
          <w:bCs/>
          <w:sz w:val="44"/>
          <w:szCs w:val="44"/>
          <w:highlight w:val="none"/>
        </w:rPr>
      </w:pPr>
    </w:p>
    <w:p w14:paraId="66AB12A7">
      <w:pPr>
        <w:spacing w:line="500" w:lineRule="exact"/>
        <w:jc w:val="center"/>
        <w:outlineLvl w:val="0"/>
        <w:rPr>
          <w:rFonts w:hint="default" w:ascii="Times New Roman" w:hAnsi="Times New Roman" w:cs="Times New Roman"/>
          <w:b/>
          <w:bCs/>
          <w:sz w:val="44"/>
          <w:szCs w:val="44"/>
          <w:highlight w:val="none"/>
        </w:rPr>
      </w:pPr>
    </w:p>
    <w:p w14:paraId="19B927FB">
      <w:pPr>
        <w:spacing w:line="500" w:lineRule="exact"/>
        <w:jc w:val="center"/>
        <w:outlineLvl w:val="0"/>
        <w:rPr>
          <w:rFonts w:hint="default" w:ascii="Times New Roman" w:hAnsi="Times New Roman" w:cs="Times New Roman"/>
          <w:b/>
          <w:bCs/>
          <w:sz w:val="44"/>
          <w:szCs w:val="44"/>
          <w:highlight w:val="none"/>
        </w:rPr>
      </w:pPr>
    </w:p>
    <w:p w14:paraId="1E1A3492">
      <w:pPr>
        <w:spacing w:line="500" w:lineRule="exact"/>
        <w:jc w:val="center"/>
        <w:outlineLvl w:val="0"/>
        <w:rPr>
          <w:rFonts w:hint="default" w:ascii="Times New Roman" w:hAnsi="Times New Roman" w:cs="Times New Roman"/>
          <w:b/>
          <w:bCs/>
          <w:sz w:val="44"/>
          <w:szCs w:val="44"/>
          <w:highlight w:val="none"/>
        </w:rPr>
      </w:pPr>
    </w:p>
    <w:p w14:paraId="0F90F60E">
      <w:pPr>
        <w:spacing w:line="500" w:lineRule="exact"/>
        <w:jc w:val="center"/>
        <w:outlineLvl w:val="0"/>
        <w:rPr>
          <w:rFonts w:hint="default" w:ascii="Times New Roman" w:hAnsi="Times New Roman" w:cs="Times New Roman"/>
          <w:b/>
          <w:bCs/>
          <w:sz w:val="44"/>
          <w:szCs w:val="44"/>
          <w:highlight w:val="none"/>
        </w:rPr>
      </w:pPr>
    </w:p>
    <w:p w14:paraId="3C647C55">
      <w:pPr>
        <w:spacing w:line="500" w:lineRule="exact"/>
        <w:jc w:val="center"/>
        <w:outlineLvl w:val="0"/>
        <w:rPr>
          <w:rFonts w:hint="default" w:ascii="Times New Roman" w:hAnsi="Times New Roman" w:cs="Times New Roman"/>
          <w:b/>
          <w:bCs/>
          <w:sz w:val="44"/>
          <w:szCs w:val="44"/>
          <w:highlight w:val="none"/>
        </w:rPr>
      </w:pPr>
    </w:p>
    <w:p w14:paraId="51234AA3">
      <w:pPr>
        <w:spacing w:line="500" w:lineRule="exact"/>
        <w:jc w:val="center"/>
        <w:outlineLvl w:val="0"/>
        <w:rPr>
          <w:rFonts w:hint="default" w:ascii="Times New Roman" w:hAnsi="Times New Roman" w:cs="Times New Roman"/>
          <w:b/>
          <w:bCs/>
          <w:sz w:val="44"/>
          <w:szCs w:val="44"/>
          <w:highlight w:val="none"/>
        </w:rPr>
      </w:pPr>
    </w:p>
    <w:p w14:paraId="753664F1">
      <w:pPr>
        <w:spacing w:line="500" w:lineRule="exact"/>
        <w:jc w:val="center"/>
        <w:outlineLvl w:val="0"/>
        <w:rPr>
          <w:rFonts w:hint="default" w:ascii="Times New Roman" w:hAnsi="Times New Roman" w:cs="Times New Roman"/>
          <w:b/>
          <w:bCs/>
          <w:sz w:val="44"/>
          <w:szCs w:val="44"/>
          <w:highlight w:val="none"/>
        </w:rPr>
      </w:pPr>
    </w:p>
    <w:p w14:paraId="30888660">
      <w:pPr>
        <w:spacing w:line="500" w:lineRule="exact"/>
        <w:jc w:val="center"/>
        <w:outlineLvl w:val="0"/>
        <w:rPr>
          <w:rFonts w:hint="default" w:ascii="Times New Roman" w:hAnsi="Times New Roman" w:cs="Times New Roman"/>
          <w:b/>
          <w:bCs/>
          <w:sz w:val="44"/>
          <w:szCs w:val="44"/>
          <w:highlight w:val="none"/>
        </w:rPr>
      </w:pPr>
    </w:p>
    <w:p w14:paraId="2A538417">
      <w:pPr>
        <w:spacing w:line="500" w:lineRule="exact"/>
        <w:jc w:val="center"/>
        <w:outlineLvl w:val="0"/>
        <w:rPr>
          <w:rFonts w:hint="default" w:ascii="Times New Roman" w:hAnsi="Times New Roman" w:cs="Times New Roman"/>
          <w:b/>
          <w:bCs/>
          <w:sz w:val="44"/>
          <w:szCs w:val="44"/>
          <w:highlight w:val="none"/>
        </w:rPr>
      </w:pPr>
    </w:p>
    <w:p w14:paraId="5F20EE51">
      <w:pPr>
        <w:spacing w:line="500" w:lineRule="exact"/>
        <w:jc w:val="center"/>
        <w:outlineLvl w:val="0"/>
        <w:rPr>
          <w:rFonts w:hint="default" w:ascii="Times New Roman" w:hAnsi="Times New Roman" w:cs="Times New Roman"/>
          <w:b/>
          <w:bCs/>
          <w:sz w:val="44"/>
          <w:szCs w:val="44"/>
          <w:highlight w:val="none"/>
        </w:rPr>
      </w:pPr>
    </w:p>
    <w:p w14:paraId="7C3788A4">
      <w:pPr>
        <w:spacing w:line="500" w:lineRule="exact"/>
        <w:jc w:val="center"/>
        <w:outlineLvl w:val="0"/>
        <w:rPr>
          <w:rFonts w:hint="default" w:ascii="Times New Roman" w:hAnsi="Times New Roman" w:cs="Times New Roman"/>
          <w:b/>
          <w:bCs/>
          <w:sz w:val="44"/>
          <w:szCs w:val="44"/>
          <w:highlight w:val="none"/>
        </w:rPr>
      </w:pPr>
    </w:p>
    <w:p w14:paraId="1F9CBAAD">
      <w:pPr>
        <w:spacing w:line="500" w:lineRule="exact"/>
        <w:jc w:val="center"/>
        <w:outlineLvl w:val="0"/>
        <w:rPr>
          <w:rFonts w:hint="default" w:ascii="Times New Roman" w:hAnsi="Times New Roman" w:cs="Times New Roman"/>
          <w:b/>
          <w:bCs/>
          <w:sz w:val="44"/>
          <w:szCs w:val="44"/>
          <w:highlight w:val="none"/>
        </w:rPr>
      </w:pPr>
    </w:p>
    <w:p w14:paraId="7DA41029">
      <w:pPr>
        <w:spacing w:line="500" w:lineRule="exact"/>
        <w:jc w:val="center"/>
        <w:outlineLvl w:val="0"/>
        <w:rPr>
          <w:rFonts w:hint="default" w:ascii="Times New Roman" w:hAnsi="Times New Roman" w:cs="Times New Roman"/>
          <w:b/>
          <w:bCs/>
          <w:sz w:val="44"/>
          <w:szCs w:val="44"/>
          <w:highlight w:val="none"/>
        </w:rPr>
      </w:pPr>
    </w:p>
    <w:p w14:paraId="404E8BAD">
      <w:pPr>
        <w:spacing w:line="500" w:lineRule="exact"/>
        <w:jc w:val="center"/>
        <w:outlineLvl w:val="0"/>
        <w:rPr>
          <w:rFonts w:hint="default" w:ascii="Times New Roman" w:hAnsi="Times New Roman" w:cs="Times New Roman"/>
          <w:b/>
          <w:bCs/>
          <w:sz w:val="44"/>
          <w:szCs w:val="44"/>
          <w:highlight w:val="none"/>
        </w:rPr>
      </w:pPr>
    </w:p>
    <w:p w14:paraId="7E5B4230">
      <w:pPr>
        <w:spacing w:line="500" w:lineRule="exact"/>
        <w:jc w:val="both"/>
        <w:outlineLvl w:val="0"/>
        <w:rPr>
          <w:rFonts w:hint="default" w:ascii="Times New Roman" w:hAnsi="Times New Roman" w:cs="Times New Roman"/>
          <w:b/>
          <w:bCs/>
          <w:sz w:val="44"/>
          <w:szCs w:val="44"/>
          <w:highlight w:val="none"/>
        </w:rPr>
      </w:pPr>
    </w:p>
    <w:p w14:paraId="43C88574">
      <w:pPr>
        <w:spacing w:line="500" w:lineRule="exact"/>
        <w:jc w:val="center"/>
        <w:outlineLvl w:val="0"/>
        <w:rPr>
          <w:rFonts w:hint="default" w:ascii="Times New Roman" w:hAnsi="Times New Roman" w:cs="Times New Roman"/>
          <w:b/>
          <w:bCs/>
          <w:sz w:val="44"/>
          <w:szCs w:val="44"/>
          <w:highlight w:val="none"/>
        </w:rPr>
      </w:pPr>
      <w:r>
        <w:rPr>
          <w:rFonts w:hint="default" w:ascii="Times New Roman" w:hAnsi="Times New Roman" w:cs="Times New Roman"/>
          <w:b/>
          <w:bCs/>
          <w:sz w:val="44"/>
          <w:szCs w:val="44"/>
          <w:highlight w:val="none"/>
        </w:rPr>
        <w:t>第二部分 比选须知</w:t>
      </w:r>
      <w:bookmarkEnd w:id="25"/>
      <w:bookmarkEnd w:id="26"/>
      <w:bookmarkEnd w:id="27"/>
      <w:bookmarkStart w:id="28" w:name="_Toc18009"/>
    </w:p>
    <w:p w14:paraId="1047238D">
      <w:pPr>
        <w:spacing w:line="360" w:lineRule="auto"/>
        <w:ind w:firstLine="560" w:firstLineChars="200"/>
        <w:outlineLvl w:val="1"/>
        <w:rPr>
          <w:rFonts w:hint="default" w:ascii="Times New Roman" w:hAnsi="Times New Roman" w:cs="Times New Roman"/>
          <w:bCs/>
          <w:sz w:val="28"/>
          <w:szCs w:val="28"/>
          <w:highlight w:val="none"/>
        </w:rPr>
      </w:pPr>
    </w:p>
    <w:p w14:paraId="1988A01B">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一、总则</w:t>
      </w:r>
      <w:bookmarkEnd w:id="28"/>
      <w:bookmarkStart w:id="29" w:name="_Toc8451"/>
    </w:p>
    <w:p w14:paraId="402D9B1E">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1.项目概况</w:t>
      </w:r>
    </w:p>
    <w:p w14:paraId="4950434B">
      <w:pPr>
        <w:spacing w:line="336" w:lineRule="auto"/>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1.1项目名称：</w:t>
      </w:r>
      <w:r>
        <w:rPr>
          <w:rFonts w:hint="default" w:ascii="Times New Roman" w:hAnsi="Times New Roman" w:eastAsia="方正仿宋_GBK" w:cs="Times New Roman"/>
          <w:sz w:val="32"/>
          <w:szCs w:val="32"/>
          <w:lang w:eastAsia="zh-CN"/>
        </w:rPr>
        <w:t>攀枝花市东区X001桐银路、X006沙阿路、X008双弄路、X009遥茨路4条美丽乡村路建设工程审计服务</w:t>
      </w:r>
    </w:p>
    <w:p w14:paraId="04342ADD">
      <w:pPr>
        <w:spacing w:line="336" w:lineRule="auto"/>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1.2比选人：</w:t>
      </w:r>
      <w:r>
        <w:rPr>
          <w:rFonts w:hint="default" w:ascii="Times New Roman" w:hAnsi="Times New Roman" w:eastAsia="方正仿宋_GBK" w:cs="Times New Roman"/>
          <w:sz w:val="32"/>
          <w:szCs w:val="32"/>
          <w:lang w:eastAsia="zh-CN"/>
        </w:rPr>
        <w:t>攀枝花市东区农业农村和交通水利局</w:t>
      </w:r>
    </w:p>
    <w:p w14:paraId="48D2552F">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2.合格比选申请人的条件</w:t>
      </w:r>
      <w:bookmarkEnd w:id="29"/>
    </w:p>
    <w:p w14:paraId="418E4CD1">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（1）具有独立承担民事责任的能力</w:t>
      </w:r>
      <w:r>
        <w:rPr>
          <w:rFonts w:hint="default" w:ascii="Times New Roman" w:hAnsi="Times New Roman" w:eastAsia="方正仿宋_GBK" w:cs="Times New Roman"/>
          <w:sz w:val="32"/>
          <w:szCs w:val="32"/>
          <w:lang w:eastAsia="zh-CN"/>
        </w:rPr>
        <w:t>，企业营业执照经营范围须含有工程造价咨询业务；</w:t>
      </w:r>
      <w:r>
        <w:rPr>
          <w:rFonts w:hint="default" w:ascii="Times New Roman" w:hAnsi="Times New Roman" w:eastAsia="方正仿宋_GBK" w:cs="Times New Roman"/>
          <w:sz w:val="32"/>
          <w:szCs w:val="32"/>
        </w:rPr>
        <w:t>（提供营业执照复印件）</w:t>
      </w:r>
    </w:p>
    <w:p w14:paraId="28A9C9CC">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（2）具有良好的商业信誉和健全的财务会计制度；（提供2022年度至今任意年度代理机构任意一年度经审计的财务报告</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内部的财务报表，财务报表内容至少包含资产负债表</w:t>
      </w:r>
      <w:r>
        <w:rPr>
          <w:rFonts w:hint="default" w:ascii="Times New Roman" w:hAnsi="Times New Roman" w:eastAsia="方正仿宋_GBK" w:cs="Times New Roman"/>
          <w:sz w:val="32"/>
          <w:szCs w:val="32"/>
          <w:lang w:eastAsia="zh-CN"/>
        </w:rPr>
        <w:t>或提供承诺函</w:t>
      </w:r>
      <w:r>
        <w:rPr>
          <w:rFonts w:hint="default" w:ascii="Times New Roman" w:hAnsi="Times New Roman" w:eastAsia="方正仿宋_GBK" w:cs="Times New Roman"/>
          <w:sz w:val="32"/>
          <w:szCs w:val="32"/>
        </w:rPr>
        <w:t>）</w:t>
      </w:r>
    </w:p>
    <w:p w14:paraId="550060D1">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（3）具有依法缴纳税收和社会保障资金的良好记录；（提供承诺函）</w:t>
      </w:r>
    </w:p>
    <w:p w14:paraId="15D38EA4">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（4）具有履行合同所必需的设备和专业技术能力；（提供承诺函）</w:t>
      </w:r>
    </w:p>
    <w:p w14:paraId="486477E7">
      <w:pPr>
        <w:spacing w:line="336" w:lineRule="auto"/>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（5）参加本次比选活动前三年内，在经营活动中没有重大违法记录；（提供承诺函）</w:t>
      </w:r>
    </w:p>
    <w:p w14:paraId="26878B52">
      <w:pPr>
        <w:spacing w:line="336" w:lineRule="auto"/>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（6）2023年1月至今已完成1个及以上的类似项目业绩，并具有履行合同所需的人员、设备、专业技术能力，类似项目是指:工程投资规模在500万元以上造价咨询业绩</w:t>
      </w:r>
      <w:r>
        <w:rPr>
          <w:rFonts w:hint="default" w:ascii="Times New Roman" w:hAnsi="Times New Roman" w:eastAsia="方正仿宋_GBK" w:cs="Times New Roman"/>
          <w:sz w:val="32"/>
          <w:szCs w:val="32"/>
          <w:lang w:eastAsia="zh-CN"/>
        </w:rPr>
        <w:t>；（需提供合同复印件（关键页需包含：服务内容、服务期限、双方签字盖章页</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eastAsia="zh-CN"/>
        </w:rPr>
        <w:t>））</w:t>
      </w:r>
    </w:p>
    <w:p w14:paraId="6BB8C3C3">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次比选</w:t>
      </w:r>
      <w:r>
        <w:rPr>
          <w:rFonts w:hint="default" w:ascii="Times New Roman" w:hAnsi="Times New Roman" w:eastAsia="方正仿宋_GBK" w:cs="Times New Roman"/>
          <w:sz w:val="32"/>
          <w:szCs w:val="32"/>
        </w:rPr>
        <w:t>项目不接受联合体投标。（提供承诺函）</w:t>
      </w:r>
    </w:p>
    <w:p w14:paraId="4CC1C904">
      <w:pPr>
        <w:spacing w:line="336" w:lineRule="auto"/>
        <w:ind w:firstLine="640" w:firstLineChars="200"/>
        <w:rPr>
          <w:rFonts w:hint="default" w:ascii="Times New Roman" w:hAnsi="Times New Roman" w:eastAsia="方正仿宋_GBK" w:cs="Times New Roman"/>
          <w:sz w:val="32"/>
          <w:szCs w:val="32"/>
        </w:rPr>
      </w:pPr>
      <w:bookmarkStart w:id="30" w:name="_Toc17859"/>
      <w:bookmarkStart w:id="31" w:name="_Toc5978"/>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.比选费用</w:t>
      </w:r>
      <w:bookmarkEnd w:id="30"/>
      <w:bookmarkEnd w:id="31"/>
    </w:p>
    <w:p w14:paraId="14136D9F">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比选申请人应承担所有与参加比选有关的费用。</w:t>
      </w:r>
      <w:r>
        <w:rPr>
          <w:rFonts w:hint="default" w:ascii="Times New Roman" w:hAnsi="Times New Roman" w:eastAsia="方正仿宋_GBK" w:cs="Times New Roman"/>
          <w:sz w:val="32"/>
          <w:szCs w:val="32"/>
          <w:lang w:eastAsia="zh-CN"/>
        </w:rPr>
        <w:t>攀枝花市东区农业农村和交通水利局</w:t>
      </w:r>
      <w:r>
        <w:rPr>
          <w:rFonts w:hint="default" w:ascii="Times New Roman" w:hAnsi="Times New Roman" w:eastAsia="方正仿宋_GBK" w:cs="Times New Roman"/>
          <w:sz w:val="32"/>
          <w:szCs w:val="32"/>
        </w:rPr>
        <w:t>在任何情况下均无义务和责任承担这些费用，未中选者因比选而产生的一切费用自理。</w:t>
      </w:r>
      <w:bookmarkStart w:id="32" w:name="_Toc11653"/>
    </w:p>
    <w:p w14:paraId="5477E3B8">
      <w:pPr>
        <w:spacing w:line="336" w:lineRule="auto"/>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二、比选文件</w:t>
      </w:r>
      <w:bookmarkEnd w:id="32"/>
    </w:p>
    <w:p w14:paraId="28963FBC">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1.比选申请人提交的比选文件均使用中文。</w:t>
      </w:r>
    </w:p>
    <w:p w14:paraId="6F37AAF6">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2.比选文件所使用的计量单位为国家法定计量单位。</w:t>
      </w:r>
    </w:p>
    <w:p w14:paraId="3600AF27">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3.原版为外文的证书类文件，应当提供中文翻译文件并加盖比选申请人公章。</w:t>
      </w:r>
    </w:p>
    <w:p w14:paraId="16A6CA1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4.比选文件的组成及相关要求</w:t>
      </w:r>
    </w:p>
    <w:p w14:paraId="56771547">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4.1比选文件所有内容须装订成册密封，加盖公章。壹份正本，贰份副本。</w:t>
      </w:r>
    </w:p>
    <w:p w14:paraId="2F2F000B">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4.2比选文件要求内容及编排顺序</w:t>
      </w:r>
    </w:p>
    <w:p w14:paraId="3F56ABC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比选申请人必须保证比选文件所提供的全部资料真实可靠；比选文件应字迹清楚、内容齐全、不得涂改或增删。</w:t>
      </w:r>
    </w:p>
    <w:p w14:paraId="41C3ACE7">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rPr>
        <w:t>文件应绿色环保装订，采用A4软面胶装，建议不要使用硬壳封面。投标文件应须逐页编制页码并插入目录，便于</w:t>
      </w:r>
      <w:r>
        <w:rPr>
          <w:rFonts w:hint="default"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rPr>
        <w:t>人查阅文件。由于编排混乱导致比选文件被误读或查找不到，其责任应当由比选申请人自行承担。为节约纸张，建议尽量双面打印并</w:t>
      </w:r>
      <w:r>
        <w:rPr>
          <w:rFonts w:hint="default" w:ascii="Times New Roman" w:hAnsi="Times New Roman" w:eastAsia="方正仿宋_GBK" w:cs="Times New Roman"/>
          <w:sz w:val="32"/>
          <w:szCs w:val="32"/>
          <w:lang w:val="en-US" w:eastAsia="zh-CN"/>
        </w:rPr>
        <w:t>简装比选文件。</w:t>
      </w:r>
    </w:p>
    <w:p w14:paraId="11D6EE50">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4.4比选报价</w:t>
      </w:r>
    </w:p>
    <w:p w14:paraId="5AD2572B">
      <w:pPr>
        <w:spacing w:line="336" w:lineRule="auto"/>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采购控制价：28.72万元以内。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报价高于控制价的视为无效响应</w:t>
      </w:r>
      <w:r>
        <w:rPr>
          <w:rFonts w:hint="default" w:ascii="Times New Roman" w:hAnsi="Times New Roman" w:eastAsia="方正仿宋_GBK" w:cs="Times New Roman"/>
          <w:sz w:val="32"/>
          <w:szCs w:val="32"/>
          <w:lang w:eastAsia="zh-CN"/>
        </w:rPr>
        <w:t>）</w:t>
      </w:r>
    </w:p>
    <w:p w14:paraId="77B55907">
      <w:pPr>
        <w:spacing w:line="336"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4.5评审程序</w:t>
      </w:r>
    </w:p>
    <w:p w14:paraId="726FF9E0">
      <w:pPr>
        <w:spacing w:line="336"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4.5.1本项目的评审委员会由比选人按照相关规定组建。</w:t>
      </w:r>
    </w:p>
    <w:p w14:paraId="627A6706">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4.5.2评审委员会首先对比选申请人的资格进行审查，不符合的比选申请人直接淘汰；最后依据</w:t>
      </w:r>
      <w:r>
        <w:rPr>
          <w:rFonts w:hint="default" w:ascii="Times New Roman" w:hAnsi="Times New Roman" w:eastAsia="方正仿宋_GBK" w:cs="Times New Roman"/>
          <w:sz w:val="32"/>
          <w:szCs w:val="32"/>
        </w:rPr>
        <w:t>综合</w:t>
      </w:r>
      <w:r>
        <w:rPr>
          <w:rFonts w:hint="default" w:ascii="Times New Roman" w:hAnsi="Times New Roman" w:eastAsia="方正仿宋_GBK" w:cs="Times New Roman"/>
          <w:sz w:val="32"/>
          <w:szCs w:val="32"/>
          <w:lang w:eastAsia="zh-CN"/>
        </w:rPr>
        <w:t>得分</w:t>
      </w:r>
      <w:r>
        <w:rPr>
          <w:rFonts w:hint="default" w:ascii="Times New Roman" w:hAnsi="Times New Roman" w:eastAsia="方正仿宋_GBK" w:cs="Times New Roman"/>
          <w:sz w:val="32"/>
          <w:szCs w:val="32"/>
        </w:rPr>
        <w:t>进行排序，</w:t>
      </w:r>
      <w:r>
        <w:rPr>
          <w:rFonts w:hint="default" w:ascii="Times New Roman" w:hAnsi="Times New Roman" w:eastAsia="方正仿宋_GBK" w:cs="Times New Roman"/>
          <w:sz w:val="32"/>
          <w:szCs w:val="32"/>
          <w:lang w:eastAsia="zh-CN"/>
        </w:rPr>
        <w:t>按照从高到低</w:t>
      </w:r>
      <w:r>
        <w:rPr>
          <w:rFonts w:hint="default" w:ascii="Times New Roman" w:hAnsi="Times New Roman" w:eastAsia="方正仿宋_GBK" w:cs="Times New Roman"/>
          <w:sz w:val="32"/>
          <w:szCs w:val="32"/>
        </w:rPr>
        <w:t>选</w:t>
      </w:r>
      <w:r>
        <w:rPr>
          <w:rFonts w:hint="default" w:ascii="Times New Roman" w:hAnsi="Times New Roman" w:eastAsia="方正仿宋_GBK" w:cs="Times New Roman"/>
          <w:sz w:val="32"/>
          <w:szCs w:val="32"/>
          <w:lang w:val="en-US" w:eastAsia="zh-CN"/>
        </w:rPr>
        <w:t>1名审计机构</w:t>
      </w:r>
      <w:r>
        <w:rPr>
          <w:rFonts w:hint="default" w:ascii="Times New Roman" w:hAnsi="Times New Roman" w:eastAsia="方正仿宋_GBK" w:cs="Times New Roman"/>
          <w:sz w:val="32"/>
          <w:szCs w:val="32"/>
        </w:rPr>
        <w:t>为本单位项目提供</w:t>
      </w:r>
      <w:r>
        <w:rPr>
          <w:rFonts w:hint="default" w:ascii="Times New Roman" w:hAnsi="Times New Roman" w:eastAsia="方正仿宋_GBK" w:cs="Times New Roman"/>
          <w:sz w:val="32"/>
          <w:szCs w:val="32"/>
          <w:lang w:val="en-US" w:eastAsia="zh-CN"/>
        </w:rPr>
        <w:t>本项目审计</w:t>
      </w:r>
      <w:r>
        <w:rPr>
          <w:rFonts w:hint="default" w:ascii="Times New Roman" w:hAnsi="Times New Roman" w:eastAsia="方正仿宋_GBK" w:cs="Times New Roman"/>
          <w:sz w:val="32"/>
          <w:szCs w:val="32"/>
        </w:rPr>
        <w:t>服务。</w:t>
      </w:r>
    </w:p>
    <w:p w14:paraId="3C940E60">
      <w:pPr>
        <w:spacing w:line="336"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4.5.3比选人不解释中选或落选原因，不退回比选申请文件和其他比选申请资料。</w:t>
      </w:r>
    </w:p>
    <w:p w14:paraId="08D5F361">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签订合同</w:t>
      </w:r>
    </w:p>
    <w:p w14:paraId="3659FDBE">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.1.中选通知</w:t>
      </w:r>
    </w:p>
    <w:p w14:paraId="009B467B">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.1.1中选人确定后，中选代理机构放弃中选，应当承担相应的法律责任。</w:t>
      </w:r>
    </w:p>
    <w:p w14:paraId="6F552A11">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.1.2对未中选的比选人不做未中选原因的解释。</w:t>
      </w:r>
    </w:p>
    <w:p w14:paraId="545357FF">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.1.3中选通知书是合同的组成部分。</w:t>
      </w:r>
    </w:p>
    <w:p w14:paraId="0FB9FDB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.2签订合同</w:t>
      </w:r>
    </w:p>
    <w:p w14:paraId="0864FB4A">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.2.1中选人应在接到中选通知书</w:t>
      </w:r>
      <w:r>
        <w:rPr>
          <w:rFonts w:hint="default" w:ascii="Times New Roman" w:hAnsi="Times New Roman" w:eastAsia="方正仿宋_GBK" w:cs="Times New Roman"/>
          <w:sz w:val="32"/>
          <w:szCs w:val="32"/>
          <w:lang w:val="en-US" w:eastAsia="zh-CN"/>
        </w:rPr>
        <w:t>5个工作</w:t>
      </w:r>
      <w:r>
        <w:rPr>
          <w:rFonts w:hint="default" w:ascii="Times New Roman" w:hAnsi="Times New Roman" w:eastAsia="方正仿宋_GBK" w:cs="Times New Roman"/>
          <w:sz w:val="32"/>
          <w:szCs w:val="32"/>
        </w:rPr>
        <w:t>日内与</w:t>
      </w:r>
      <w:r>
        <w:rPr>
          <w:rFonts w:hint="default" w:ascii="Times New Roman" w:hAnsi="Times New Roman" w:eastAsia="方正仿宋_GBK" w:cs="Times New Roman"/>
          <w:sz w:val="32"/>
          <w:szCs w:val="32"/>
          <w:lang w:val="en-US" w:eastAsia="zh-CN"/>
        </w:rPr>
        <w:t>比选人</w:t>
      </w:r>
      <w:r>
        <w:rPr>
          <w:rFonts w:hint="default" w:ascii="Times New Roman" w:hAnsi="Times New Roman" w:eastAsia="方正仿宋_GBK" w:cs="Times New Roman"/>
          <w:sz w:val="32"/>
          <w:szCs w:val="32"/>
        </w:rPr>
        <w:t>签订合同。中选人不得再与</w:t>
      </w:r>
      <w:r>
        <w:rPr>
          <w:rFonts w:hint="default" w:ascii="Times New Roman" w:hAnsi="Times New Roman" w:eastAsia="方正仿宋_GBK" w:cs="Times New Roman"/>
          <w:sz w:val="32"/>
          <w:szCs w:val="32"/>
          <w:lang w:val="en-US" w:eastAsia="zh-CN"/>
        </w:rPr>
        <w:t>比选人</w:t>
      </w:r>
      <w:r>
        <w:rPr>
          <w:rFonts w:hint="default" w:ascii="Times New Roman" w:hAnsi="Times New Roman" w:eastAsia="方正仿宋_GBK" w:cs="Times New Roman"/>
          <w:sz w:val="32"/>
          <w:szCs w:val="32"/>
        </w:rPr>
        <w:t>签订背离合同实质性内容的其它协议或声明。</w:t>
      </w:r>
    </w:p>
    <w:p w14:paraId="4C8F56F9">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.2.2中选人一旦中选，未经</w:t>
      </w:r>
      <w:r>
        <w:rPr>
          <w:rFonts w:hint="default" w:ascii="Times New Roman" w:hAnsi="Times New Roman" w:eastAsia="方正仿宋_GBK" w:cs="Times New Roman"/>
          <w:sz w:val="32"/>
          <w:szCs w:val="32"/>
          <w:lang w:val="en-US" w:eastAsia="zh-CN"/>
        </w:rPr>
        <w:t>比选人</w:t>
      </w:r>
      <w:r>
        <w:rPr>
          <w:rFonts w:hint="default" w:ascii="Times New Roman" w:hAnsi="Times New Roman" w:eastAsia="方正仿宋_GBK" w:cs="Times New Roman"/>
          <w:sz w:val="32"/>
          <w:szCs w:val="32"/>
        </w:rPr>
        <w:t>事先给予书面同意不得转包、分包，亦不得将合同全部及任何权利、义务向第三方转让，否则将被视为严重违约，采购人有权决定按照中选人中选后毁标、终止或解除合同等依法处理。</w:t>
      </w:r>
      <w:bookmarkStart w:id="33" w:name="_Toc6883"/>
    </w:p>
    <w:p w14:paraId="5BB286F6">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三、比选文件的递交</w:t>
      </w:r>
      <w:bookmarkEnd w:id="33"/>
    </w:p>
    <w:p w14:paraId="58C028BE">
      <w:pPr>
        <w:spacing w:line="336"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比选申请人须将比选申请文件及比选申请人认为有必要提交的其他资料密封现场提交至</w:t>
      </w:r>
      <w:r>
        <w:rPr>
          <w:rFonts w:hint="default" w:ascii="Times New Roman" w:hAnsi="Times New Roman" w:eastAsia="方正仿宋_GBK" w:cs="Times New Roman"/>
          <w:sz w:val="32"/>
          <w:szCs w:val="32"/>
          <w:lang w:eastAsia="zh-CN"/>
        </w:rPr>
        <w:t>攀枝花市东区农业农村和交通水利局</w:t>
      </w:r>
      <w:r>
        <w:rPr>
          <w:rFonts w:hint="default" w:ascii="Times New Roman" w:hAnsi="Times New Roman" w:eastAsia="方正仿宋_GBK" w:cs="Times New Roman"/>
          <w:sz w:val="32"/>
          <w:szCs w:val="32"/>
        </w:rPr>
        <w:t>。（注：现场提交须在比选截止时间前，逾期递交的比选申请文件视为无效申请文件。）</w:t>
      </w:r>
    </w:p>
    <w:p w14:paraId="07682097">
      <w:pPr>
        <w:spacing w:line="336" w:lineRule="auto"/>
        <w:ind w:firstLine="640" w:firstLineChars="200"/>
        <w:rPr>
          <w:rFonts w:hint="default" w:ascii="Times New Roman" w:hAnsi="Times New Roman" w:eastAsia="仿宋_GB2312" w:cs="Times New Roman"/>
          <w:sz w:val="32"/>
          <w:lang w:val="en-US" w:eastAsia="zh-CN"/>
        </w:rPr>
      </w:pPr>
      <w:bookmarkStart w:id="34" w:name="_Toc19378"/>
      <w:r>
        <w:rPr>
          <w:rFonts w:hint="default" w:ascii="Times New Roman" w:hAnsi="Times New Roman" w:eastAsia="仿宋_GB2312" w:cs="Times New Roman"/>
          <w:sz w:val="32"/>
          <w:lang w:val="en-US" w:eastAsia="zh-CN"/>
        </w:rPr>
        <w:t>比选人：攀枝花市东区农业农村和交通水利局</w:t>
      </w:r>
    </w:p>
    <w:p w14:paraId="0E0CF9E8">
      <w:pPr>
        <w:spacing w:line="336" w:lineRule="auto"/>
        <w:ind w:firstLine="640" w:firstLineChars="200"/>
        <w:rPr>
          <w:rFonts w:hint="default" w:ascii="Times New Roman" w:hAnsi="Times New Roman" w:eastAsia="黑体" w:cs="Times New Roman"/>
          <w:sz w:val="32"/>
        </w:rPr>
      </w:pPr>
      <w:r>
        <w:rPr>
          <w:rFonts w:hint="default" w:ascii="Times New Roman" w:hAnsi="Times New Roman" w:eastAsia="仿宋_GB2312" w:cs="Times New Roman"/>
          <w:sz w:val="32"/>
        </w:rPr>
        <w:t>地址：攀枝花市东区长寿路</w:t>
      </w:r>
      <w:r>
        <w:rPr>
          <w:rFonts w:hint="default" w:ascii="Times New Roman" w:hAnsi="Times New Roman" w:eastAsia="仿宋_GB2312" w:cs="Times New Roman"/>
          <w:sz w:val="32"/>
          <w:lang w:val="en-US" w:eastAsia="zh-CN"/>
        </w:rPr>
        <w:t>19</w:t>
      </w:r>
      <w:r>
        <w:rPr>
          <w:rFonts w:hint="default" w:ascii="Times New Roman" w:hAnsi="Times New Roman" w:eastAsia="仿宋_GB2312" w:cs="Times New Roman"/>
          <w:sz w:val="32"/>
        </w:rPr>
        <w:t>号</w:t>
      </w:r>
    </w:p>
    <w:p w14:paraId="5ECF378E">
      <w:pPr>
        <w:spacing w:line="336" w:lineRule="auto"/>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联系人：</w:t>
      </w:r>
      <w:r>
        <w:rPr>
          <w:rFonts w:hint="default" w:ascii="Times New Roman" w:hAnsi="Times New Roman" w:eastAsia="仿宋_GB2312" w:cs="Times New Roman"/>
          <w:sz w:val="32"/>
          <w:lang w:val="en-US" w:eastAsia="zh-CN"/>
        </w:rPr>
        <w:t>崔</w:t>
      </w:r>
      <w:r>
        <w:rPr>
          <w:rFonts w:hint="default" w:ascii="Times New Roman" w:hAnsi="Times New Roman" w:eastAsia="仿宋_GB2312" w:cs="Times New Roman"/>
          <w:sz w:val="32"/>
        </w:rPr>
        <w:t>先生或</w:t>
      </w:r>
      <w:r>
        <w:rPr>
          <w:rFonts w:hint="default" w:ascii="Times New Roman" w:hAnsi="Times New Roman" w:eastAsia="仿宋_GB2312" w:cs="Times New Roman"/>
          <w:sz w:val="32"/>
          <w:lang w:val="en-US" w:eastAsia="zh-CN"/>
        </w:rPr>
        <w:t>黄女士</w:t>
      </w:r>
      <w:r>
        <w:rPr>
          <w:rFonts w:hint="default" w:ascii="Times New Roman" w:hAnsi="Times New Roman" w:eastAsia="仿宋_GB2312" w:cs="Times New Roman"/>
          <w:sz w:val="32"/>
        </w:rPr>
        <w:t xml:space="preserve">         </w:t>
      </w:r>
    </w:p>
    <w:p w14:paraId="38AADCBF">
      <w:pPr>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 xml:space="preserve">电 </w:t>
      </w: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rPr>
        <w:t>话:</w:t>
      </w:r>
      <w:r>
        <w:rPr>
          <w:rFonts w:hint="default" w:ascii="Times New Roman" w:hAnsi="Times New Roman" w:eastAsia="仿宋_GB2312" w:cs="Times New Roman"/>
          <w:sz w:val="32"/>
        </w:rPr>
        <w:t>135</w:t>
      </w:r>
      <w:r>
        <w:rPr>
          <w:rFonts w:hint="default" w:ascii="Times New Roman" w:hAnsi="Times New Roman" w:eastAsia="仿宋_GB2312" w:cs="Times New Roman"/>
          <w:sz w:val="32"/>
          <w:lang w:val="en-US" w:eastAsia="zh-CN"/>
        </w:rPr>
        <w:t>50911256</w:t>
      </w:r>
      <w:r>
        <w:rPr>
          <w:rFonts w:hint="default" w:ascii="Times New Roman" w:hAnsi="Times New Roman" w:eastAsia="仿宋_GB2312" w:cs="Times New Roman"/>
          <w:sz w:val="32"/>
        </w:rPr>
        <w:t>或</w:t>
      </w:r>
      <w:r>
        <w:rPr>
          <w:rFonts w:hint="default" w:ascii="Times New Roman" w:hAnsi="Times New Roman" w:eastAsia="仿宋_GB2312" w:cs="Times New Roman"/>
          <w:sz w:val="32"/>
          <w:lang w:val="en-US" w:eastAsia="zh-CN"/>
        </w:rPr>
        <w:t>232153</w:t>
      </w:r>
      <w:bookmarkStart w:id="35" w:name="_Toc7413"/>
      <w:bookmarkStart w:id="36" w:name="_Toc9210"/>
      <w:bookmarkStart w:id="37" w:name="_Toc20159"/>
    </w:p>
    <w:p w14:paraId="35F89DF5">
      <w:pPr>
        <w:spacing w:line="336" w:lineRule="auto"/>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eastAsia" w:ascii="Times New Roman" w:hAnsi="Times New Roman" w:eastAsia="方正黑体_GBK" w:cs="Times New Roman"/>
          <w:sz w:val="32"/>
          <w:szCs w:val="32"/>
        </w:rPr>
        <w:t>比选评比</w:t>
      </w:r>
    </w:p>
    <w:p w14:paraId="5AFE6156">
      <w:pPr>
        <w:spacing w:line="336" w:lineRule="auto"/>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1.</w:t>
      </w:r>
      <w:r>
        <w:rPr>
          <w:rFonts w:hint="eastAsia" w:ascii="Times New Roman" w:hAnsi="Times New Roman" w:eastAsia="仿宋_GB2312" w:cs="Times New Roman"/>
          <w:sz w:val="32"/>
          <w:lang w:val="en-US" w:eastAsia="zh-CN"/>
        </w:rPr>
        <w:t>比选申请人</w:t>
      </w:r>
      <w:r>
        <w:rPr>
          <w:rFonts w:hint="eastAsia" w:ascii="Times New Roman" w:hAnsi="Times New Roman" w:eastAsia="仿宋_GB2312" w:cs="Times New Roman"/>
          <w:sz w:val="32"/>
          <w:lang w:eastAsia="zh-CN"/>
        </w:rPr>
        <w:t>在</w:t>
      </w:r>
      <w:bookmarkStart w:id="38" w:name="_Hlk167090302"/>
      <w:r>
        <w:rPr>
          <w:rFonts w:hint="eastAsia" w:ascii="Times New Roman" w:hAnsi="Times New Roman" w:eastAsia="仿宋_GB2312" w:cs="Times New Roman"/>
          <w:sz w:val="32"/>
          <w:lang w:eastAsia="zh-CN"/>
        </w:rPr>
        <w:t>提交比选申请文件</w:t>
      </w:r>
      <w:bookmarkEnd w:id="38"/>
      <w:r>
        <w:rPr>
          <w:rFonts w:hint="eastAsia" w:ascii="Times New Roman" w:hAnsi="Times New Roman" w:eastAsia="仿宋_GB2312" w:cs="Times New Roman"/>
          <w:sz w:val="32"/>
          <w:lang w:eastAsia="zh-CN"/>
        </w:rPr>
        <w:t>截止时间前将密封后的比选申请文件提交给比选人。凡在比选申请文件提交截止时间过后送达的比选申请文件不予受理，更不得参加比选。</w:t>
      </w:r>
    </w:p>
    <w:p w14:paraId="312FF3D3">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本项目的比选由比选人组织</w:t>
      </w:r>
      <w:r>
        <w:rPr>
          <w:rFonts w:hint="eastAsia"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lang w:eastAsia="zh-CN"/>
        </w:rPr>
        <w:t>评</w:t>
      </w:r>
      <w:r>
        <w:rPr>
          <w:rFonts w:hint="eastAsia" w:ascii="Times New Roman" w:hAnsi="Times New Roman" w:eastAsia="方正仿宋_GBK" w:cs="Times New Roman"/>
          <w:sz w:val="32"/>
          <w:szCs w:val="32"/>
          <w:lang w:val="en-US" w:eastAsia="zh-CN"/>
        </w:rPr>
        <w:t>审</w:t>
      </w:r>
      <w:r>
        <w:rPr>
          <w:rFonts w:hint="eastAsia" w:ascii="Times New Roman" w:hAnsi="Times New Roman" w:eastAsia="方正仿宋_GBK" w:cs="Times New Roman"/>
          <w:sz w:val="32"/>
          <w:szCs w:val="32"/>
          <w:lang w:eastAsia="zh-CN"/>
        </w:rPr>
        <w:t>委员会（</w:t>
      </w:r>
      <w:r>
        <w:rPr>
          <w:rFonts w:hint="eastAsia" w:ascii="Times New Roman" w:hAnsi="Times New Roman" w:eastAsia="方正仿宋_GBK" w:cs="Times New Roman"/>
          <w:sz w:val="32"/>
          <w:szCs w:val="32"/>
          <w:lang w:val="en-US" w:eastAsia="zh-CN"/>
        </w:rPr>
        <w:t>不少于3人）</w:t>
      </w:r>
      <w:r>
        <w:rPr>
          <w:rFonts w:hint="eastAsia" w:ascii="Times New Roman" w:hAnsi="Times New Roman" w:eastAsia="方正仿宋_GBK" w:cs="Times New Roman"/>
          <w:sz w:val="32"/>
          <w:szCs w:val="32"/>
          <w:lang w:eastAsia="zh-CN"/>
        </w:rPr>
        <w:t>在监督下对</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的比选申请文件按照比选标准的规定进行评审。</w:t>
      </w:r>
    </w:p>
    <w:p w14:paraId="67C299AD">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评比委员会应将所有比选申请文件同时启封，评委独立打分，按合计得分从高到</w:t>
      </w:r>
      <w:r>
        <w:rPr>
          <w:rFonts w:hint="eastAsia" w:ascii="Times New Roman" w:hAnsi="Times New Roman" w:eastAsia="方正仿宋_GBK" w:cs="Times New Roman"/>
          <w:sz w:val="32"/>
          <w:szCs w:val="32"/>
          <w:lang w:val="en-US" w:eastAsia="zh-CN"/>
        </w:rPr>
        <w:t>低</w:t>
      </w:r>
      <w:r>
        <w:rPr>
          <w:rFonts w:hint="eastAsia" w:ascii="Times New Roman" w:hAnsi="Times New Roman" w:eastAsia="方正仿宋_GBK" w:cs="Times New Roman"/>
          <w:sz w:val="32"/>
          <w:szCs w:val="32"/>
          <w:lang w:eastAsia="zh-CN"/>
        </w:rPr>
        <w:t>进行排名，排名</w:t>
      </w:r>
      <w:r>
        <w:rPr>
          <w:rFonts w:hint="eastAsia" w:ascii="Times New Roman" w:hAnsi="Times New Roman" w:eastAsia="方正仿宋_GBK" w:cs="Times New Roman"/>
          <w:sz w:val="32"/>
          <w:szCs w:val="32"/>
          <w:lang w:val="en-US" w:eastAsia="zh-CN"/>
        </w:rPr>
        <w:t>第一</w:t>
      </w:r>
      <w:r>
        <w:rPr>
          <w:rFonts w:hint="eastAsia" w:ascii="Times New Roman" w:hAnsi="Times New Roman" w:eastAsia="方正仿宋_GBK" w:cs="Times New Roman"/>
          <w:sz w:val="32"/>
          <w:szCs w:val="32"/>
          <w:lang w:eastAsia="zh-CN"/>
        </w:rPr>
        <w:t>的为中选人。</w:t>
      </w:r>
    </w:p>
    <w:p w14:paraId="7469BA13">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比选人对</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报送的比选申请文件内容保密，比选人及评比参与者不得泄漏。如果参加竞争的</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试图采用不正当手段对评委施加影响，取消其比选资格。</w:t>
      </w:r>
    </w:p>
    <w:p w14:paraId="0E9F5ED7">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严禁任何单位和个人以任何形式操纵或干预评比过程和评比结果。</w:t>
      </w:r>
    </w:p>
    <w:p w14:paraId="46696182">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评比委员会成员不得在比选期间私下接触参加比选的</w:t>
      </w:r>
      <w:r>
        <w:rPr>
          <w:rFonts w:hint="eastAsia" w:ascii="Times New Roman" w:hAnsi="Times New Roman" w:eastAsia="方正仿宋_GBK" w:cs="Times New Roman"/>
          <w:sz w:val="32"/>
          <w:szCs w:val="32"/>
          <w:lang w:val="en-US" w:eastAsia="zh-CN"/>
        </w:rPr>
        <w:t>比选申请人单位</w:t>
      </w:r>
      <w:r>
        <w:rPr>
          <w:rFonts w:hint="eastAsia" w:ascii="Times New Roman" w:hAnsi="Times New Roman" w:eastAsia="方正仿宋_GBK" w:cs="Times New Roman"/>
          <w:sz w:val="32"/>
          <w:szCs w:val="32"/>
          <w:lang w:eastAsia="zh-CN"/>
        </w:rPr>
        <w:t>人员，不得接受</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或相关人员的任何馈赠，不得参加</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以任何形式组织的宴请、娱乐、旅游等活动，不得透露与比选工作有关的内部情况。</w:t>
      </w:r>
    </w:p>
    <w:p w14:paraId="050A1E63">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7.对比选申请文件进行响应比选文件检查。没有充分响应比选文件的不得进入打分程序；比选人认为比选申请文件有不清楚的地方，可以要求</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解释、澄清，但</w:t>
      </w:r>
      <w:r>
        <w:rPr>
          <w:rFonts w:hint="eastAsia" w:ascii="Times New Roman" w:hAnsi="Times New Roman" w:eastAsia="方正仿宋_GBK" w:cs="Times New Roman"/>
          <w:sz w:val="32"/>
          <w:szCs w:val="32"/>
          <w:lang w:val="en-US" w:eastAsia="zh-CN"/>
        </w:rPr>
        <w:t>比选申请人</w:t>
      </w:r>
      <w:r>
        <w:rPr>
          <w:rFonts w:hint="eastAsia" w:ascii="Times New Roman" w:hAnsi="Times New Roman" w:eastAsia="方正仿宋_GBK" w:cs="Times New Roman"/>
          <w:sz w:val="32"/>
          <w:szCs w:val="32"/>
          <w:lang w:eastAsia="zh-CN"/>
        </w:rPr>
        <w:t>不得对比选文件作实质性的修改。拒绝澄清的，比选申请文件无效。</w:t>
      </w:r>
    </w:p>
    <w:p w14:paraId="6E97C04B">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本次</w:t>
      </w:r>
      <w:r>
        <w:rPr>
          <w:rFonts w:hint="eastAsia" w:ascii="Times New Roman" w:hAnsi="Times New Roman" w:eastAsia="方正仿宋_GBK" w:cs="Times New Roman"/>
          <w:sz w:val="32"/>
          <w:szCs w:val="32"/>
          <w:lang w:val="en-US" w:eastAsia="zh-CN"/>
        </w:rPr>
        <w:t>审计服务单位</w:t>
      </w:r>
      <w:r>
        <w:rPr>
          <w:rFonts w:hint="eastAsia" w:ascii="Times New Roman" w:hAnsi="Times New Roman" w:eastAsia="方正仿宋_GBK" w:cs="Times New Roman"/>
          <w:sz w:val="32"/>
          <w:szCs w:val="32"/>
          <w:lang w:eastAsia="zh-CN"/>
        </w:rPr>
        <w:t>的比选实行综合评分法，按得分高低进行排序，比选人按照从高到低选</w:t>
      </w:r>
      <w:r>
        <w:rPr>
          <w:rFonts w:hint="eastAsia" w:ascii="Times New Roman" w:hAnsi="Times New Roman" w:eastAsia="方正仿宋_GBK" w:cs="Times New Roman"/>
          <w:sz w:val="32"/>
          <w:szCs w:val="32"/>
          <w:lang w:val="en-US" w:eastAsia="zh-CN"/>
        </w:rPr>
        <w:t>取1名审计单位</w:t>
      </w:r>
      <w:r>
        <w:rPr>
          <w:rFonts w:hint="eastAsia" w:ascii="Times New Roman" w:hAnsi="Times New Roman" w:eastAsia="方正仿宋_GBK" w:cs="Times New Roman"/>
          <w:sz w:val="32"/>
          <w:szCs w:val="32"/>
          <w:lang w:eastAsia="zh-CN"/>
        </w:rPr>
        <w:t>为本项目提供</w:t>
      </w:r>
      <w:r>
        <w:rPr>
          <w:rFonts w:hint="eastAsia"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lang w:eastAsia="zh-CN"/>
        </w:rPr>
        <w:t>服务。</w:t>
      </w:r>
    </w:p>
    <w:p w14:paraId="615196AB">
      <w:pPr>
        <w:spacing w:line="336" w:lineRule="auto"/>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eastAsia="zh-CN"/>
        </w:rPr>
        <w:t>凡评比标准中没有列出的评定内容在评比时不得作为打分和作废的依据。</w:t>
      </w:r>
    </w:p>
    <w:p w14:paraId="3035DACE">
      <w:pPr>
        <w:spacing w:line="336" w:lineRule="auto"/>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10.评分办法</w:t>
      </w:r>
    </w:p>
    <w:p w14:paraId="3D49475F">
      <w:pPr>
        <w:snapToGrid w:val="0"/>
        <w:spacing w:line="360" w:lineRule="auto"/>
        <w:ind w:left="482" w:hanging="562" w:hangingChars="200"/>
        <w:jc w:val="center"/>
        <w:outlineLvl w:val="1"/>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评分标准</w:t>
      </w:r>
    </w:p>
    <w:tbl>
      <w:tblPr>
        <w:tblStyle w:val="1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88"/>
        <w:gridCol w:w="752"/>
        <w:gridCol w:w="1091"/>
        <w:gridCol w:w="4640"/>
      </w:tblGrid>
      <w:tr w14:paraId="451C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09" w:type="dxa"/>
            <w:shd w:val="clear" w:color="auto" w:fill="auto"/>
            <w:vAlign w:val="center"/>
          </w:tcPr>
          <w:p w14:paraId="32055496">
            <w:pPr>
              <w:rPr>
                <w:rFonts w:hint="eastAsia"/>
              </w:rPr>
            </w:pPr>
            <w:r>
              <w:rPr>
                <w:rFonts w:hint="eastAsia"/>
              </w:rPr>
              <w:t>条款号</w:t>
            </w:r>
          </w:p>
        </w:tc>
        <w:tc>
          <w:tcPr>
            <w:tcW w:w="1940" w:type="dxa"/>
            <w:gridSpan w:val="2"/>
            <w:shd w:val="clear" w:color="auto" w:fill="auto"/>
            <w:vAlign w:val="center"/>
          </w:tcPr>
          <w:p w14:paraId="2D8EEF50">
            <w:pPr>
              <w:rPr>
                <w:rFonts w:hint="eastAsia"/>
              </w:rPr>
            </w:pPr>
            <w:r>
              <w:rPr>
                <w:rFonts w:hint="eastAsia"/>
              </w:rPr>
              <w:t>条款内容</w:t>
            </w:r>
          </w:p>
        </w:tc>
        <w:tc>
          <w:tcPr>
            <w:tcW w:w="5731" w:type="dxa"/>
            <w:gridSpan w:val="2"/>
            <w:shd w:val="clear" w:color="auto" w:fill="auto"/>
            <w:vAlign w:val="center"/>
          </w:tcPr>
          <w:p w14:paraId="715AFE3C">
            <w:pPr>
              <w:rPr>
                <w:rFonts w:hint="eastAsia"/>
              </w:rPr>
            </w:pPr>
            <w:r>
              <w:rPr>
                <w:rFonts w:hint="eastAsia"/>
              </w:rPr>
              <w:t>编列内容</w:t>
            </w:r>
          </w:p>
        </w:tc>
      </w:tr>
      <w:tr w14:paraId="6D23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14:paraId="050A1289">
            <w:pPr>
              <w:rPr>
                <w:rFonts w:hint="eastAsia" w:eastAsiaTheme="minorEastAsia"/>
                <w:lang w:eastAsia="zh-CN"/>
              </w:rPr>
            </w:pPr>
            <w:r>
              <w:rPr>
                <w:rFonts w:hint="eastAsia"/>
                <w:lang w:val="en-US" w:eastAsia="zh-CN"/>
              </w:rPr>
              <w:t>1</w:t>
            </w:r>
          </w:p>
        </w:tc>
        <w:tc>
          <w:tcPr>
            <w:tcW w:w="1940" w:type="dxa"/>
            <w:gridSpan w:val="2"/>
            <w:shd w:val="clear" w:color="auto" w:fill="auto"/>
            <w:vAlign w:val="center"/>
          </w:tcPr>
          <w:p w14:paraId="4B4652A4">
            <w:pPr>
              <w:rPr>
                <w:rFonts w:hint="eastAsia"/>
              </w:rPr>
            </w:pPr>
            <w:r>
              <w:rPr>
                <w:rFonts w:hint="eastAsia"/>
              </w:rPr>
              <w:t>分值构成</w:t>
            </w:r>
          </w:p>
          <w:p w14:paraId="1B16F682">
            <w:pPr>
              <w:rPr>
                <w:rFonts w:hint="eastAsia"/>
              </w:rPr>
            </w:pPr>
            <w:r>
              <w:rPr>
                <w:rFonts w:hint="eastAsia"/>
              </w:rPr>
              <w:t>(总分100 分)</w:t>
            </w:r>
          </w:p>
        </w:tc>
        <w:tc>
          <w:tcPr>
            <w:tcW w:w="5731" w:type="dxa"/>
            <w:gridSpan w:val="2"/>
            <w:shd w:val="clear" w:color="auto" w:fill="auto"/>
            <w:vAlign w:val="center"/>
          </w:tcPr>
          <w:p w14:paraId="134ED39E">
            <w:pPr>
              <w:rPr>
                <w:rFonts w:hint="eastAsia"/>
              </w:rPr>
            </w:pPr>
            <w:r>
              <w:rPr>
                <w:rFonts w:hint="eastAsia"/>
                <w:lang w:eastAsia="zh-CN"/>
              </w:rPr>
              <w:t>服务方案</w:t>
            </w:r>
            <w:r>
              <w:rPr>
                <w:rFonts w:hint="eastAsia"/>
              </w:rPr>
              <w:t>：</w:t>
            </w:r>
            <w:r>
              <w:rPr>
                <w:rFonts w:hint="eastAsia"/>
                <w:lang w:val="en-US" w:eastAsia="zh-CN"/>
              </w:rPr>
              <w:t>50</w:t>
            </w:r>
            <w:r>
              <w:rPr>
                <w:rFonts w:hint="eastAsia"/>
              </w:rPr>
              <w:t>分</w:t>
            </w:r>
          </w:p>
          <w:p w14:paraId="55CCA723">
            <w:pPr>
              <w:rPr>
                <w:rFonts w:hint="eastAsia"/>
              </w:rPr>
            </w:pPr>
            <w:r>
              <w:rPr>
                <w:rFonts w:hint="eastAsia"/>
              </w:rPr>
              <w:t>人员配置：</w:t>
            </w:r>
            <w:r>
              <w:rPr>
                <w:rFonts w:hint="eastAsia"/>
                <w:lang w:val="en-US" w:eastAsia="zh-CN"/>
              </w:rPr>
              <w:t>20</w:t>
            </w:r>
            <w:r>
              <w:rPr>
                <w:rFonts w:hint="eastAsia"/>
              </w:rPr>
              <w:t>分</w:t>
            </w:r>
          </w:p>
          <w:p w14:paraId="6DD1B14C">
            <w:pPr>
              <w:rPr>
                <w:rFonts w:hint="eastAsia"/>
              </w:rPr>
            </w:pPr>
            <w:r>
              <w:rPr>
                <w:rFonts w:hint="eastAsia"/>
              </w:rPr>
              <w:t>比选报价：</w:t>
            </w:r>
            <w:r>
              <w:rPr>
                <w:rFonts w:hint="eastAsia"/>
                <w:lang w:val="en-US" w:eastAsia="zh-CN"/>
              </w:rPr>
              <w:t>10</w:t>
            </w:r>
            <w:r>
              <w:rPr>
                <w:rFonts w:hint="eastAsia"/>
              </w:rPr>
              <w:t>分</w:t>
            </w:r>
          </w:p>
          <w:p w14:paraId="4F7F5B2F">
            <w:pPr>
              <w:rPr>
                <w:rFonts w:hint="eastAsia"/>
              </w:rPr>
            </w:pPr>
            <w:r>
              <w:rPr>
                <w:rFonts w:hint="eastAsia"/>
                <w:lang w:val="en-US" w:eastAsia="zh-CN"/>
              </w:rPr>
              <w:t>企业业绩</w:t>
            </w:r>
            <w:r>
              <w:rPr>
                <w:rFonts w:hint="eastAsia"/>
              </w:rPr>
              <w:t>评分因素：</w:t>
            </w:r>
            <w:r>
              <w:rPr>
                <w:rFonts w:hint="eastAsia"/>
                <w:lang w:val="en-US" w:eastAsia="zh-CN"/>
              </w:rPr>
              <w:t>15</w:t>
            </w:r>
            <w:r>
              <w:rPr>
                <w:rFonts w:hint="eastAsia"/>
              </w:rPr>
              <w:t>分</w:t>
            </w:r>
          </w:p>
          <w:p w14:paraId="3F7D178F">
            <w:pPr>
              <w:rPr>
                <w:rFonts w:hint="eastAsia"/>
                <w:lang w:val="en-US" w:eastAsia="zh-CN"/>
              </w:rPr>
            </w:pPr>
            <w:r>
              <w:rPr>
                <w:rFonts w:hint="eastAsia"/>
                <w:lang w:val="en-US" w:eastAsia="zh-CN"/>
              </w:rPr>
              <w:t>企业信用评分标准：5分</w:t>
            </w:r>
          </w:p>
        </w:tc>
      </w:tr>
      <w:tr w14:paraId="702E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14:paraId="6D93B370">
            <w:pPr>
              <w:rPr>
                <w:rFonts w:hint="eastAsia"/>
              </w:rPr>
            </w:pPr>
            <w:r>
              <w:rPr>
                <w:rFonts w:hint="eastAsia"/>
                <w:lang w:val="en-US" w:eastAsia="zh-CN"/>
              </w:rPr>
              <w:t>2</w:t>
            </w:r>
          </w:p>
        </w:tc>
        <w:tc>
          <w:tcPr>
            <w:tcW w:w="1940" w:type="dxa"/>
            <w:gridSpan w:val="2"/>
            <w:shd w:val="clear" w:color="auto" w:fill="auto"/>
            <w:vAlign w:val="center"/>
          </w:tcPr>
          <w:p w14:paraId="5A457948">
            <w:pPr>
              <w:rPr>
                <w:rFonts w:hint="eastAsia"/>
              </w:rPr>
            </w:pPr>
            <w:r>
              <w:rPr>
                <w:rFonts w:hint="eastAsia"/>
              </w:rPr>
              <w:t>评审基准价计算方法</w:t>
            </w:r>
          </w:p>
        </w:tc>
        <w:tc>
          <w:tcPr>
            <w:tcW w:w="5731" w:type="dxa"/>
            <w:gridSpan w:val="2"/>
            <w:shd w:val="clear" w:color="auto" w:fill="auto"/>
            <w:vAlign w:val="center"/>
          </w:tcPr>
          <w:p w14:paraId="5B9B8295">
            <w:pPr>
              <w:rPr>
                <w:rFonts w:hint="eastAsia"/>
              </w:rPr>
            </w:pPr>
            <w:r>
              <w:rPr>
                <w:rFonts w:hint="eastAsia"/>
              </w:rPr>
              <w:t>采用下列</w:t>
            </w:r>
            <w:r>
              <w:rPr>
                <w:rFonts w:hint="eastAsia"/>
                <w:lang w:val="en-US" w:eastAsia="zh-CN"/>
              </w:rPr>
              <w:t>B</w:t>
            </w:r>
            <w:r>
              <w:rPr>
                <w:rFonts w:hint="eastAsia"/>
              </w:rPr>
              <w:t>方式：</w:t>
            </w:r>
          </w:p>
          <w:p w14:paraId="3844D1C5">
            <w:pPr>
              <w:rPr>
                <w:rFonts w:hint="eastAsia"/>
              </w:rPr>
            </w:pPr>
            <w:r>
              <w:rPr>
                <w:rFonts w:hint="eastAsia"/>
              </w:rPr>
              <w:t>A方式：采用有效报价（经初步评审合格的</w:t>
            </w:r>
            <w:r>
              <w:rPr>
                <w:rFonts w:hint="eastAsia"/>
                <w:lang w:eastAsia="zh-CN"/>
              </w:rPr>
              <w:t>比选申请报价</w:t>
            </w:r>
            <w:r>
              <w:rPr>
                <w:rFonts w:hint="eastAsia"/>
              </w:rPr>
              <w:t>；报价有修正的，以修正后的价格为准）中最低报价为评审基准价，计算公式为：</w:t>
            </w:r>
          </w:p>
          <w:p w14:paraId="340F6EB6">
            <w:pPr>
              <w:rPr>
                <w:rFonts w:hint="eastAsia"/>
              </w:rPr>
            </w:pPr>
            <w:r>
              <w:rPr>
                <w:rFonts w:hint="eastAsia"/>
              </w:rPr>
              <w:t>S（评审基准价）= amin，amin为有效的最低</w:t>
            </w:r>
            <w:r>
              <w:rPr>
                <w:rFonts w:hint="eastAsia"/>
                <w:lang w:eastAsia="zh-CN"/>
              </w:rPr>
              <w:t>比选申请报价</w:t>
            </w:r>
            <w:r>
              <w:rPr>
                <w:rFonts w:hint="eastAsia"/>
              </w:rPr>
              <w:t>。</w:t>
            </w:r>
          </w:p>
          <w:p w14:paraId="327D91CC">
            <w:pPr>
              <w:rPr>
                <w:rFonts w:hint="eastAsia"/>
              </w:rPr>
            </w:pPr>
            <w:r>
              <w:rPr>
                <w:rFonts w:hint="eastAsia"/>
              </w:rPr>
              <w:t>B方式：采用有效报价（经初步评审合格的</w:t>
            </w:r>
            <w:r>
              <w:rPr>
                <w:rFonts w:hint="eastAsia"/>
                <w:lang w:eastAsia="zh-CN"/>
              </w:rPr>
              <w:t>比选申请报价</w:t>
            </w:r>
            <w:r>
              <w:rPr>
                <w:rFonts w:hint="eastAsia"/>
              </w:rPr>
              <w:t>；报价有修正的，以修正后的价格为准）的算术平均值为评审基准价，计算公式为：</w:t>
            </w:r>
          </w:p>
          <w:p w14:paraId="655524A5">
            <w:pPr>
              <w:rPr>
                <w:rFonts w:hint="eastAsia"/>
              </w:rPr>
            </w:pPr>
            <w:r>
              <w:rPr>
                <w:rFonts w:hint="eastAsia"/>
              </w:rPr>
              <w:t>S（评审基准价）= （a1 +……+an）/n，a为有效的</w:t>
            </w:r>
            <w:r>
              <w:rPr>
                <w:rFonts w:hint="eastAsia"/>
                <w:lang w:eastAsia="zh-CN"/>
              </w:rPr>
              <w:t>比选申请报价</w:t>
            </w:r>
            <w:r>
              <w:rPr>
                <w:rFonts w:hint="eastAsia"/>
              </w:rPr>
              <w:t>。</w:t>
            </w:r>
          </w:p>
          <w:p w14:paraId="20F651FF">
            <w:pPr>
              <w:rPr>
                <w:rFonts w:hint="eastAsia"/>
                <w:lang w:val="en-US" w:eastAsia="zh-CN"/>
              </w:rPr>
            </w:pPr>
            <w:r>
              <w:rPr>
                <w:rFonts w:hint="eastAsia"/>
                <w:lang w:val="en-US" w:eastAsia="zh-CN"/>
              </w:rPr>
              <w:t>注：</w:t>
            </w:r>
            <w:r>
              <w:rPr>
                <w:rFonts w:hint="eastAsia"/>
              </w:rPr>
              <w:t>计算精确到小数点后两位数</w:t>
            </w:r>
            <w:r>
              <w:rPr>
                <w:rFonts w:hint="eastAsia"/>
                <w:lang w:val="en-US" w:eastAsia="zh-CN"/>
              </w:rPr>
              <w:t>。</w:t>
            </w:r>
          </w:p>
        </w:tc>
      </w:tr>
      <w:tr w14:paraId="6429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09" w:type="dxa"/>
            <w:vMerge w:val="restart"/>
            <w:shd w:val="clear" w:color="auto" w:fill="auto"/>
            <w:vAlign w:val="center"/>
          </w:tcPr>
          <w:p w14:paraId="79866A4D">
            <w:pPr>
              <w:rPr>
                <w:rFonts w:hint="eastAsia"/>
              </w:rPr>
            </w:pPr>
          </w:p>
          <w:p w14:paraId="5949B32E">
            <w:pPr>
              <w:rPr>
                <w:rFonts w:hint="eastAsia"/>
              </w:rPr>
            </w:pPr>
          </w:p>
          <w:p w14:paraId="0BB72BEC">
            <w:pPr>
              <w:rPr>
                <w:rFonts w:hint="eastAsia"/>
              </w:rPr>
            </w:pPr>
          </w:p>
          <w:p w14:paraId="737009DF">
            <w:pPr>
              <w:rPr>
                <w:rFonts w:hint="eastAsia" w:eastAsiaTheme="minorEastAsia"/>
                <w:lang w:eastAsia="zh-CN"/>
              </w:rPr>
            </w:pPr>
            <w:r>
              <w:rPr>
                <w:rFonts w:hint="eastAsia"/>
                <w:lang w:val="en-US" w:eastAsia="zh-CN"/>
              </w:rPr>
              <w:t>3</w:t>
            </w:r>
          </w:p>
        </w:tc>
        <w:tc>
          <w:tcPr>
            <w:tcW w:w="1188" w:type="dxa"/>
            <w:vMerge w:val="restart"/>
            <w:shd w:val="clear" w:color="auto" w:fill="auto"/>
            <w:vAlign w:val="center"/>
          </w:tcPr>
          <w:p w14:paraId="6B07A3F2">
            <w:pPr>
              <w:rPr>
                <w:rFonts w:hint="eastAsia"/>
              </w:rPr>
            </w:pPr>
          </w:p>
          <w:p w14:paraId="4DE57D6E">
            <w:pPr>
              <w:rPr>
                <w:rFonts w:hint="eastAsia"/>
              </w:rPr>
            </w:pPr>
          </w:p>
          <w:p w14:paraId="3CC93622">
            <w:pPr>
              <w:rPr>
                <w:rFonts w:hint="eastAsia"/>
              </w:rPr>
            </w:pPr>
          </w:p>
          <w:p w14:paraId="69607A91">
            <w:pPr>
              <w:rPr>
                <w:rFonts w:hint="eastAsia"/>
              </w:rPr>
            </w:pPr>
            <w:r>
              <w:rPr>
                <w:rFonts w:hint="eastAsia"/>
                <w:lang w:eastAsia="zh-CN"/>
              </w:rPr>
              <w:t>服务方案</w:t>
            </w:r>
            <w:r>
              <w:rPr>
                <w:rFonts w:hint="eastAsia"/>
              </w:rPr>
              <w:t>评分标准（</w:t>
            </w:r>
            <w:r>
              <w:rPr>
                <w:rFonts w:hint="eastAsia"/>
                <w:lang w:val="en-US" w:eastAsia="zh-CN"/>
              </w:rPr>
              <w:t>50</w:t>
            </w:r>
            <w:r>
              <w:rPr>
                <w:rFonts w:hint="eastAsia"/>
              </w:rPr>
              <w:t>分）</w:t>
            </w:r>
          </w:p>
        </w:tc>
        <w:tc>
          <w:tcPr>
            <w:tcW w:w="1843" w:type="dxa"/>
            <w:gridSpan w:val="2"/>
            <w:shd w:val="clear" w:color="auto" w:fill="auto"/>
            <w:vAlign w:val="center"/>
          </w:tcPr>
          <w:p w14:paraId="1A6B71A2">
            <w:pPr>
              <w:rPr>
                <w:rFonts w:hint="eastAsia"/>
                <w:lang w:val="en-US" w:eastAsia="zh-CN"/>
              </w:rPr>
            </w:pPr>
            <w:r>
              <w:rPr>
                <w:rFonts w:hint="eastAsia"/>
              </w:rPr>
              <w:t>工作团队组建</w:t>
            </w:r>
            <w:r>
              <w:rPr>
                <w:rFonts w:hint="eastAsia"/>
                <w:lang w:eastAsia="zh-CN"/>
              </w:rPr>
              <w:t>、</w:t>
            </w:r>
            <w:r>
              <w:rPr>
                <w:rFonts w:hint="eastAsia"/>
              </w:rPr>
              <w:t>工作流程</w:t>
            </w:r>
            <w:r>
              <w:rPr>
                <w:rFonts w:hint="eastAsia"/>
                <w:lang w:val="en-US" w:eastAsia="zh-CN"/>
              </w:rPr>
              <w:t>及工作要点</w:t>
            </w:r>
            <w:r>
              <w:rPr>
                <w:rFonts w:hint="eastAsia"/>
                <w:lang w:eastAsia="zh-CN"/>
              </w:rPr>
              <w:t>、</w:t>
            </w:r>
            <w:r>
              <w:rPr>
                <w:rFonts w:hint="eastAsia"/>
              </w:rPr>
              <w:t>工作资料收集整理</w:t>
            </w:r>
            <w:r>
              <w:rPr>
                <w:rFonts w:hint="eastAsia"/>
                <w:lang w:val="en-US" w:eastAsia="zh-CN"/>
              </w:rPr>
              <w:t>方案（10分）</w:t>
            </w:r>
          </w:p>
        </w:tc>
        <w:tc>
          <w:tcPr>
            <w:tcW w:w="4640" w:type="dxa"/>
            <w:shd w:val="clear" w:color="auto" w:fill="auto"/>
            <w:vAlign w:val="center"/>
          </w:tcPr>
          <w:p w14:paraId="16D08514">
            <w:pPr>
              <w:rPr>
                <w:rFonts w:hint="eastAsia"/>
                <w:lang w:val="en-US" w:eastAsia="zh-CN"/>
              </w:rPr>
            </w:pPr>
            <w:r>
              <w:rPr>
                <w:rFonts w:hint="eastAsia"/>
                <w:lang w:val="en-US" w:eastAsia="zh-CN"/>
              </w:rPr>
              <w:t>根据比选申请人提供的</w:t>
            </w:r>
            <w:r>
              <w:rPr>
                <w:rFonts w:hint="eastAsia"/>
              </w:rPr>
              <w:t>工作团队组建</w:t>
            </w:r>
            <w:r>
              <w:rPr>
                <w:rFonts w:hint="eastAsia"/>
                <w:lang w:eastAsia="zh-CN"/>
              </w:rPr>
              <w:t>、</w:t>
            </w:r>
            <w:r>
              <w:rPr>
                <w:rFonts w:hint="eastAsia"/>
              </w:rPr>
              <w:t>工作流程</w:t>
            </w:r>
            <w:r>
              <w:rPr>
                <w:rFonts w:hint="eastAsia"/>
                <w:lang w:eastAsia="zh-CN"/>
              </w:rPr>
              <w:t>、</w:t>
            </w:r>
            <w:r>
              <w:rPr>
                <w:rFonts w:hint="eastAsia"/>
              </w:rPr>
              <w:t>工作资料收集整理</w:t>
            </w:r>
            <w:r>
              <w:rPr>
                <w:rFonts w:hint="eastAsia"/>
                <w:lang w:val="en-US" w:eastAsia="zh-CN"/>
              </w:rPr>
              <w:t>方案的合理性、可行性、逻辑严密性及全面性进行评分，优得9-10</w:t>
            </w:r>
            <w:r>
              <w:rPr>
                <w:rFonts w:hint="eastAsia"/>
              </w:rPr>
              <w:t>分、良</w:t>
            </w:r>
            <w:r>
              <w:rPr>
                <w:rFonts w:hint="eastAsia"/>
                <w:lang w:val="en-US" w:eastAsia="zh-CN"/>
              </w:rPr>
              <w:t>得5-8.9</w:t>
            </w:r>
            <w:r>
              <w:rPr>
                <w:rFonts w:hint="eastAsia"/>
              </w:rPr>
              <w:t>分、一般得</w:t>
            </w:r>
            <w:r>
              <w:rPr>
                <w:rFonts w:hint="eastAsia"/>
                <w:lang w:val="en-US" w:eastAsia="zh-CN"/>
              </w:rPr>
              <w:t>1-4.9</w:t>
            </w:r>
            <w:r>
              <w:rPr>
                <w:rFonts w:hint="eastAsia"/>
              </w:rPr>
              <w:t>分、差得</w:t>
            </w:r>
            <w:r>
              <w:rPr>
                <w:rFonts w:hint="eastAsia"/>
                <w:lang w:val="en-US" w:eastAsia="zh-CN"/>
              </w:rPr>
              <w:t>0.1-0.9</w:t>
            </w:r>
            <w:r>
              <w:rPr>
                <w:rFonts w:hint="eastAsia"/>
              </w:rPr>
              <w:t>分、无得0分。本项最多得</w:t>
            </w:r>
            <w:r>
              <w:rPr>
                <w:rFonts w:hint="eastAsia"/>
                <w:lang w:val="en-US" w:eastAsia="zh-CN"/>
              </w:rPr>
              <w:t>10</w:t>
            </w:r>
            <w:r>
              <w:rPr>
                <w:rFonts w:hint="eastAsia"/>
              </w:rPr>
              <w:t>分。</w:t>
            </w:r>
          </w:p>
        </w:tc>
      </w:tr>
      <w:tr w14:paraId="51D0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809" w:type="dxa"/>
            <w:vMerge w:val="continue"/>
            <w:shd w:val="clear" w:color="auto" w:fill="auto"/>
            <w:vAlign w:val="center"/>
          </w:tcPr>
          <w:p w14:paraId="3B6ECF3D">
            <w:pPr>
              <w:rPr>
                <w:rFonts w:hint="eastAsia"/>
              </w:rPr>
            </w:pPr>
          </w:p>
        </w:tc>
        <w:tc>
          <w:tcPr>
            <w:tcW w:w="1188" w:type="dxa"/>
            <w:vMerge w:val="continue"/>
            <w:shd w:val="clear" w:color="auto" w:fill="auto"/>
            <w:vAlign w:val="center"/>
          </w:tcPr>
          <w:p w14:paraId="18146C4E">
            <w:pPr>
              <w:rPr>
                <w:rFonts w:hint="eastAsia"/>
              </w:rPr>
            </w:pPr>
          </w:p>
        </w:tc>
        <w:tc>
          <w:tcPr>
            <w:tcW w:w="1843" w:type="dxa"/>
            <w:gridSpan w:val="2"/>
            <w:shd w:val="clear" w:color="auto" w:fill="auto"/>
            <w:vAlign w:val="center"/>
          </w:tcPr>
          <w:p w14:paraId="7FA64517">
            <w:pPr>
              <w:rPr>
                <w:rFonts w:hint="eastAsia"/>
              </w:rPr>
            </w:pPr>
            <w:r>
              <w:rPr>
                <w:rFonts w:hint="eastAsia"/>
                <w:lang w:val="en-US" w:eastAsia="zh-CN"/>
              </w:rPr>
              <w:t>进度管理方案</w:t>
            </w:r>
            <w:r>
              <w:rPr>
                <w:rFonts w:hint="eastAsia"/>
              </w:rPr>
              <w:t>（</w:t>
            </w:r>
            <w:r>
              <w:rPr>
                <w:rFonts w:hint="eastAsia"/>
                <w:lang w:val="en-US" w:eastAsia="zh-CN"/>
              </w:rPr>
              <w:t>10</w:t>
            </w:r>
            <w:r>
              <w:rPr>
                <w:rFonts w:hint="eastAsia"/>
              </w:rPr>
              <w:t>分）</w:t>
            </w:r>
          </w:p>
        </w:tc>
        <w:tc>
          <w:tcPr>
            <w:tcW w:w="4640" w:type="dxa"/>
            <w:shd w:val="clear" w:color="auto" w:fill="auto"/>
            <w:vAlign w:val="center"/>
          </w:tcPr>
          <w:p w14:paraId="16A4744E">
            <w:pPr>
              <w:rPr>
                <w:rFonts w:hint="eastAsia"/>
                <w:lang w:val="en-US" w:eastAsia="zh-CN"/>
              </w:rPr>
            </w:pPr>
            <w:r>
              <w:rPr>
                <w:rFonts w:hint="eastAsia"/>
                <w:lang w:val="en-US" w:eastAsia="zh-CN"/>
              </w:rPr>
              <w:t>根据比选申请人提供的进度管理方案的合理性、可行性、逻辑严密性及全面性进行评分，优得9-10分、良得5-8.9分、一般得1-4.9分、差得0.1-0.9分、无得0分。本项最多得10分。</w:t>
            </w:r>
          </w:p>
        </w:tc>
      </w:tr>
      <w:tr w14:paraId="452A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09" w:type="dxa"/>
            <w:vMerge w:val="continue"/>
            <w:shd w:val="clear" w:color="auto" w:fill="auto"/>
            <w:vAlign w:val="center"/>
          </w:tcPr>
          <w:p w14:paraId="35BDDA6C">
            <w:pPr>
              <w:rPr>
                <w:rFonts w:hint="eastAsia"/>
              </w:rPr>
            </w:pPr>
          </w:p>
        </w:tc>
        <w:tc>
          <w:tcPr>
            <w:tcW w:w="1188" w:type="dxa"/>
            <w:vMerge w:val="continue"/>
            <w:shd w:val="clear" w:color="auto" w:fill="auto"/>
            <w:vAlign w:val="center"/>
          </w:tcPr>
          <w:p w14:paraId="3EC907CF">
            <w:pPr>
              <w:rPr>
                <w:rFonts w:hint="eastAsia"/>
              </w:rPr>
            </w:pPr>
          </w:p>
        </w:tc>
        <w:tc>
          <w:tcPr>
            <w:tcW w:w="1843" w:type="dxa"/>
            <w:gridSpan w:val="2"/>
            <w:shd w:val="clear" w:color="auto" w:fill="auto"/>
            <w:vAlign w:val="center"/>
          </w:tcPr>
          <w:p w14:paraId="4CDBE433">
            <w:pPr>
              <w:rPr>
                <w:rFonts w:hint="eastAsia"/>
                <w:lang w:val="en-US" w:eastAsia="zh-CN"/>
              </w:rPr>
            </w:pPr>
            <w:r>
              <w:rPr>
                <w:rFonts w:hint="eastAsia"/>
              </w:rPr>
              <w:t>质量</w:t>
            </w:r>
            <w:r>
              <w:rPr>
                <w:rFonts w:hint="eastAsia"/>
                <w:lang w:val="en-US" w:eastAsia="zh-CN"/>
              </w:rPr>
              <w:t>管理方案</w:t>
            </w:r>
            <w:r>
              <w:rPr>
                <w:rFonts w:hint="eastAsia"/>
              </w:rPr>
              <w:t>（</w:t>
            </w:r>
            <w:r>
              <w:rPr>
                <w:rFonts w:hint="eastAsia"/>
                <w:lang w:val="en-US" w:eastAsia="zh-CN"/>
              </w:rPr>
              <w:t>10</w:t>
            </w:r>
            <w:r>
              <w:rPr>
                <w:rFonts w:hint="eastAsia"/>
              </w:rPr>
              <w:t>分）</w:t>
            </w:r>
          </w:p>
        </w:tc>
        <w:tc>
          <w:tcPr>
            <w:tcW w:w="4640" w:type="dxa"/>
            <w:shd w:val="clear" w:color="auto" w:fill="auto"/>
            <w:vAlign w:val="center"/>
          </w:tcPr>
          <w:p w14:paraId="23B2C669">
            <w:pPr>
              <w:rPr>
                <w:rFonts w:hint="eastAsia"/>
                <w:lang w:val="en-US" w:eastAsia="zh-CN"/>
              </w:rPr>
            </w:pPr>
            <w:r>
              <w:rPr>
                <w:rFonts w:hint="eastAsia"/>
                <w:lang w:val="en-US" w:eastAsia="zh-CN"/>
              </w:rPr>
              <w:t>根据比选申请人提供的</w:t>
            </w:r>
            <w:r>
              <w:rPr>
                <w:rFonts w:hint="eastAsia"/>
              </w:rPr>
              <w:t>质量</w:t>
            </w:r>
            <w:r>
              <w:rPr>
                <w:rFonts w:hint="eastAsia"/>
                <w:lang w:val="en-US" w:eastAsia="zh-CN"/>
              </w:rPr>
              <w:t>管理方案的合理性、可行性、逻辑严密性及全面性进行评分，优得9-10分、良得5-8.9分、一般得1-4.9分、差得0.1-0.9分、无得0分。本项最多得10分。</w:t>
            </w:r>
          </w:p>
        </w:tc>
      </w:tr>
      <w:tr w14:paraId="2B72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09" w:type="dxa"/>
            <w:vMerge w:val="continue"/>
            <w:shd w:val="clear" w:color="auto" w:fill="auto"/>
            <w:vAlign w:val="center"/>
          </w:tcPr>
          <w:p w14:paraId="40199779">
            <w:pPr>
              <w:rPr>
                <w:rFonts w:hint="eastAsia"/>
              </w:rPr>
            </w:pPr>
          </w:p>
        </w:tc>
        <w:tc>
          <w:tcPr>
            <w:tcW w:w="1188" w:type="dxa"/>
            <w:vMerge w:val="continue"/>
            <w:shd w:val="clear" w:color="auto" w:fill="auto"/>
            <w:vAlign w:val="center"/>
          </w:tcPr>
          <w:p w14:paraId="5ED280A2">
            <w:pPr>
              <w:rPr>
                <w:rFonts w:hint="eastAsia"/>
              </w:rPr>
            </w:pPr>
          </w:p>
        </w:tc>
        <w:tc>
          <w:tcPr>
            <w:tcW w:w="1843" w:type="dxa"/>
            <w:gridSpan w:val="2"/>
            <w:shd w:val="clear" w:color="auto" w:fill="auto"/>
            <w:vAlign w:val="center"/>
          </w:tcPr>
          <w:p w14:paraId="761917F3">
            <w:pPr>
              <w:rPr>
                <w:rFonts w:hint="eastAsia"/>
              </w:rPr>
            </w:pPr>
            <w:r>
              <w:rPr>
                <w:rFonts w:hint="eastAsia"/>
              </w:rPr>
              <w:t>工作团队组建工作流程及工作要点（</w:t>
            </w:r>
            <w:r>
              <w:rPr>
                <w:rFonts w:hint="eastAsia"/>
                <w:lang w:val="en-US" w:eastAsia="zh-CN"/>
              </w:rPr>
              <w:t>10</w:t>
            </w:r>
            <w:r>
              <w:rPr>
                <w:rFonts w:hint="eastAsia"/>
              </w:rPr>
              <w:t>分）</w:t>
            </w:r>
          </w:p>
        </w:tc>
        <w:tc>
          <w:tcPr>
            <w:tcW w:w="4640" w:type="dxa"/>
            <w:shd w:val="clear" w:color="auto" w:fill="auto"/>
            <w:vAlign w:val="center"/>
          </w:tcPr>
          <w:p w14:paraId="4C5114AB">
            <w:pPr>
              <w:rPr>
                <w:rFonts w:hint="eastAsia"/>
                <w:lang w:val="en-US" w:eastAsia="zh-CN"/>
              </w:rPr>
            </w:pPr>
            <w:r>
              <w:rPr>
                <w:rFonts w:hint="eastAsia"/>
                <w:lang w:val="en-US" w:eastAsia="zh-CN"/>
              </w:rPr>
              <w:t>根据比选申请人提供的工作的流程、工作要点分析以及工作理解的合理性、可行性、逻辑严密性及全面性进行评分，优得9-10分、良得5-8.9分、一般得1-4.9分、差得0.1-0.9分、无得0分。本项最多得10分。</w:t>
            </w:r>
          </w:p>
        </w:tc>
      </w:tr>
      <w:tr w14:paraId="6F9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09" w:type="dxa"/>
            <w:vMerge w:val="continue"/>
            <w:shd w:val="clear" w:color="auto" w:fill="auto"/>
            <w:vAlign w:val="center"/>
          </w:tcPr>
          <w:p w14:paraId="24BB2377">
            <w:pPr>
              <w:rPr>
                <w:rFonts w:hint="eastAsia"/>
              </w:rPr>
            </w:pPr>
          </w:p>
        </w:tc>
        <w:tc>
          <w:tcPr>
            <w:tcW w:w="1188" w:type="dxa"/>
            <w:vMerge w:val="continue"/>
            <w:shd w:val="clear" w:color="auto" w:fill="auto"/>
            <w:vAlign w:val="center"/>
          </w:tcPr>
          <w:p w14:paraId="0FA6CD49">
            <w:pPr>
              <w:rPr>
                <w:rFonts w:hint="eastAsia"/>
              </w:rPr>
            </w:pPr>
          </w:p>
        </w:tc>
        <w:tc>
          <w:tcPr>
            <w:tcW w:w="1843" w:type="dxa"/>
            <w:gridSpan w:val="2"/>
            <w:shd w:val="clear" w:color="auto" w:fill="auto"/>
            <w:vAlign w:val="top"/>
          </w:tcPr>
          <w:p w14:paraId="575961DA">
            <w:pPr>
              <w:rPr>
                <w:rFonts w:hint="eastAsia"/>
              </w:rPr>
            </w:pPr>
            <w:r>
              <w:rPr>
                <w:rFonts w:hint="eastAsia"/>
                <w:lang w:val="en-US" w:eastAsia="zh-CN"/>
              </w:rPr>
              <w:t>档案管理、</w:t>
            </w:r>
            <w:r>
              <w:rPr>
                <w:rFonts w:hint="eastAsia"/>
              </w:rPr>
              <w:t>工作廉洁和保密措施（</w:t>
            </w:r>
            <w:r>
              <w:rPr>
                <w:rFonts w:hint="eastAsia"/>
                <w:lang w:val="en-US" w:eastAsia="zh-CN"/>
              </w:rPr>
              <w:t>10</w:t>
            </w:r>
            <w:r>
              <w:rPr>
                <w:rFonts w:hint="eastAsia"/>
              </w:rPr>
              <w:t>分）</w:t>
            </w:r>
          </w:p>
        </w:tc>
        <w:tc>
          <w:tcPr>
            <w:tcW w:w="4640" w:type="dxa"/>
            <w:shd w:val="clear" w:color="auto" w:fill="auto"/>
            <w:vAlign w:val="center"/>
          </w:tcPr>
          <w:p w14:paraId="3B9BADE6">
            <w:pPr>
              <w:rPr>
                <w:rFonts w:hint="eastAsia"/>
                <w:lang w:val="en-US" w:eastAsia="zh-CN"/>
              </w:rPr>
            </w:pPr>
            <w:r>
              <w:rPr>
                <w:rFonts w:hint="eastAsia"/>
                <w:lang w:val="en-US" w:eastAsia="zh-CN"/>
              </w:rPr>
              <w:t>根据档案管理、</w:t>
            </w:r>
            <w:r>
              <w:rPr>
                <w:rFonts w:hint="eastAsia"/>
              </w:rPr>
              <w:t>工作廉洁和保密措施</w:t>
            </w:r>
            <w:r>
              <w:rPr>
                <w:rFonts w:hint="eastAsia"/>
                <w:lang w:val="en-US" w:eastAsia="zh-CN"/>
              </w:rPr>
              <w:t>的合理性、可行性及全面性进行评分，优得9-10分、良得5-8.9分、一般得1-4.9分、差得0.1-0.9分、无得0分。本项最多得10分。</w:t>
            </w:r>
          </w:p>
        </w:tc>
      </w:tr>
      <w:tr w14:paraId="3FB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09" w:type="dxa"/>
            <w:vMerge w:val="continue"/>
            <w:shd w:val="clear" w:color="auto" w:fill="auto"/>
            <w:vAlign w:val="center"/>
          </w:tcPr>
          <w:p w14:paraId="16264D1D">
            <w:pPr>
              <w:rPr>
                <w:rFonts w:hint="eastAsia"/>
              </w:rPr>
            </w:pPr>
          </w:p>
        </w:tc>
        <w:tc>
          <w:tcPr>
            <w:tcW w:w="1188" w:type="dxa"/>
            <w:vMerge w:val="continue"/>
            <w:shd w:val="clear" w:color="auto" w:fill="auto"/>
            <w:vAlign w:val="center"/>
          </w:tcPr>
          <w:p w14:paraId="3B0F8999">
            <w:pPr>
              <w:rPr>
                <w:rFonts w:hint="eastAsia"/>
              </w:rPr>
            </w:pPr>
          </w:p>
        </w:tc>
        <w:tc>
          <w:tcPr>
            <w:tcW w:w="1843" w:type="dxa"/>
            <w:gridSpan w:val="2"/>
            <w:shd w:val="clear" w:color="auto" w:fill="auto"/>
            <w:vAlign w:val="top"/>
          </w:tcPr>
          <w:p w14:paraId="27FA870E">
            <w:pPr>
              <w:rPr>
                <w:rFonts w:hint="eastAsia"/>
              </w:rPr>
            </w:pPr>
            <w:r>
              <w:rPr>
                <w:rFonts w:hint="eastAsia"/>
              </w:rPr>
              <w:t>成果文件整理</w:t>
            </w:r>
            <w:r>
              <w:rPr>
                <w:rFonts w:hint="eastAsia"/>
                <w:lang w:eastAsia="zh-CN"/>
              </w:rPr>
              <w:t>、</w:t>
            </w:r>
            <w:r>
              <w:rPr>
                <w:rFonts w:hint="eastAsia"/>
              </w:rPr>
              <w:t>应急管理措施</w:t>
            </w:r>
            <w:r>
              <w:rPr>
                <w:rFonts w:hint="eastAsia"/>
                <w:lang w:val="en-US" w:eastAsia="zh-CN"/>
              </w:rPr>
              <w:t>及</w:t>
            </w:r>
            <w:r>
              <w:rPr>
                <w:rFonts w:hint="eastAsia"/>
              </w:rPr>
              <w:t>后续服务</w:t>
            </w:r>
            <w:r>
              <w:rPr>
                <w:rFonts w:hint="eastAsia"/>
                <w:lang w:val="en-US" w:eastAsia="zh-CN"/>
              </w:rPr>
              <w:t>方案</w:t>
            </w:r>
            <w:r>
              <w:rPr>
                <w:rFonts w:hint="eastAsia"/>
              </w:rPr>
              <w:t>（</w:t>
            </w:r>
            <w:r>
              <w:rPr>
                <w:rFonts w:hint="eastAsia"/>
                <w:lang w:val="en-US" w:eastAsia="zh-CN"/>
              </w:rPr>
              <w:t>10</w:t>
            </w:r>
            <w:r>
              <w:rPr>
                <w:rFonts w:hint="eastAsia"/>
              </w:rPr>
              <w:t>分）</w:t>
            </w:r>
          </w:p>
        </w:tc>
        <w:tc>
          <w:tcPr>
            <w:tcW w:w="4640" w:type="dxa"/>
            <w:shd w:val="clear" w:color="auto" w:fill="auto"/>
            <w:vAlign w:val="center"/>
          </w:tcPr>
          <w:p w14:paraId="63896787">
            <w:pPr>
              <w:rPr>
                <w:rFonts w:hint="eastAsia"/>
                <w:lang w:val="en-US" w:eastAsia="zh-CN"/>
              </w:rPr>
            </w:pPr>
            <w:r>
              <w:rPr>
                <w:rFonts w:hint="eastAsia"/>
                <w:lang w:val="en-US" w:eastAsia="zh-CN"/>
              </w:rPr>
              <w:t>根据比选申请人提供的</w:t>
            </w:r>
            <w:r>
              <w:rPr>
                <w:rFonts w:hint="eastAsia"/>
              </w:rPr>
              <w:t>成果文件整理</w:t>
            </w:r>
            <w:r>
              <w:rPr>
                <w:rFonts w:hint="eastAsia"/>
                <w:lang w:eastAsia="zh-CN"/>
              </w:rPr>
              <w:t>、</w:t>
            </w:r>
            <w:r>
              <w:rPr>
                <w:rFonts w:hint="eastAsia"/>
              </w:rPr>
              <w:t>应急管理措施</w:t>
            </w:r>
            <w:r>
              <w:rPr>
                <w:rFonts w:hint="eastAsia"/>
                <w:lang w:val="en-US" w:eastAsia="zh-CN"/>
              </w:rPr>
              <w:t>及</w:t>
            </w:r>
            <w:r>
              <w:rPr>
                <w:rFonts w:hint="eastAsia"/>
              </w:rPr>
              <w:t>后续服务</w:t>
            </w:r>
            <w:r>
              <w:rPr>
                <w:rFonts w:hint="eastAsia"/>
                <w:lang w:val="en-US" w:eastAsia="zh-CN"/>
              </w:rPr>
              <w:t>方案的合理性、可行性及全面性进行评分，优得9-10分、良得5-8.9分、一般得1-4.9分、差得0.1-0.9分、无得0分。本项最多得10分。</w:t>
            </w:r>
          </w:p>
        </w:tc>
      </w:tr>
      <w:tr w14:paraId="169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09" w:type="dxa"/>
            <w:vMerge w:val="restart"/>
            <w:shd w:val="clear" w:color="auto" w:fill="auto"/>
            <w:vAlign w:val="center"/>
          </w:tcPr>
          <w:p w14:paraId="0471FE28">
            <w:pPr>
              <w:rPr>
                <w:rFonts w:hint="eastAsia" w:eastAsiaTheme="minorEastAsia"/>
                <w:lang w:eastAsia="zh-CN"/>
              </w:rPr>
            </w:pPr>
            <w:r>
              <w:rPr>
                <w:rFonts w:hint="eastAsia"/>
                <w:lang w:val="en-US" w:eastAsia="zh-CN"/>
              </w:rPr>
              <w:t>4</w:t>
            </w:r>
          </w:p>
        </w:tc>
        <w:tc>
          <w:tcPr>
            <w:tcW w:w="1188" w:type="dxa"/>
            <w:vMerge w:val="restart"/>
            <w:shd w:val="clear" w:color="auto" w:fill="auto"/>
            <w:vAlign w:val="center"/>
          </w:tcPr>
          <w:p w14:paraId="739C8A78">
            <w:pPr>
              <w:rPr>
                <w:rFonts w:hint="eastAsia"/>
              </w:rPr>
            </w:pPr>
            <w:r>
              <w:rPr>
                <w:rFonts w:hint="eastAsia"/>
              </w:rPr>
              <w:t>人员配置评分标准（</w:t>
            </w:r>
            <w:r>
              <w:rPr>
                <w:rFonts w:hint="eastAsia"/>
                <w:lang w:val="en-US" w:eastAsia="zh-CN"/>
              </w:rPr>
              <w:t>20</w:t>
            </w:r>
            <w:r>
              <w:rPr>
                <w:rFonts w:hint="eastAsia"/>
              </w:rPr>
              <w:t>分）</w:t>
            </w:r>
          </w:p>
        </w:tc>
        <w:tc>
          <w:tcPr>
            <w:tcW w:w="1843" w:type="dxa"/>
            <w:gridSpan w:val="2"/>
            <w:shd w:val="clear" w:color="auto" w:fill="auto"/>
            <w:vAlign w:val="center"/>
          </w:tcPr>
          <w:p w14:paraId="52BF5775">
            <w:pPr>
              <w:rPr>
                <w:rFonts w:hint="eastAsia"/>
                <w:lang w:val="en-US" w:eastAsia="zh-CN"/>
              </w:rPr>
            </w:pPr>
            <w:r>
              <w:rPr>
                <w:rFonts w:hint="eastAsia"/>
                <w:lang w:val="en-US" w:eastAsia="zh-CN"/>
              </w:rPr>
              <w:t>项目负责人（8分）</w:t>
            </w:r>
          </w:p>
        </w:tc>
        <w:tc>
          <w:tcPr>
            <w:tcW w:w="4640" w:type="dxa"/>
            <w:shd w:val="clear" w:color="auto" w:fill="auto"/>
            <w:vAlign w:val="center"/>
          </w:tcPr>
          <w:p w14:paraId="20B8F953">
            <w:pPr>
              <w:rPr>
                <w:rFonts w:hint="eastAsia"/>
              </w:rPr>
            </w:pPr>
            <w:r>
              <w:rPr>
                <w:rFonts w:hint="eastAsia"/>
                <w:lang w:val="en-US" w:eastAsia="zh-CN"/>
              </w:rPr>
              <w:t>具有全国（一级）注册造价工程师（交通运输工程）得5分，具有中级技术职称加1分，具有高级及以上技术职称加3分，最多得8分。</w:t>
            </w:r>
          </w:p>
          <w:p w14:paraId="10544235">
            <w:pPr>
              <w:rPr>
                <w:rFonts w:hint="eastAsia"/>
              </w:rPr>
            </w:pPr>
            <w:r>
              <w:rPr>
                <w:rFonts w:hint="eastAsia"/>
              </w:rPr>
              <w:t>注：</w:t>
            </w:r>
          </w:p>
          <w:p w14:paraId="0526F2F6">
            <w:pPr>
              <w:rPr>
                <w:rFonts w:hint="eastAsia"/>
                <w:lang w:val="en-US" w:eastAsia="zh-CN"/>
              </w:rPr>
            </w:pPr>
            <w:r>
              <w:rPr>
                <w:rFonts w:hint="eastAsia"/>
                <w:lang w:val="en-US" w:eastAsia="zh-CN"/>
              </w:rPr>
              <w:t>（1）提供注册在本单位的注册证书、身份证、职称证书、近6个月社保缴费证明材料复印件并加盖单位公章。</w:t>
            </w:r>
          </w:p>
          <w:p w14:paraId="5F2022C3">
            <w:pPr>
              <w:rPr>
                <w:rFonts w:hint="eastAsia"/>
                <w:lang w:val="en-US" w:eastAsia="zh-CN"/>
              </w:rPr>
            </w:pPr>
            <w:r>
              <w:rPr>
                <w:rFonts w:hint="eastAsia"/>
                <w:lang w:val="en-US" w:eastAsia="zh-CN"/>
              </w:rPr>
              <w:t>（2）社保缴费证明是指，由社保部门出具的主要人员在该投标人单位最近6个月连续缴费证明，从比选文件开始获取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p>
        </w:tc>
      </w:tr>
      <w:tr w14:paraId="29EA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09" w:type="dxa"/>
            <w:vMerge w:val="continue"/>
            <w:shd w:val="clear" w:color="auto" w:fill="auto"/>
            <w:vAlign w:val="center"/>
          </w:tcPr>
          <w:p w14:paraId="7D9C5678">
            <w:pPr>
              <w:rPr>
                <w:rFonts w:hint="eastAsia"/>
              </w:rPr>
            </w:pPr>
          </w:p>
        </w:tc>
        <w:tc>
          <w:tcPr>
            <w:tcW w:w="1188" w:type="dxa"/>
            <w:vMerge w:val="continue"/>
            <w:shd w:val="clear" w:color="auto" w:fill="auto"/>
            <w:vAlign w:val="center"/>
          </w:tcPr>
          <w:p w14:paraId="75069AA4">
            <w:pPr>
              <w:rPr>
                <w:rFonts w:hint="eastAsia"/>
              </w:rPr>
            </w:pPr>
          </w:p>
        </w:tc>
        <w:tc>
          <w:tcPr>
            <w:tcW w:w="1843" w:type="dxa"/>
            <w:gridSpan w:val="2"/>
            <w:shd w:val="clear" w:color="auto" w:fill="auto"/>
            <w:vAlign w:val="center"/>
          </w:tcPr>
          <w:p w14:paraId="1ED26113">
            <w:pPr>
              <w:rPr>
                <w:rFonts w:hint="eastAsia"/>
                <w:lang w:val="en-US" w:eastAsia="zh-CN"/>
              </w:rPr>
            </w:pPr>
            <w:r>
              <w:rPr>
                <w:rFonts w:hint="eastAsia"/>
                <w:lang w:val="en-US" w:eastAsia="zh-CN"/>
              </w:rPr>
              <w:t>其他人员配备（12分）</w:t>
            </w:r>
          </w:p>
        </w:tc>
        <w:tc>
          <w:tcPr>
            <w:tcW w:w="4640" w:type="dxa"/>
            <w:shd w:val="clear" w:color="auto" w:fill="auto"/>
            <w:vAlign w:val="center"/>
          </w:tcPr>
          <w:p w14:paraId="3EEAA80B">
            <w:pPr>
              <w:numPr>
                <w:ilvl w:val="0"/>
                <w:numId w:val="1"/>
              </w:numPr>
              <w:rPr>
                <w:rFonts w:hint="eastAsia"/>
                <w:lang w:val="en-US" w:eastAsia="zh-CN"/>
              </w:rPr>
            </w:pPr>
            <w:r>
              <w:rPr>
                <w:rFonts w:hint="eastAsia"/>
                <w:lang w:val="en-US" w:eastAsia="zh-CN"/>
              </w:rPr>
              <w:t>专业技术人员（3人）：每有一人具有二级注册造价工程师（交通运输工程）证书的得1.5分；每有一人具有一级注册造价工程师（交通运输工程）证书的得3分。本项最多得12分。</w:t>
            </w:r>
          </w:p>
          <w:p w14:paraId="7179497D">
            <w:pPr>
              <w:rPr>
                <w:rFonts w:hint="eastAsia"/>
              </w:rPr>
            </w:pPr>
          </w:p>
          <w:p w14:paraId="15294950">
            <w:pPr>
              <w:rPr>
                <w:rFonts w:hint="eastAsia"/>
              </w:rPr>
            </w:pPr>
            <w:r>
              <w:rPr>
                <w:rFonts w:hint="eastAsia"/>
              </w:rPr>
              <w:t>注：（1）以上人员</w:t>
            </w:r>
            <w:r>
              <w:rPr>
                <w:rFonts w:hint="eastAsia"/>
                <w:lang w:val="en-US" w:eastAsia="zh-CN"/>
              </w:rPr>
              <w:t>与项目负责人</w:t>
            </w:r>
            <w:r>
              <w:rPr>
                <w:rFonts w:hint="eastAsia"/>
              </w:rPr>
              <w:t>不重复计分。</w:t>
            </w:r>
          </w:p>
          <w:p w14:paraId="30958EC3">
            <w:pPr>
              <w:rPr>
                <w:rFonts w:hint="eastAsia"/>
              </w:rPr>
            </w:pPr>
            <w:r>
              <w:rPr>
                <w:rFonts w:hint="eastAsia"/>
              </w:rPr>
              <w:t>（2）提供注册在本单位的注册证书、身份证、近6个月社保缴费证明材料复印件并加盖单位公章。</w:t>
            </w:r>
          </w:p>
          <w:p w14:paraId="01F68086">
            <w:pPr>
              <w:rPr>
                <w:rFonts w:hint="eastAsia"/>
                <w:lang w:val="en-US" w:eastAsia="zh-CN"/>
              </w:rPr>
            </w:pPr>
            <w:r>
              <w:rPr>
                <w:rFonts w:hint="eastAsia"/>
              </w:rPr>
              <w:t>（3）社保缴费证明是指，由社保部门出具的主要人员在该投标人单位最近6个月连续缴费证明，从比选文件开始获取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p>
        </w:tc>
      </w:tr>
      <w:tr w14:paraId="4882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shd w:val="clear" w:color="auto" w:fill="auto"/>
            <w:vAlign w:val="center"/>
          </w:tcPr>
          <w:p w14:paraId="3F647587">
            <w:pPr>
              <w:rPr>
                <w:rFonts w:hint="eastAsia" w:eastAsiaTheme="minorEastAsia"/>
                <w:lang w:eastAsia="zh-CN"/>
              </w:rPr>
            </w:pPr>
            <w:r>
              <w:rPr>
                <w:rFonts w:hint="eastAsia"/>
                <w:lang w:val="en-US" w:eastAsia="zh-CN"/>
              </w:rPr>
              <w:t>5</w:t>
            </w:r>
          </w:p>
        </w:tc>
        <w:tc>
          <w:tcPr>
            <w:tcW w:w="1188" w:type="dxa"/>
            <w:shd w:val="clear" w:color="auto" w:fill="auto"/>
            <w:vAlign w:val="center"/>
          </w:tcPr>
          <w:p w14:paraId="7B8CDA0C">
            <w:pPr>
              <w:rPr>
                <w:rFonts w:hint="eastAsia"/>
              </w:rPr>
            </w:pPr>
            <w:r>
              <w:rPr>
                <w:rFonts w:hint="eastAsia"/>
              </w:rPr>
              <w:t>比选报价评分标准（</w:t>
            </w:r>
            <w:r>
              <w:rPr>
                <w:rFonts w:hint="eastAsia"/>
                <w:lang w:val="en-US" w:eastAsia="zh-CN"/>
              </w:rPr>
              <w:t>10</w:t>
            </w:r>
            <w:r>
              <w:rPr>
                <w:rFonts w:hint="eastAsia"/>
              </w:rPr>
              <w:t>分）</w:t>
            </w:r>
          </w:p>
        </w:tc>
        <w:tc>
          <w:tcPr>
            <w:tcW w:w="6483" w:type="dxa"/>
            <w:gridSpan w:val="3"/>
            <w:shd w:val="clear" w:color="auto" w:fill="auto"/>
            <w:vAlign w:val="center"/>
          </w:tcPr>
          <w:p w14:paraId="4BC6AFA6">
            <w:pPr>
              <w:rPr>
                <w:rFonts w:hint="eastAsia"/>
                <w:lang w:val="en-US" w:eastAsia="zh-CN"/>
              </w:rPr>
            </w:pPr>
            <w:r>
              <w:rPr>
                <w:rFonts w:hint="eastAsia"/>
                <w:lang w:val="en-US" w:eastAsia="zh-CN"/>
              </w:rPr>
              <w:t>有效投标报价等于评标基准价的得满分，其他有效投标报价与评标基准价相比，每高1%扣0.5分，每低1%扣0.2分。</w:t>
            </w:r>
          </w:p>
          <w:p w14:paraId="17944379">
            <w:pPr>
              <w:rPr>
                <w:rFonts w:hint="eastAsia"/>
                <w:lang w:val="en-US" w:eastAsia="zh-CN"/>
              </w:rPr>
            </w:pPr>
            <w:r>
              <w:rPr>
                <w:rFonts w:hint="eastAsia"/>
                <w:lang w:val="en-US" w:eastAsia="zh-CN"/>
              </w:rPr>
              <w:t>偏差率=100%*|(比选申请人报价-评标基准价)|/评标基准价。</w:t>
            </w:r>
          </w:p>
          <w:p w14:paraId="3656E929">
            <w:pPr>
              <w:rPr>
                <w:rFonts w:hint="eastAsia"/>
                <w:lang w:val="en-US" w:eastAsia="zh-CN"/>
              </w:rPr>
            </w:pPr>
            <w:r>
              <w:rPr>
                <w:rFonts w:hint="eastAsia"/>
                <w:lang w:val="en-US" w:eastAsia="zh-CN"/>
              </w:rPr>
              <w:t>注：中间值采用插入法计算，偏差率百分数小数点后保留两位。</w:t>
            </w:r>
          </w:p>
        </w:tc>
      </w:tr>
      <w:tr w14:paraId="45BB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809" w:type="dxa"/>
            <w:shd w:val="clear" w:color="auto" w:fill="auto"/>
            <w:vAlign w:val="center"/>
          </w:tcPr>
          <w:p w14:paraId="2EB148C9">
            <w:pPr>
              <w:rPr>
                <w:rFonts w:hint="eastAsia" w:eastAsiaTheme="minorEastAsia"/>
                <w:lang w:eastAsia="zh-CN"/>
              </w:rPr>
            </w:pPr>
            <w:r>
              <w:rPr>
                <w:rFonts w:hint="eastAsia"/>
                <w:lang w:val="en-US" w:eastAsia="zh-CN"/>
              </w:rPr>
              <w:t>6</w:t>
            </w:r>
          </w:p>
        </w:tc>
        <w:tc>
          <w:tcPr>
            <w:tcW w:w="1188" w:type="dxa"/>
            <w:shd w:val="clear" w:color="auto" w:fill="auto"/>
            <w:vAlign w:val="center"/>
          </w:tcPr>
          <w:p w14:paraId="5AB6E6EB">
            <w:pPr>
              <w:rPr>
                <w:rFonts w:hint="eastAsia"/>
              </w:rPr>
            </w:pPr>
            <w:r>
              <w:rPr>
                <w:rFonts w:hint="eastAsia"/>
                <w:lang w:val="en-US" w:eastAsia="zh-CN"/>
              </w:rPr>
              <w:t>企业业绩</w:t>
            </w:r>
            <w:r>
              <w:rPr>
                <w:rFonts w:hint="eastAsia"/>
              </w:rPr>
              <w:t>评分标准（</w:t>
            </w:r>
            <w:r>
              <w:rPr>
                <w:rFonts w:hint="eastAsia"/>
                <w:lang w:val="en-US" w:eastAsia="zh-CN"/>
              </w:rPr>
              <w:t>15</w:t>
            </w:r>
            <w:r>
              <w:rPr>
                <w:rFonts w:hint="eastAsia"/>
              </w:rPr>
              <w:t>分）</w:t>
            </w:r>
          </w:p>
        </w:tc>
        <w:tc>
          <w:tcPr>
            <w:tcW w:w="1843" w:type="dxa"/>
            <w:gridSpan w:val="2"/>
            <w:shd w:val="clear" w:color="auto" w:fill="auto"/>
            <w:vAlign w:val="center"/>
          </w:tcPr>
          <w:p w14:paraId="6335ACE0">
            <w:pPr>
              <w:rPr>
                <w:rFonts w:hint="eastAsia"/>
              </w:rPr>
            </w:pPr>
            <w:r>
              <w:rPr>
                <w:rFonts w:hint="eastAsia"/>
                <w:lang w:val="en-US" w:eastAsia="zh-CN"/>
              </w:rPr>
              <w:t>类似业绩</w:t>
            </w:r>
            <w:r>
              <w:rPr>
                <w:rFonts w:hint="eastAsia"/>
              </w:rPr>
              <w:t>（</w:t>
            </w:r>
            <w:r>
              <w:rPr>
                <w:rFonts w:hint="eastAsia"/>
                <w:lang w:val="en-US" w:eastAsia="zh-CN"/>
              </w:rPr>
              <w:t>15</w:t>
            </w:r>
            <w:r>
              <w:rPr>
                <w:rFonts w:hint="eastAsia"/>
              </w:rPr>
              <w:t>分）</w:t>
            </w:r>
          </w:p>
        </w:tc>
        <w:tc>
          <w:tcPr>
            <w:tcW w:w="4640" w:type="dxa"/>
            <w:shd w:val="clear" w:color="auto" w:fill="auto"/>
            <w:vAlign w:val="center"/>
          </w:tcPr>
          <w:p w14:paraId="45666BEA">
            <w:pPr>
              <w:rPr>
                <w:rFonts w:hint="eastAsia"/>
                <w:lang w:val="en-US" w:eastAsia="zh-CN"/>
              </w:rPr>
            </w:pPr>
            <w:r>
              <w:rPr>
                <w:rFonts w:hint="eastAsia"/>
                <w:lang w:val="en-US" w:eastAsia="zh-CN"/>
              </w:rPr>
              <w:t>比选申请人2022年01月01日以来（含01月01日）每提供1个</w:t>
            </w:r>
            <w:r>
              <w:rPr>
                <w:rFonts w:hint="eastAsia"/>
              </w:rPr>
              <w:t>已完成或正在</w:t>
            </w:r>
            <w:r>
              <w:rPr>
                <w:rFonts w:hint="eastAsia"/>
                <w:lang w:val="en-US" w:eastAsia="zh-CN"/>
              </w:rPr>
              <w:t>实施</w:t>
            </w:r>
            <w:r>
              <w:rPr>
                <w:rFonts w:hint="eastAsia"/>
              </w:rPr>
              <w:t>或新承接的</w:t>
            </w:r>
            <w:r>
              <w:rPr>
                <w:rFonts w:hint="eastAsia"/>
                <w:lang w:val="en-US" w:eastAsia="zh-CN"/>
              </w:rPr>
              <w:t>类似业绩得5分，本项满分15分。</w:t>
            </w:r>
          </w:p>
          <w:p w14:paraId="2B101F16">
            <w:pPr>
              <w:rPr>
                <w:rFonts w:hint="eastAsia"/>
              </w:rPr>
            </w:pPr>
            <w:r>
              <w:rPr>
                <w:rFonts w:hint="eastAsia"/>
              </w:rPr>
              <w:t>类似业绩是指:</w:t>
            </w:r>
            <w:r>
              <w:rPr>
                <w:rFonts w:hint="eastAsia"/>
                <w:lang w:val="en-US" w:eastAsia="zh-CN"/>
              </w:rPr>
              <w:t>公路类竣工结算审核业绩</w:t>
            </w:r>
            <w:r>
              <w:rPr>
                <w:rFonts w:hint="eastAsia"/>
              </w:rPr>
              <w:t>，类似业绩认定时间以合同签订时间为准；</w:t>
            </w:r>
          </w:p>
          <w:p w14:paraId="707C12F0">
            <w:pPr>
              <w:rPr>
                <w:rFonts w:hint="eastAsia"/>
                <w:lang w:val="en-US" w:eastAsia="zh-CN"/>
              </w:rPr>
            </w:pPr>
            <w:r>
              <w:rPr>
                <w:rFonts w:hint="eastAsia"/>
                <w:lang w:val="en-US" w:eastAsia="zh-CN"/>
              </w:rPr>
              <w:t>注：</w:t>
            </w:r>
            <w:r>
              <w:rPr>
                <w:rFonts w:hint="eastAsia"/>
              </w:rPr>
              <w:t>类似业绩</w:t>
            </w:r>
            <w:r>
              <w:rPr>
                <w:rFonts w:hint="eastAsia"/>
                <w:lang w:val="en-US" w:eastAsia="zh-CN"/>
              </w:rPr>
              <w:t>须提供合同，</w:t>
            </w:r>
            <w:r>
              <w:rPr>
                <w:rFonts w:hint="eastAsia"/>
              </w:rPr>
              <w:t>类似业绩的合同无法体现出所要求的技术指标</w:t>
            </w:r>
            <w:r>
              <w:rPr>
                <w:rFonts w:hint="eastAsia"/>
                <w:lang w:val="en-US" w:eastAsia="zh-CN"/>
              </w:rPr>
              <w:t>的</w:t>
            </w:r>
            <w:r>
              <w:rPr>
                <w:rFonts w:hint="eastAsia"/>
              </w:rPr>
              <w:t>，则比选申请人还需提供建设单位盖章确认的其技术指标或类似业绩时间的证明材料，比选申请人须将此证明材料放入比选申请文件中</w:t>
            </w:r>
            <w:r>
              <w:rPr>
                <w:rFonts w:hint="eastAsia"/>
                <w:lang w:eastAsia="zh-CN"/>
              </w:rPr>
              <w:t>。</w:t>
            </w:r>
          </w:p>
        </w:tc>
      </w:tr>
      <w:tr w14:paraId="667F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09" w:type="dxa"/>
            <w:shd w:val="clear" w:color="auto" w:fill="auto"/>
            <w:vAlign w:val="center"/>
          </w:tcPr>
          <w:p w14:paraId="06536225">
            <w:pPr>
              <w:rPr>
                <w:rFonts w:hint="eastAsia" w:eastAsiaTheme="minorEastAsia"/>
                <w:lang w:val="en-US" w:eastAsia="zh-CN"/>
              </w:rPr>
            </w:pPr>
            <w:r>
              <w:rPr>
                <w:rFonts w:hint="eastAsia"/>
                <w:lang w:val="en-US" w:eastAsia="zh-CN"/>
              </w:rPr>
              <w:t>7</w:t>
            </w:r>
          </w:p>
        </w:tc>
        <w:tc>
          <w:tcPr>
            <w:tcW w:w="1188" w:type="dxa"/>
            <w:shd w:val="clear" w:color="auto" w:fill="auto"/>
            <w:vAlign w:val="center"/>
          </w:tcPr>
          <w:p w14:paraId="40595614">
            <w:pPr>
              <w:rPr>
                <w:rFonts w:hint="eastAsia"/>
                <w:lang w:val="en-US" w:eastAsia="zh-CN"/>
              </w:rPr>
            </w:pPr>
            <w:r>
              <w:rPr>
                <w:rFonts w:hint="eastAsia"/>
              </w:rPr>
              <w:t>企业信用评分标准（5分）</w:t>
            </w:r>
          </w:p>
        </w:tc>
        <w:tc>
          <w:tcPr>
            <w:tcW w:w="1843" w:type="dxa"/>
            <w:gridSpan w:val="2"/>
            <w:shd w:val="clear" w:color="auto" w:fill="auto"/>
            <w:vAlign w:val="center"/>
          </w:tcPr>
          <w:p w14:paraId="5DC74B17">
            <w:pPr>
              <w:rPr>
                <w:rFonts w:hint="eastAsia"/>
              </w:rPr>
            </w:pPr>
            <w:r>
              <w:rPr>
                <w:rFonts w:hint="eastAsia"/>
              </w:rPr>
              <w:t>信用评分</w:t>
            </w:r>
          </w:p>
          <w:p w14:paraId="383DDD20">
            <w:pPr>
              <w:rPr>
                <w:rFonts w:hint="eastAsia"/>
                <w:lang w:val="en-US" w:eastAsia="zh-CN"/>
              </w:rPr>
            </w:pPr>
            <w:r>
              <w:rPr>
                <w:rFonts w:hint="eastAsia"/>
              </w:rPr>
              <w:t>（5分）</w:t>
            </w:r>
          </w:p>
        </w:tc>
        <w:tc>
          <w:tcPr>
            <w:tcW w:w="4640" w:type="dxa"/>
            <w:shd w:val="clear" w:color="auto" w:fill="auto"/>
            <w:vAlign w:val="center"/>
          </w:tcPr>
          <w:p w14:paraId="72B57C03">
            <w:pPr>
              <w:rPr>
                <w:rFonts w:hint="eastAsia"/>
              </w:rPr>
            </w:pPr>
            <w:r>
              <w:rPr>
                <w:rFonts w:hint="eastAsia"/>
              </w:rPr>
              <w:t>在</w:t>
            </w:r>
            <w:r>
              <w:rPr>
                <w:rFonts w:hint="eastAsia"/>
                <w:lang w:val="en-US" w:eastAsia="zh-CN"/>
              </w:rPr>
              <w:t>四川省建筑市场监管公共服务平台造价咨询登</w:t>
            </w:r>
            <w:r>
              <w:rPr>
                <w:rFonts w:hint="eastAsia"/>
              </w:rPr>
              <w:t>记</w:t>
            </w:r>
            <w:r>
              <w:rPr>
                <w:rFonts w:hint="eastAsia"/>
                <w:lang w:val="en-US" w:eastAsia="zh-CN"/>
              </w:rPr>
              <w:t>的</w:t>
            </w:r>
            <w:r>
              <w:rPr>
                <w:rFonts w:hint="eastAsia"/>
              </w:rPr>
              <w:t>诚信分</w:t>
            </w:r>
            <w:r>
              <w:rPr>
                <w:rFonts w:hint="eastAsia"/>
                <w:lang w:val="en-US" w:eastAsia="zh-CN"/>
              </w:rPr>
              <w:t>为100分的</w:t>
            </w:r>
            <w:r>
              <w:rPr>
                <w:rFonts w:hint="eastAsia"/>
              </w:rPr>
              <w:t>得5分，诚信分每</w:t>
            </w:r>
            <w:r>
              <w:rPr>
                <w:rFonts w:hint="eastAsia"/>
                <w:lang w:val="en-US" w:eastAsia="zh-CN"/>
              </w:rPr>
              <w:t>减</w:t>
            </w:r>
            <w:r>
              <w:rPr>
                <w:rFonts w:hint="eastAsia"/>
              </w:rPr>
              <w:t>少1分扣1分，本项扣完为止。</w:t>
            </w:r>
          </w:p>
          <w:p w14:paraId="1DC1274D">
            <w:pPr>
              <w:rPr>
                <w:rFonts w:hint="eastAsia"/>
                <w:lang w:val="en-US" w:eastAsia="zh-CN"/>
              </w:rPr>
            </w:pPr>
            <w:r>
              <w:rPr>
                <w:rFonts w:hint="eastAsia"/>
              </w:rPr>
              <w:t>注：</w:t>
            </w:r>
            <w:r>
              <w:rPr>
                <w:rFonts w:hint="eastAsia"/>
                <w:lang w:val="en-US" w:eastAsia="zh-CN"/>
              </w:rPr>
              <w:t>提供自报名开始之日起至比选申请文件递交截止之日网页截图并加盖公章</w:t>
            </w:r>
            <w:r>
              <w:rPr>
                <w:rFonts w:hint="eastAsia"/>
              </w:rPr>
              <w:t>。</w:t>
            </w:r>
          </w:p>
        </w:tc>
      </w:tr>
      <w:tr w14:paraId="700A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14:paraId="328D1718">
            <w:pPr>
              <w:rPr>
                <w:rFonts w:hint="eastAsia" w:eastAsiaTheme="minorEastAsia"/>
                <w:lang w:eastAsia="zh-CN"/>
              </w:rPr>
            </w:pPr>
            <w:r>
              <w:rPr>
                <w:rFonts w:hint="eastAsia"/>
                <w:lang w:val="en-US" w:eastAsia="zh-CN"/>
              </w:rPr>
              <w:t>8</w:t>
            </w:r>
          </w:p>
        </w:tc>
        <w:tc>
          <w:tcPr>
            <w:tcW w:w="1188" w:type="dxa"/>
            <w:shd w:val="clear" w:color="auto" w:fill="auto"/>
            <w:vAlign w:val="center"/>
          </w:tcPr>
          <w:p w14:paraId="67784096">
            <w:pPr>
              <w:rPr>
                <w:rFonts w:hint="eastAsia"/>
              </w:rPr>
            </w:pPr>
            <w:r>
              <w:rPr>
                <w:rFonts w:hint="eastAsia"/>
              </w:rPr>
              <w:t>推荐中选候选人</w:t>
            </w:r>
          </w:p>
        </w:tc>
        <w:tc>
          <w:tcPr>
            <w:tcW w:w="6483" w:type="dxa"/>
            <w:gridSpan w:val="3"/>
            <w:shd w:val="clear" w:color="auto" w:fill="auto"/>
            <w:vAlign w:val="center"/>
          </w:tcPr>
          <w:p w14:paraId="61A8DDE1">
            <w:pPr>
              <w:rPr>
                <w:rFonts w:hint="eastAsia"/>
              </w:rPr>
            </w:pPr>
            <w:r>
              <w:rPr>
                <w:rFonts w:hint="eastAsia"/>
                <w:lang w:val="en-US" w:eastAsia="zh-CN"/>
              </w:rPr>
              <w:t>1</w:t>
            </w:r>
            <w:r>
              <w:rPr>
                <w:rFonts w:hint="eastAsia"/>
              </w:rPr>
              <w:t>、</w:t>
            </w:r>
            <w:r>
              <w:rPr>
                <w:rFonts w:hint="eastAsia"/>
                <w:lang w:eastAsia="zh-CN"/>
              </w:rPr>
              <w:t>评比委员会</w:t>
            </w:r>
            <w:r>
              <w:rPr>
                <w:rFonts w:hint="eastAsia"/>
              </w:rPr>
              <w:t>按得分由高至低的顺序依次推荐前1-</w:t>
            </w:r>
            <w:r>
              <w:rPr>
                <w:rFonts w:hint="eastAsia"/>
                <w:lang w:val="en-US" w:eastAsia="zh-CN"/>
              </w:rPr>
              <w:t>3</w:t>
            </w:r>
            <w:r>
              <w:rPr>
                <w:rFonts w:hint="eastAsia"/>
              </w:rPr>
              <w:t>名为中选候选人，并注明排名顺序。本项目比选人将确定排名</w:t>
            </w:r>
            <w:r>
              <w:rPr>
                <w:rFonts w:hint="eastAsia"/>
                <w:lang w:val="en-US" w:eastAsia="zh-CN"/>
              </w:rPr>
              <w:t>第1名</w:t>
            </w:r>
            <w:r>
              <w:rPr>
                <w:rFonts w:hint="eastAsia"/>
              </w:rPr>
              <w:t>的中选候选人为中选人。</w:t>
            </w:r>
          </w:p>
          <w:p w14:paraId="6C1BB430">
            <w:pPr>
              <w:rPr>
                <w:rFonts w:hint="eastAsia"/>
              </w:rPr>
            </w:pPr>
            <w:r>
              <w:rPr>
                <w:rFonts w:hint="eastAsia"/>
                <w:lang w:val="en-US" w:eastAsia="zh-CN"/>
              </w:rPr>
              <w:t>2</w:t>
            </w:r>
            <w:r>
              <w:rPr>
                <w:rFonts w:hint="eastAsia"/>
              </w:rPr>
              <w:t>、采用综合评分法，若比选申请人得分相同时，以</w:t>
            </w:r>
            <w:r>
              <w:rPr>
                <w:rFonts w:hint="eastAsia"/>
                <w:lang w:val="en-US" w:eastAsia="zh-CN"/>
              </w:rPr>
              <w:t>比选申请报价低的优先，其次以服务方案得分高的优先；最后以人员配置得分高的优先；人员配置得分也相等的，由比选人自行</w:t>
            </w:r>
            <w:r>
              <w:rPr>
                <w:rFonts w:hint="eastAsia"/>
              </w:rPr>
              <w:t>确定中选人。</w:t>
            </w:r>
          </w:p>
        </w:tc>
      </w:tr>
    </w:tbl>
    <w:p w14:paraId="4E0093B2">
      <w:pPr>
        <w:pStyle w:val="2"/>
        <w:jc w:val="center"/>
        <w:rPr>
          <w:rFonts w:hint="eastAsia"/>
          <w:b w:val="0"/>
          <w:bCs/>
          <w:szCs w:val="44"/>
          <w:highlight w:val="none"/>
        </w:rPr>
      </w:pPr>
    </w:p>
    <w:p w14:paraId="4273587A">
      <w:pPr>
        <w:rPr>
          <w:rFonts w:hint="eastAsia"/>
          <w:b w:val="0"/>
          <w:bCs/>
          <w:szCs w:val="44"/>
          <w:highlight w:val="none"/>
        </w:rPr>
      </w:pPr>
    </w:p>
    <w:p w14:paraId="7CCEE9F4">
      <w:pPr>
        <w:rPr>
          <w:rFonts w:hint="eastAsia"/>
          <w:b w:val="0"/>
          <w:bCs/>
          <w:szCs w:val="44"/>
          <w:highlight w:val="none"/>
        </w:rPr>
      </w:pPr>
    </w:p>
    <w:p w14:paraId="5CDFD2C1">
      <w:pPr>
        <w:rPr>
          <w:rFonts w:hint="eastAsia"/>
          <w:b w:val="0"/>
          <w:bCs/>
          <w:szCs w:val="44"/>
          <w:highlight w:val="none"/>
        </w:rPr>
      </w:pPr>
    </w:p>
    <w:p w14:paraId="4DD5F818">
      <w:pPr>
        <w:rPr>
          <w:rFonts w:hint="eastAsia"/>
          <w:b w:val="0"/>
          <w:bCs/>
          <w:szCs w:val="44"/>
          <w:highlight w:val="none"/>
        </w:rPr>
      </w:pPr>
    </w:p>
    <w:p w14:paraId="744FCAFB">
      <w:pPr>
        <w:rPr>
          <w:rFonts w:hint="eastAsia"/>
          <w:b w:val="0"/>
          <w:bCs/>
          <w:szCs w:val="44"/>
          <w:highlight w:val="none"/>
        </w:rPr>
      </w:pPr>
    </w:p>
    <w:p w14:paraId="2C137C19">
      <w:pPr>
        <w:rPr>
          <w:rFonts w:hint="eastAsia"/>
          <w:b w:val="0"/>
          <w:bCs/>
          <w:szCs w:val="44"/>
          <w:highlight w:val="none"/>
        </w:rPr>
      </w:pPr>
    </w:p>
    <w:p w14:paraId="642D5031">
      <w:pPr>
        <w:rPr>
          <w:rFonts w:hint="eastAsia"/>
          <w:b w:val="0"/>
          <w:bCs/>
          <w:szCs w:val="44"/>
          <w:highlight w:val="none"/>
        </w:rPr>
      </w:pPr>
    </w:p>
    <w:p w14:paraId="618C622B">
      <w:pPr>
        <w:rPr>
          <w:rFonts w:hint="eastAsia"/>
          <w:b w:val="0"/>
          <w:bCs/>
          <w:szCs w:val="44"/>
          <w:highlight w:val="none"/>
        </w:rPr>
      </w:pPr>
    </w:p>
    <w:p w14:paraId="334C930E">
      <w:pPr>
        <w:rPr>
          <w:rFonts w:hint="eastAsia"/>
          <w:b w:val="0"/>
          <w:bCs/>
          <w:szCs w:val="44"/>
          <w:highlight w:val="none"/>
        </w:rPr>
      </w:pPr>
    </w:p>
    <w:p w14:paraId="1C3636A3">
      <w:pPr>
        <w:rPr>
          <w:rFonts w:hint="eastAsia"/>
          <w:b w:val="0"/>
          <w:bCs/>
          <w:szCs w:val="44"/>
          <w:highlight w:val="none"/>
        </w:rPr>
      </w:pPr>
    </w:p>
    <w:p w14:paraId="6F29562C">
      <w:pPr>
        <w:rPr>
          <w:rFonts w:hint="eastAsia"/>
          <w:b w:val="0"/>
          <w:bCs/>
          <w:szCs w:val="44"/>
          <w:highlight w:val="none"/>
        </w:rPr>
      </w:pPr>
    </w:p>
    <w:p w14:paraId="56EC19DB">
      <w:pPr>
        <w:rPr>
          <w:rFonts w:hint="eastAsia"/>
          <w:b w:val="0"/>
          <w:bCs/>
          <w:szCs w:val="44"/>
          <w:highlight w:val="none"/>
        </w:rPr>
      </w:pPr>
    </w:p>
    <w:p w14:paraId="137C6320">
      <w:pPr>
        <w:rPr>
          <w:rFonts w:hint="eastAsia"/>
          <w:b w:val="0"/>
          <w:bCs/>
          <w:szCs w:val="44"/>
          <w:highlight w:val="none"/>
        </w:rPr>
      </w:pPr>
    </w:p>
    <w:p w14:paraId="7D678EFF">
      <w:pPr>
        <w:rPr>
          <w:rFonts w:hint="eastAsia"/>
          <w:b w:val="0"/>
          <w:bCs/>
          <w:szCs w:val="44"/>
          <w:highlight w:val="none"/>
        </w:rPr>
      </w:pPr>
    </w:p>
    <w:p w14:paraId="2650E04E">
      <w:pPr>
        <w:rPr>
          <w:rFonts w:hint="eastAsia"/>
          <w:b w:val="0"/>
          <w:bCs/>
          <w:szCs w:val="44"/>
          <w:highlight w:val="none"/>
        </w:rPr>
      </w:pPr>
    </w:p>
    <w:p w14:paraId="345FE879">
      <w:pPr>
        <w:rPr>
          <w:rFonts w:hint="eastAsia"/>
          <w:b w:val="0"/>
          <w:bCs/>
          <w:szCs w:val="44"/>
          <w:highlight w:val="none"/>
        </w:rPr>
      </w:pPr>
    </w:p>
    <w:p w14:paraId="19151EF6">
      <w:pPr>
        <w:rPr>
          <w:rFonts w:hint="eastAsia"/>
          <w:b w:val="0"/>
          <w:bCs/>
          <w:szCs w:val="44"/>
          <w:highlight w:val="none"/>
        </w:rPr>
      </w:pPr>
    </w:p>
    <w:p w14:paraId="7A969838">
      <w:pPr>
        <w:rPr>
          <w:rFonts w:hint="eastAsia"/>
          <w:b w:val="0"/>
          <w:bCs/>
          <w:szCs w:val="44"/>
          <w:highlight w:val="none"/>
        </w:rPr>
      </w:pPr>
    </w:p>
    <w:p w14:paraId="4DFE1C22">
      <w:pPr>
        <w:rPr>
          <w:rFonts w:hint="eastAsia"/>
          <w:b w:val="0"/>
          <w:bCs/>
          <w:szCs w:val="44"/>
          <w:highlight w:val="none"/>
        </w:rPr>
      </w:pPr>
    </w:p>
    <w:p w14:paraId="7D4B5D86">
      <w:pPr>
        <w:rPr>
          <w:rFonts w:hint="eastAsia"/>
          <w:b w:val="0"/>
          <w:bCs/>
          <w:szCs w:val="44"/>
          <w:highlight w:val="none"/>
        </w:rPr>
      </w:pPr>
    </w:p>
    <w:p w14:paraId="0AD360C1">
      <w:pPr>
        <w:rPr>
          <w:rFonts w:hint="eastAsia"/>
          <w:b w:val="0"/>
          <w:bCs/>
          <w:szCs w:val="44"/>
          <w:highlight w:val="none"/>
        </w:rPr>
      </w:pPr>
    </w:p>
    <w:p w14:paraId="3A319B34">
      <w:pPr>
        <w:rPr>
          <w:rFonts w:hint="eastAsia"/>
          <w:b w:val="0"/>
          <w:bCs/>
          <w:szCs w:val="44"/>
          <w:highlight w:val="none"/>
        </w:rPr>
      </w:pPr>
    </w:p>
    <w:p w14:paraId="17DD1460">
      <w:pPr>
        <w:rPr>
          <w:rFonts w:hint="eastAsia"/>
          <w:b w:val="0"/>
          <w:bCs/>
          <w:szCs w:val="44"/>
          <w:highlight w:val="none"/>
        </w:rPr>
      </w:pPr>
    </w:p>
    <w:p w14:paraId="2BA4E840">
      <w:pPr>
        <w:rPr>
          <w:rFonts w:hint="eastAsia"/>
          <w:b w:val="0"/>
          <w:bCs/>
          <w:szCs w:val="44"/>
          <w:highlight w:val="none"/>
        </w:rPr>
      </w:pPr>
    </w:p>
    <w:p w14:paraId="5ABCFD96">
      <w:pPr>
        <w:rPr>
          <w:rFonts w:hint="eastAsia"/>
          <w:b w:val="0"/>
          <w:bCs/>
          <w:szCs w:val="44"/>
          <w:highlight w:val="none"/>
        </w:rPr>
      </w:pPr>
    </w:p>
    <w:p w14:paraId="46D58C65">
      <w:pPr>
        <w:rPr>
          <w:rFonts w:hint="eastAsia"/>
          <w:b w:val="0"/>
          <w:bCs/>
          <w:szCs w:val="44"/>
          <w:highlight w:val="none"/>
        </w:rPr>
      </w:pPr>
    </w:p>
    <w:p w14:paraId="78973DDC">
      <w:pPr>
        <w:rPr>
          <w:rFonts w:hint="eastAsia"/>
          <w:b w:val="0"/>
          <w:bCs/>
          <w:szCs w:val="44"/>
          <w:highlight w:val="none"/>
        </w:rPr>
      </w:pPr>
    </w:p>
    <w:p w14:paraId="49AFEB0F">
      <w:pPr>
        <w:rPr>
          <w:rFonts w:hint="eastAsia"/>
          <w:b w:val="0"/>
          <w:bCs/>
          <w:szCs w:val="44"/>
          <w:highlight w:val="none"/>
        </w:rPr>
      </w:pPr>
    </w:p>
    <w:p w14:paraId="4EFB6540">
      <w:pPr>
        <w:rPr>
          <w:rFonts w:hint="eastAsia"/>
          <w:b w:val="0"/>
          <w:bCs/>
          <w:szCs w:val="44"/>
          <w:highlight w:val="none"/>
        </w:rPr>
      </w:pPr>
    </w:p>
    <w:p w14:paraId="0E42DC52">
      <w:pPr>
        <w:rPr>
          <w:rFonts w:hint="eastAsia"/>
          <w:b w:val="0"/>
          <w:bCs/>
          <w:szCs w:val="44"/>
          <w:highlight w:val="none"/>
        </w:rPr>
      </w:pPr>
    </w:p>
    <w:p w14:paraId="4580CF73">
      <w:pPr>
        <w:rPr>
          <w:rFonts w:hint="eastAsia"/>
          <w:b w:val="0"/>
          <w:bCs/>
          <w:szCs w:val="44"/>
          <w:highlight w:val="none"/>
        </w:rPr>
      </w:pPr>
    </w:p>
    <w:p w14:paraId="3952AC0E">
      <w:pPr>
        <w:rPr>
          <w:rFonts w:hint="eastAsia"/>
          <w:b w:val="0"/>
          <w:bCs/>
          <w:szCs w:val="44"/>
          <w:highlight w:val="none"/>
        </w:rPr>
      </w:pPr>
    </w:p>
    <w:p w14:paraId="28B07921">
      <w:pPr>
        <w:rPr>
          <w:rFonts w:hint="eastAsia"/>
          <w:b w:val="0"/>
          <w:bCs/>
          <w:szCs w:val="44"/>
          <w:highlight w:val="none"/>
        </w:rPr>
      </w:pPr>
    </w:p>
    <w:p w14:paraId="7CC5B687">
      <w:pPr>
        <w:rPr>
          <w:rFonts w:hint="eastAsia"/>
          <w:b w:val="0"/>
          <w:bCs/>
          <w:szCs w:val="44"/>
          <w:highlight w:val="none"/>
        </w:rPr>
      </w:pPr>
    </w:p>
    <w:p w14:paraId="42842D00">
      <w:pPr>
        <w:rPr>
          <w:rFonts w:hint="eastAsia"/>
          <w:b w:val="0"/>
          <w:bCs/>
          <w:szCs w:val="44"/>
          <w:highlight w:val="none"/>
        </w:rPr>
      </w:pPr>
    </w:p>
    <w:p w14:paraId="2D75E59B">
      <w:pPr>
        <w:rPr>
          <w:rFonts w:hint="eastAsia"/>
          <w:b w:val="0"/>
          <w:bCs/>
          <w:szCs w:val="44"/>
          <w:highlight w:val="none"/>
        </w:rPr>
      </w:pPr>
    </w:p>
    <w:p w14:paraId="725C9B05">
      <w:pPr>
        <w:pStyle w:val="2"/>
        <w:spacing w:before="0" w:after="0" w:line="240" w:lineRule="auto"/>
        <w:jc w:val="center"/>
        <w:rPr>
          <w:rFonts w:hint="eastAsia" w:ascii="Times New Roman" w:hAnsi="Times New Roman" w:eastAsia="宋体" w:cs="Times New Roman"/>
          <w:b/>
          <w:bCs/>
          <w:kern w:val="2"/>
          <w:sz w:val="44"/>
          <w:szCs w:val="44"/>
          <w:highlight w:val="none"/>
          <w:lang w:val="en-US" w:eastAsia="zh-CN" w:bidi="ar-SA"/>
        </w:rPr>
      </w:pPr>
      <w:r>
        <w:rPr>
          <w:rFonts w:hint="eastAsia" w:ascii="Times New Roman" w:hAnsi="Times New Roman" w:eastAsia="宋体" w:cs="Times New Roman"/>
          <w:b/>
          <w:bCs/>
          <w:kern w:val="2"/>
          <w:sz w:val="44"/>
          <w:szCs w:val="44"/>
          <w:highlight w:val="none"/>
          <w:lang w:val="en-US" w:eastAsia="zh-CN" w:bidi="ar-SA"/>
        </w:rPr>
        <w:t>第</w:t>
      </w:r>
      <w:r>
        <w:rPr>
          <w:rFonts w:hint="eastAsia" w:ascii="Times New Roman" w:hAnsi="Times New Roman" w:cs="Times New Roman"/>
          <w:b/>
          <w:bCs/>
          <w:kern w:val="2"/>
          <w:sz w:val="44"/>
          <w:szCs w:val="44"/>
          <w:highlight w:val="none"/>
          <w:lang w:val="en-US" w:eastAsia="zh-CN" w:bidi="ar-SA"/>
        </w:rPr>
        <w:t>三</w:t>
      </w:r>
      <w:bookmarkStart w:id="53" w:name="_GoBack"/>
      <w:bookmarkEnd w:id="53"/>
      <w:r>
        <w:rPr>
          <w:rFonts w:hint="eastAsia" w:ascii="Times New Roman" w:hAnsi="Times New Roman" w:eastAsia="宋体" w:cs="Times New Roman"/>
          <w:b/>
          <w:bCs/>
          <w:kern w:val="2"/>
          <w:sz w:val="44"/>
          <w:szCs w:val="44"/>
          <w:highlight w:val="none"/>
          <w:lang w:val="en-US" w:eastAsia="zh-CN" w:bidi="ar-SA"/>
        </w:rPr>
        <w:t>部分</w:t>
      </w:r>
      <w:bookmarkEnd w:id="34"/>
      <w:bookmarkEnd w:id="35"/>
      <w:bookmarkEnd w:id="36"/>
      <w:bookmarkEnd w:id="37"/>
      <w:r>
        <w:rPr>
          <w:rFonts w:hint="eastAsia" w:ascii="Times New Roman" w:hAnsi="Times New Roman" w:eastAsia="宋体" w:cs="Times New Roman"/>
          <w:b/>
          <w:bCs/>
          <w:kern w:val="2"/>
          <w:sz w:val="44"/>
          <w:szCs w:val="44"/>
          <w:highlight w:val="none"/>
          <w:lang w:val="en-US" w:eastAsia="zh-CN" w:bidi="ar-SA"/>
        </w:rPr>
        <w:t xml:space="preserve">  申请比选文件格式</w:t>
      </w:r>
    </w:p>
    <w:p w14:paraId="5B30CDF8">
      <w:pPr>
        <w:adjustRightInd w:val="0"/>
        <w:snapToGrid w:val="0"/>
        <w:spacing w:line="500" w:lineRule="exact"/>
        <w:ind w:left="210" w:leftChars="100" w:firstLine="120" w:firstLineChars="50"/>
        <w:jc w:val="left"/>
        <w:rPr>
          <w:rFonts w:hint="eastAsia" w:ascii="宋体" w:hAnsi="宋体" w:cs="宋体"/>
          <w:sz w:val="24"/>
          <w:highlight w:val="none"/>
        </w:rPr>
      </w:pPr>
    </w:p>
    <w:p w14:paraId="005F13FD">
      <w:pPr>
        <w:adjustRightInd w:val="0"/>
        <w:snapToGrid w:val="0"/>
        <w:spacing w:line="500" w:lineRule="exact"/>
        <w:ind w:left="210" w:leftChars="100" w:firstLine="160" w:firstLineChars="50"/>
        <w:jc w:val="left"/>
        <w:rPr>
          <w:rFonts w:hint="eastAsia" w:ascii="宋体" w:hAnsi="宋体" w:cs="宋体"/>
          <w:sz w:val="32"/>
          <w:szCs w:val="32"/>
          <w:highlight w:val="none"/>
        </w:rPr>
      </w:pPr>
    </w:p>
    <w:p w14:paraId="179FB4CB">
      <w:pPr>
        <w:spacing w:line="500" w:lineRule="exact"/>
        <w:ind w:right="420"/>
        <w:jc w:val="center"/>
        <w:rPr>
          <w:rFonts w:hint="eastAsia" w:ascii="宋体" w:hAnsi="宋体" w:cs="宋体"/>
          <w:b/>
          <w:sz w:val="32"/>
          <w:szCs w:val="32"/>
          <w:highlight w:val="none"/>
          <w:u w:val="single"/>
        </w:rPr>
      </w:pPr>
    </w:p>
    <w:p w14:paraId="3AA331BF">
      <w:pPr>
        <w:spacing w:line="360" w:lineRule="auto"/>
        <w:ind w:right="420"/>
        <w:jc w:val="center"/>
        <w:rPr>
          <w:rFonts w:hint="eastAsia" w:ascii="宋体" w:hAnsi="宋体" w:cs="宋体"/>
          <w:b/>
          <w:sz w:val="44"/>
          <w:szCs w:val="44"/>
          <w:highlight w:val="none"/>
          <w:u w:val="single"/>
        </w:rPr>
      </w:pPr>
      <w:r>
        <w:rPr>
          <w:rFonts w:hint="eastAsia" w:ascii="宋体" w:hAnsi="宋体" w:cs="宋体"/>
          <w:b/>
          <w:sz w:val="44"/>
          <w:szCs w:val="44"/>
          <w:highlight w:val="none"/>
          <w:lang w:eastAsia="zh-CN"/>
        </w:rPr>
        <w:t>攀枝花市东区X001桐银路、X006沙阿路、X008双弄路、X009遥茨路4条美丽乡村路建设工程审计服务公开比选</w:t>
      </w:r>
      <w:r>
        <w:rPr>
          <w:rFonts w:hint="eastAsia" w:ascii="宋体" w:hAnsi="宋体" w:cs="宋体"/>
          <w:b/>
          <w:sz w:val="44"/>
          <w:szCs w:val="44"/>
          <w:highlight w:val="none"/>
        </w:rPr>
        <w:t>（项目名称）</w:t>
      </w:r>
    </w:p>
    <w:p w14:paraId="7E94DFB2">
      <w:pPr>
        <w:spacing w:line="500" w:lineRule="exact"/>
        <w:rPr>
          <w:rFonts w:hint="eastAsia" w:ascii="宋体" w:hAnsi="宋体" w:cs="宋体"/>
          <w:sz w:val="32"/>
          <w:szCs w:val="32"/>
          <w:highlight w:val="none"/>
        </w:rPr>
      </w:pPr>
    </w:p>
    <w:p w14:paraId="25FFB121">
      <w:pPr>
        <w:spacing w:line="500" w:lineRule="exact"/>
        <w:rPr>
          <w:rFonts w:hint="eastAsia" w:ascii="宋体" w:hAnsi="宋体" w:cs="宋体"/>
          <w:b/>
          <w:sz w:val="32"/>
          <w:szCs w:val="32"/>
          <w:highlight w:val="none"/>
        </w:rPr>
      </w:pPr>
      <w:r>
        <w:rPr>
          <w:rFonts w:hint="eastAsia" w:ascii="宋体" w:hAnsi="宋体" w:cs="宋体"/>
          <w:sz w:val="32"/>
          <w:szCs w:val="32"/>
          <w:highlight w:val="none"/>
        </w:rPr>
        <w:t xml:space="preserve">       </w:t>
      </w:r>
      <w:r>
        <w:rPr>
          <w:rFonts w:hint="eastAsia" w:ascii="宋体" w:hAnsi="宋体" w:cs="宋体"/>
          <w:b/>
          <w:sz w:val="32"/>
          <w:szCs w:val="32"/>
          <w:highlight w:val="none"/>
        </w:rPr>
        <w:t xml:space="preserve">  </w:t>
      </w:r>
    </w:p>
    <w:p w14:paraId="29548C24">
      <w:pPr>
        <w:spacing w:line="500" w:lineRule="exact"/>
        <w:rPr>
          <w:rFonts w:hint="eastAsia" w:ascii="宋体" w:hAnsi="宋体" w:cs="宋体"/>
          <w:b/>
          <w:sz w:val="32"/>
          <w:szCs w:val="32"/>
          <w:highlight w:val="none"/>
        </w:rPr>
      </w:pPr>
    </w:p>
    <w:p w14:paraId="11C19152">
      <w:pPr>
        <w:spacing w:line="500" w:lineRule="exact"/>
        <w:rPr>
          <w:rFonts w:hint="eastAsia" w:ascii="宋体" w:hAnsi="宋体" w:cs="宋体"/>
          <w:b/>
          <w:sz w:val="32"/>
          <w:szCs w:val="32"/>
          <w:highlight w:val="none"/>
        </w:rPr>
      </w:pPr>
    </w:p>
    <w:p w14:paraId="318B26AD">
      <w:pPr>
        <w:spacing w:line="500" w:lineRule="exact"/>
        <w:jc w:val="center"/>
        <w:rPr>
          <w:rFonts w:hint="eastAsia" w:ascii="宋体" w:hAnsi="宋体" w:cs="宋体"/>
          <w:b/>
          <w:sz w:val="36"/>
          <w:szCs w:val="36"/>
          <w:highlight w:val="none"/>
        </w:rPr>
      </w:pPr>
      <w:r>
        <w:rPr>
          <w:rFonts w:hint="eastAsia" w:ascii="宋体" w:hAnsi="宋体" w:cs="宋体"/>
          <w:b/>
          <w:sz w:val="36"/>
          <w:szCs w:val="36"/>
          <w:highlight w:val="none"/>
        </w:rPr>
        <w:t>比选申请文件</w:t>
      </w:r>
    </w:p>
    <w:p w14:paraId="35E1469B">
      <w:pPr>
        <w:spacing w:line="500" w:lineRule="exact"/>
        <w:rPr>
          <w:rFonts w:hint="eastAsia" w:ascii="宋体" w:hAnsi="宋体" w:cs="宋体"/>
          <w:b/>
          <w:sz w:val="32"/>
          <w:szCs w:val="32"/>
          <w:highlight w:val="none"/>
        </w:rPr>
      </w:pPr>
    </w:p>
    <w:p w14:paraId="4DEDC271">
      <w:pPr>
        <w:spacing w:line="360" w:lineRule="auto"/>
        <w:ind w:firstLine="883" w:firstLineChars="200"/>
        <w:jc w:val="center"/>
        <w:outlineLvl w:val="0"/>
        <w:rPr>
          <w:rFonts w:hint="eastAsia"/>
          <w:b/>
          <w:bCs/>
          <w:sz w:val="44"/>
          <w:szCs w:val="44"/>
          <w:highlight w:val="none"/>
        </w:rPr>
      </w:pPr>
    </w:p>
    <w:p w14:paraId="6F1429CE">
      <w:pPr>
        <w:spacing w:after="156" w:afterLines="50" w:line="420" w:lineRule="exact"/>
        <w:rPr>
          <w:rFonts w:hint="eastAsia"/>
          <w:sz w:val="24"/>
          <w:highlight w:val="none"/>
        </w:rPr>
      </w:pPr>
    </w:p>
    <w:p w14:paraId="284B78CC">
      <w:pPr>
        <w:spacing w:line="500" w:lineRule="exact"/>
        <w:ind w:firstLine="321" w:firstLineChars="100"/>
        <w:rPr>
          <w:rFonts w:hint="eastAsia" w:ascii="宋体" w:hAnsi="宋体" w:cs="宋体"/>
          <w:b/>
          <w:sz w:val="32"/>
          <w:szCs w:val="32"/>
          <w:highlight w:val="none"/>
        </w:rPr>
      </w:pPr>
      <w:bookmarkStart w:id="39" w:name="_Toc6080"/>
      <w:bookmarkStart w:id="40" w:name="_Toc4078"/>
      <w:bookmarkStart w:id="41" w:name="_Toc6635"/>
      <w:bookmarkStart w:id="42" w:name="_Toc27412"/>
      <w:bookmarkStart w:id="43" w:name="_Toc3134"/>
    </w:p>
    <w:p w14:paraId="2F31B13D">
      <w:pPr>
        <w:spacing w:line="500" w:lineRule="exact"/>
        <w:ind w:firstLine="321" w:firstLineChars="100"/>
        <w:rPr>
          <w:rFonts w:hint="eastAsia" w:ascii="宋体" w:hAnsi="宋体" w:cs="宋体"/>
          <w:b/>
          <w:sz w:val="32"/>
          <w:szCs w:val="32"/>
          <w:highlight w:val="none"/>
        </w:rPr>
      </w:pPr>
    </w:p>
    <w:p w14:paraId="486012C5">
      <w:pPr>
        <w:spacing w:line="500" w:lineRule="exact"/>
        <w:ind w:firstLine="321" w:firstLineChars="100"/>
        <w:rPr>
          <w:rFonts w:hint="eastAsia" w:ascii="宋体" w:hAnsi="宋体" w:cs="宋体"/>
          <w:b/>
          <w:sz w:val="32"/>
          <w:szCs w:val="32"/>
          <w:highlight w:val="none"/>
        </w:rPr>
      </w:pPr>
    </w:p>
    <w:p w14:paraId="5DDF8406">
      <w:pPr>
        <w:spacing w:line="500" w:lineRule="exact"/>
        <w:ind w:firstLine="321" w:firstLineChars="100"/>
        <w:rPr>
          <w:rFonts w:hint="eastAsia" w:ascii="宋体" w:hAnsi="宋体" w:cs="宋体"/>
          <w:b/>
          <w:sz w:val="32"/>
          <w:szCs w:val="32"/>
          <w:highlight w:val="none"/>
        </w:rPr>
      </w:pPr>
    </w:p>
    <w:p w14:paraId="1C836B0B">
      <w:pPr>
        <w:spacing w:line="500" w:lineRule="exact"/>
        <w:ind w:firstLine="321" w:firstLineChars="100"/>
        <w:rPr>
          <w:rFonts w:hint="eastAsia" w:ascii="宋体" w:hAnsi="宋体" w:cs="宋体"/>
          <w:b/>
          <w:sz w:val="32"/>
          <w:szCs w:val="32"/>
          <w:highlight w:val="none"/>
        </w:rPr>
      </w:pPr>
      <w:r>
        <w:rPr>
          <w:rFonts w:hint="eastAsia" w:ascii="宋体" w:hAnsi="宋体" w:cs="宋体"/>
          <w:b/>
          <w:sz w:val="32"/>
          <w:szCs w:val="32"/>
          <w:highlight w:val="none"/>
        </w:rPr>
        <w:t>比选申请人：</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（盖单位章）</w:t>
      </w:r>
    </w:p>
    <w:p w14:paraId="345349E7">
      <w:pPr>
        <w:spacing w:line="500" w:lineRule="exact"/>
        <w:ind w:firstLine="321" w:firstLineChars="100"/>
        <w:rPr>
          <w:rFonts w:hint="eastAsia" w:ascii="宋体" w:hAnsi="宋体" w:cs="宋体"/>
          <w:b/>
          <w:sz w:val="32"/>
          <w:szCs w:val="32"/>
          <w:highlight w:val="none"/>
        </w:rPr>
      </w:pPr>
      <w:r>
        <w:rPr>
          <w:rFonts w:hint="eastAsia" w:ascii="宋体" w:hAnsi="宋体" w:cs="宋体"/>
          <w:b/>
          <w:sz w:val="32"/>
          <w:szCs w:val="32"/>
          <w:highlight w:val="none"/>
        </w:rPr>
        <w:t>法定代表人或授权代表：</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（签字）</w:t>
      </w:r>
    </w:p>
    <w:p w14:paraId="0AD07374">
      <w:pPr>
        <w:spacing w:line="500" w:lineRule="exact"/>
        <w:ind w:firstLine="321" w:firstLineChars="100"/>
        <w:rPr>
          <w:rFonts w:hint="eastAsia" w:ascii="宋体" w:hAnsi="宋体" w:cs="宋体"/>
          <w:b/>
          <w:sz w:val="32"/>
          <w:szCs w:val="32"/>
          <w:highlight w:val="none"/>
        </w:rPr>
      </w:pPr>
      <w:r>
        <w:rPr>
          <w:rFonts w:hint="eastAsia" w:ascii="宋体" w:hAnsi="宋体" w:cs="宋体"/>
          <w:b/>
          <w:sz w:val="32"/>
          <w:szCs w:val="32"/>
          <w:highlight w:val="none"/>
        </w:rPr>
        <w:t>日期：</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年</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月</w:t>
      </w:r>
      <w:r>
        <w:rPr>
          <w:rFonts w:hint="eastAsia" w:ascii="宋体" w:hAnsi="宋体" w:cs="宋体"/>
          <w:b/>
          <w:sz w:val="32"/>
          <w:szCs w:val="32"/>
          <w:highlight w:val="none"/>
          <w:u w:val="single"/>
        </w:rPr>
        <w:t xml:space="preserve">        </w:t>
      </w:r>
      <w:r>
        <w:rPr>
          <w:rFonts w:hint="eastAsia" w:ascii="宋体" w:hAnsi="宋体" w:cs="宋体"/>
          <w:b/>
          <w:sz w:val="32"/>
          <w:szCs w:val="32"/>
          <w:highlight w:val="none"/>
        </w:rPr>
        <w:t>日</w:t>
      </w:r>
    </w:p>
    <w:p w14:paraId="0B36C136">
      <w:pPr>
        <w:pStyle w:val="3"/>
        <w:spacing w:line="400" w:lineRule="exact"/>
        <w:jc w:val="center"/>
        <w:rPr>
          <w:rFonts w:hint="eastAsia" w:ascii="宋体" w:hAnsi="宋体" w:eastAsia="宋体" w:cs="宋体"/>
          <w:szCs w:val="28"/>
          <w:highlight w:val="none"/>
        </w:rPr>
      </w:pPr>
      <w:r>
        <w:rPr>
          <w:rStyle w:val="18"/>
          <w:rFonts w:hint="eastAsia" w:ascii="宋体" w:hAnsi="宋体" w:eastAsia="宋体" w:cs="宋体"/>
          <w:b/>
          <w:kern w:val="2"/>
          <w:sz w:val="44"/>
          <w:szCs w:val="44"/>
          <w:highlight w:val="none"/>
          <w:lang w:val="en-US" w:eastAsia="zh-CN"/>
        </w:rPr>
        <w:br w:type="page"/>
      </w:r>
      <w:bookmarkEnd w:id="39"/>
      <w:bookmarkEnd w:id="40"/>
      <w:bookmarkEnd w:id="41"/>
      <w:bookmarkEnd w:id="42"/>
      <w:bookmarkEnd w:id="43"/>
      <w:bookmarkStart w:id="44" w:name="_Toc9372"/>
      <w:bookmarkStart w:id="45" w:name="_Toc27124"/>
      <w:bookmarkStart w:id="46" w:name="_Toc217446082"/>
      <w:bookmarkStart w:id="47" w:name="_Toc10119"/>
      <w:r>
        <w:rPr>
          <w:rFonts w:hint="eastAsia" w:ascii="宋体" w:hAnsi="宋体" w:eastAsia="宋体" w:cs="宋体"/>
          <w:szCs w:val="28"/>
          <w:highlight w:val="none"/>
        </w:rPr>
        <w:t>一、比 选 函</w:t>
      </w:r>
    </w:p>
    <w:p w14:paraId="09B91D53">
      <w:pPr>
        <w:pStyle w:val="9"/>
        <w:spacing w:line="360" w:lineRule="auto"/>
        <w:ind w:left="258" w:leftChars="123"/>
        <w:rPr>
          <w:rFonts w:hint="eastAsia" w:ascii="宋体" w:hAnsi="宋体" w:cs="宋体"/>
          <w:bCs/>
          <w:sz w:val="24"/>
          <w:highlight w:val="none"/>
        </w:rPr>
      </w:pPr>
      <w:r>
        <w:rPr>
          <w:rFonts w:hint="eastAsia" w:ascii="宋体" w:hAnsi="宋体" w:cs="宋体"/>
          <w:bCs/>
          <w:sz w:val="24"/>
          <w:highlight w:val="none"/>
        </w:rPr>
        <w:t xml:space="preserve">致：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76FFFD0F">
      <w:pPr>
        <w:pStyle w:val="9"/>
        <w:spacing w:line="360" w:lineRule="auto"/>
        <w:ind w:left="567" w:leftChars="270"/>
        <w:rPr>
          <w:rFonts w:hint="eastAsia" w:ascii="宋体" w:hAnsi="宋体" w:cs="宋体"/>
          <w:bCs/>
          <w:sz w:val="24"/>
          <w:highlight w:val="none"/>
        </w:rPr>
      </w:pPr>
      <w:r>
        <w:rPr>
          <w:rFonts w:hint="eastAsia" w:ascii="宋体" w:hAnsi="宋体" w:cs="宋体"/>
          <w:bCs/>
          <w:sz w:val="24"/>
          <w:highlight w:val="none"/>
          <w:u w:val="single"/>
        </w:rPr>
        <w:t>（比选</w:t>
      </w:r>
      <w:r>
        <w:rPr>
          <w:rFonts w:hint="eastAsia" w:ascii="宋体" w:hAnsi="宋体" w:cs="宋体"/>
          <w:bCs/>
          <w:sz w:val="24"/>
          <w:highlight w:val="none"/>
          <w:u w:val="single"/>
          <w:lang w:val="en-US" w:eastAsia="zh-CN"/>
        </w:rPr>
        <w:t>申请</w:t>
      </w:r>
      <w:r>
        <w:rPr>
          <w:rFonts w:hint="eastAsia" w:ascii="宋体" w:hAnsi="宋体" w:cs="宋体"/>
          <w:bCs/>
          <w:sz w:val="24"/>
          <w:highlight w:val="none"/>
          <w:u w:val="single"/>
        </w:rPr>
        <w:t>人名称）</w:t>
      </w:r>
      <w:r>
        <w:rPr>
          <w:rFonts w:hint="eastAsia" w:ascii="宋体" w:hAnsi="宋体" w:cs="宋体"/>
          <w:bCs/>
          <w:sz w:val="24"/>
          <w:highlight w:val="none"/>
        </w:rPr>
        <w:t>系中华人民共和国合法单位。我方就参加本次比选有关事项郑重声明如下：</w:t>
      </w:r>
    </w:p>
    <w:p w14:paraId="645FBC7B">
      <w:pPr>
        <w:spacing w:line="360" w:lineRule="auto"/>
        <w:ind w:left="719" w:leftChars="228" w:hanging="240" w:hangingChars="100"/>
        <w:rPr>
          <w:rFonts w:hint="eastAsia" w:ascii="宋体" w:hAnsi="宋体" w:cs="宋体"/>
          <w:bCs/>
          <w:sz w:val="24"/>
          <w:highlight w:val="none"/>
        </w:rPr>
      </w:pPr>
      <w:r>
        <w:rPr>
          <w:rFonts w:hint="eastAsia" w:ascii="宋体" w:hAnsi="宋体"/>
          <w:sz w:val="24"/>
          <w:highlight w:val="none"/>
        </w:rPr>
        <w:t>一、我方自愿按照比选文件规定的各项要求，完成本项目的所有采购需求。</w:t>
      </w:r>
      <w:r>
        <w:rPr>
          <w:rFonts w:hint="eastAsia" w:ascii="宋体" w:hAnsi="宋体" w:cs="宋体"/>
          <w:bCs/>
          <w:sz w:val="24"/>
          <w:highlight w:val="none"/>
        </w:rPr>
        <w:t xml:space="preserve"> </w:t>
      </w:r>
    </w:p>
    <w:p w14:paraId="540E2697">
      <w:pPr>
        <w:pStyle w:val="9"/>
        <w:spacing w:line="360" w:lineRule="auto"/>
        <w:ind w:left="567" w:leftChars="270"/>
        <w:rPr>
          <w:rFonts w:hint="eastAsia" w:ascii="宋体" w:hAnsi="宋体" w:cs="宋体"/>
          <w:bCs/>
          <w:sz w:val="24"/>
          <w:highlight w:val="none"/>
        </w:rPr>
      </w:pPr>
      <w:r>
        <w:rPr>
          <w:rFonts w:hint="eastAsia" w:ascii="宋体" w:hAnsi="宋体" w:cs="宋体"/>
          <w:bCs/>
          <w:sz w:val="24"/>
          <w:highlight w:val="none"/>
        </w:rPr>
        <w:t>二、我方完全理解并接受该项目</w:t>
      </w:r>
      <w:r>
        <w:rPr>
          <w:rFonts w:hint="eastAsia" w:ascii="宋体" w:hAnsi="宋体" w:cs="宋体"/>
          <w:bCs/>
          <w:sz w:val="24"/>
          <w:highlight w:val="none"/>
          <w:lang w:eastAsia="zh-CN"/>
        </w:rPr>
        <w:t>比选</w:t>
      </w:r>
      <w:r>
        <w:rPr>
          <w:rFonts w:hint="eastAsia" w:ascii="宋体" w:hAnsi="宋体" w:cs="宋体"/>
          <w:bCs/>
          <w:sz w:val="24"/>
          <w:highlight w:val="none"/>
        </w:rPr>
        <w:t>文件所有要求。</w:t>
      </w:r>
    </w:p>
    <w:p w14:paraId="431A8E7E">
      <w:pPr>
        <w:pStyle w:val="9"/>
        <w:spacing w:line="360" w:lineRule="auto"/>
        <w:ind w:left="567" w:leftChars="270"/>
        <w:rPr>
          <w:rFonts w:hint="eastAsia" w:ascii="宋体" w:hAnsi="宋体" w:cs="宋体"/>
          <w:bCs/>
          <w:sz w:val="24"/>
          <w:highlight w:val="none"/>
        </w:rPr>
      </w:pPr>
      <w:r>
        <w:rPr>
          <w:rFonts w:hint="eastAsia" w:ascii="宋体" w:hAnsi="宋体" w:cs="宋体"/>
          <w:bCs/>
          <w:sz w:val="24"/>
          <w:highlight w:val="none"/>
        </w:rPr>
        <w:t>三、我方提交的所有比选文件、资料都是准确和真实的，如有虚假或隐瞒，我方愿意承担一切法律责任。</w:t>
      </w:r>
    </w:p>
    <w:p w14:paraId="05B3CF4C">
      <w:pPr>
        <w:pStyle w:val="9"/>
        <w:spacing w:line="360" w:lineRule="auto"/>
        <w:ind w:left="567" w:leftChars="270"/>
        <w:rPr>
          <w:rFonts w:hint="eastAsia" w:ascii="宋体" w:hAnsi="宋体" w:cs="宋体"/>
          <w:bCs/>
          <w:sz w:val="24"/>
          <w:highlight w:val="none"/>
        </w:rPr>
      </w:pPr>
      <w:r>
        <w:rPr>
          <w:rFonts w:hint="eastAsia" w:ascii="宋体" w:hAnsi="宋体" w:cs="宋体"/>
          <w:bCs/>
          <w:sz w:val="24"/>
          <w:highlight w:val="none"/>
        </w:rPr>
        <w:t>四、我方承诺按照</w:t>
      </w:r>
      <w:r>
        <w:rPr>
          <w:rFonts w:hint="eastAsia" w:ascii="宋体" w:hAnsi="宋体" w:cs="宋体"/>
          <w:bCs/>
          <w:sz w:val="24"/>
          <w:highlight w:val="none"/>
          <w:lang w:val="en-US" w:eastAsia="zh-CN"/>
        </w:rPr>
        <w:t>比选</w:t>
      </w:r>
      <w:r>
        <w:rPr>
          <w:rFonts w:hint="eastAsia" w:ascii="宋体" w:hAnsi="宋体" w:cs="宋体"/>
          <w:bCs/>
          <w:sz w:val="24"/>
          <w:highlight w:val="none"/>
        </w:rPr>
        <w:t>文件要求，提供技术及服务。</w:t>
      </w:r>
    </w:p>
    <w:p w14:paraId="41D887D4">
      <w:pPr>
        <w:pStyle w:val="9"/>
        <w:spacing w:line="360" w:lineRule="auto"/>
        <w:ind w:left="567" w:leftChars="270"/>
        <w:rPr>
          <w:rFonts w:hint="eastAsia" w:ascii="宋体" w:hAnsi="宋体" w:cs="宋体"/>
          <w:bCs/>
          <w:sz w:val="24"/>
          <w:highlight w:val="none"/>
        </w:rPr>
      </w:pPr>
      <w:r>
        <w:rPr>
          <w:rFonts w:hint="eastAsia" w:ascii="宋体" w:hAnsi="宋体" w:cs="宋体"/>
          <w:bCs/>
          <w:sz w:val="24"/>
          <w:highlight w:val="none"/>
        </w:rPr>
        <w:t>五、如果我方中选，我方将履行</w:t>
      </w:r>
      <w:r>
        <w:rPr>
          <w:rFonts w:hint="eastAsia" w:ascii="宋体" w:hAnsi="宋体" w:cs="宋体"/>
          <w:bCs/>
          <w:sz w:val="24"/>
          <w:highlight w:val="none"/>
          <w:lang w:eastAsia="zh-CN"/>
        </w:rPr>
        <w:t>比选</w:t>
      </w:r>
      <w:r>
        <w:rPr>
          <w:rFonts w:hint="eastAsia" w:ascii="宋体" w:hAnsi="宋体" w:cs="宋体"/>
          <w:bCs/>
          <w:sz w:val="24"/>
          <w:highlight w:val="none"/>
        </w:rPr>
        <w:t>文件中规定的各项要求以及我方比选文件的各项承诺，按合同约定条款承担我方责任。</w:t>
      </w:r>
    </w:p>
    <w:p w14:paraId="717914C3">
      <w:pPr>
        <w:pStyle w:val="9"/>
        <w:spacing w:line="360" w:lineRule="auto"/>
        <w:ind w:left="567" w:leftChars="270"/>
        <w:rPr>
          <w:rFonts w:hint="eastAsia" w:ascii="宋体" w:hAnsi="宋体" w:cs="宋体"/>
          <w:bCs/>
          <w:sz w:val="24"/>
          <w:highlight w:val="none"/>
        </w:rPr>
      </w:pPr>
      <w:r>
        <w:rPr>
          <w:rFonts w:hint="eastAsia" w:ascii="宋体" w:hAnsi="宋体" w:cs="宋体"/>
          <w:bCs/>
          <w:sz w:val="24"/>
          <w:highlight w:val="none"/>
        </w:rPr>
        <w:t>六、我方理解，最低报价不是中选的唯一条件。</w:t>
      </w:r>
    </w:p>
    <w:p w14:paraId="600CD8FC">
      <w:pPr>
        <w:pStyle w:val="9"/>
        <w:spacing w:line="360" w:lineRule="auto"/>
        <w:ind w:left="567" w:leftChars="270"/>
        <w:rPr>
          <w:rFonts w:hint="eastAsia" w:ascii="宋体" w:hAnsi="宋体" w:cs="宋体"/>
          <w:bCs/>
          <w:sz w:val="24"/>
          <w:highlight w:val="none"/>
        </w:rPr>
      </w:pPr>
    </w:p>
    <w:p w14:paraId="46EF5864">
      <w:pPr>
        <w:pStyle w:val="9"/>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比选</w:t>
      </w:r>
      <w:r>
        <w:rPr>
          <w:rFonts w:hint="eastAsia" w:ascii="宋体" w:hAnsi="宋体" w:cs="宋体"/>
          <w:sz w:val="24"/>
          <w:highlight w:val="none"/>
        </w:rPr>
        <w:t>申请人</w:t>
      </w:r>
      <w:r>
        <w:rPr>
          <w:rFonts w:hint="eastAsia" w:ascii="宋体" w:hAnsi="宋体" w:cs="宋体"/>
          <w:bCs/>
          <w:sz w:val="24"/>
          <w:highlight w:val="none"/>
        </w:rPr>
        <w:t>名称：        （盖章）</w:t>
      </w:r>
    </w:p>
    <w:p w14:paraId="091D8AC5">
      <w:pPr>
        <w:pStyle w:val="9"/>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法定代表人或授权代表（签字）：</w:t>
      </w:r>
    </w:p>
    <w:p w14:paraId="1A66BCBA">
      <w:pPr>
        <w:pStyle w:val="9"/>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p>
    <w:p w14:paraId="6F960AA9">
      <w:pPr>
        <w:pStyle w:val="9"/>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日    期：</w:t>
      </w:r>
    </w:p>
    <w:p w14:paraId="46867F12">
      <w:pPr>
        <w:spacing w:line="500" w:lineRule="exact"/>
        <w:ind w:firstLine="321" w:firstLineChars="100"/>
        <w:rPr>
          <w:rFonts w:hint="eastAsia" w:ascii="宋体" w:hAnsi="宋体" w:cs="宋体"/>
          <w:b/>
          <w:sz w:val="32"/>
          <w:szCs w:val="32"/>
          <w:highlight w:val="none"/>
        </w:rPr>
      </w:pPr>
    </w:p>
    <w:p w14:paraId="190B1C5A">
      <w:pPr>
        <w:pStyle w:val="6"/>
        <w:rPr>
          <w:rFonts w:hint="eastAsia" w:ascii="宋体" w:hAnsi="宋体" w:cs="宋体"/>
          <w:sz w:val="32"/>
          <w:szCs w:val="32"/>
          <w:highlight w:val="none"/>
        </w:rPr>
      </w:pPr>
    </w:p>
    <w:p w14:paraId="5E9AD992">
      <w:pPr>
        <w:pStyle w:val="3"/>
        <w:spacing w:line="400" w:lineRule="exact"/>
        <w:jc w:val="center"/>
        <w:rPr>
          <w:rFonts w:hint="eastAsia" w:ascii="宋体" w:hAnsi="宋体" w:eastAsia="宋体" w:cs="宋体"/>
          <w:szCs w:val="28"/>
          <w:highlight w:val="none"/>
        </w:rPr>
      </w:pPr>
      <w:r>
        <w:rPr>
          <w:rFonts w:hint="eastAsia" w:ascii="宋体" w:hAnsi="宋体" w:eastAsia="宋体" w:cs="宋体"/>
          <w:szCs w:val="28"/>
          <w:highlight w:val="none"/>
        </w:rPr>
        <w:br w:type="page"/>
      </w:r>
      <w:bookmarkEnd w:id="44"/>
      <w:bookmarkEnd w:id="45"/>
      <w:bookmarkEnd w:id="46"/>
      <w:bookmarkEnd w:id="47"/>
      <w:r>
        <w:rPr>
          <w:rFonts w:hint="eastAsia" w:ascii="宋体" w:hAnsi="宋体" w:eastAsia="宋体" w:cs="宋体"/>
          <w:szCs w:val="28"/>
          <w:highlight w:val="none"/>
          <w:lang w:eastAsia="zh-CN"/>
        </w:rPr>
        <w:t>二</w:t>
      </w:r>
      <w:r>
        <w:rPr>
          <w:rFonts w:hint="eastAsia" w:ascii="宋体" w:hAnsi="宋体" w:eastAsia="宋体" w:cs="宋体"/>
          <w:szCs w:val="28"/>
          <w:highlight w:val="none"/>
        </w:rPr>
        <w:t>、法定代表人授权书</w:t>
      </w:r>
    </w:p>
    <w:p w14:paraId="726ED9C5">
      <w:pPr>
        <w:spacing w:line="360" w:lineRule="auto"/>
        <w:rPr>
          <w:rFonts w:hint="eastAsia" w:ascii="宋体" w:hAnsi="宋体" w:cs="宋体"/>
          <w:sz w:val="24"/>
          <w:highlight w:val="none"/>
        </w:rPr>
      </w:pPr>
      <w:r>
        <w:rPr>
          <w:rFonts w:hint="eastAsia" w:ascii="宋体" w:hAnsi="宋体" w:cs="宋体"/>
          <w:sz w:val="24"/>
          <w:highlight w:val="none"/>
        </w:rPr>
        <w:t>__________________（ 比选人）：</w:t>
      </w:r>
    </w:p>
    <w:p w14:paraId="4D83DD1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本授权声明：</w:t>
      </w:r>
      <w:r>
        <w:rPr>
          <w:rFonts w:hint="eastAsia" w:ascii="宋体" w:hAnsi="宋体" w:cs="宋体"/>
          <w:sz w:val="24"/>
          <w:highlight w:val="none"/>
          <w:u w:val="single"/>
        </w:rPr>
        <w:t xml:space="preserve">                     </w:t>
      </w:r>
      <w:r>
        <w:rPr>
          <w:rFonts w:hint="eastAsia" w:ascii="宋体" w:hAnsi="宋体" w:cs="宋体"/>
          <w:sz w:val="24"/>
          <w:highlight w:val="none"/>
        </w:rPr>
        <w:t>（比选申请人名称）</w:t>
      </w:r>
      <w:r>
        <w:rPr>
          <w:rFonts w:hint="eastAsia" w:ascii="宋体" w:hAnsi="宋体" w:cs="宋体"/>
          <w:sz w:val="24"/>
          <w:highlight w:val="none"/>
          <w:u w:val="single"/>
        </w:rPr>
        <w:t xml:space="preserve">          </w:t>
      </w:r>
      <w:r>
        <w:rPr>
          <w:rFonts w:hint="eastAsia" w:ascii="宋体" w:hAnsi="宋体" w:cs="宋体"/>
          <w:sz w:val="24"/>
          <w:highlight w:val="none"/>
        </w:rPr>
        <w:t>（法定代表人姓名、职务）授权</w:t>
      </w:r>
      <w:r>
        <w:rPr>
          <w:rFonts w:hint="eastAsia" w:ascii="宋体" w:hAnsi="宋体" w:cs="宋体"/>
          <w:sz w:val="24"/>
          <w:highlight w:val="none"/>
          <w:u w:val="single"/>
        </w:rPr>
        <w:t xml:space="preserve">                        </w:t>
      </w:r>
      <w:r>
        <w:rPr>
          <w:rFonts w:hint="eastAsia" w:ascii="宋体" w:hAnsi="宋体" w:cs="宋体"/>
          <w:sz w:val="24"/>
          <w:highlight w:val="none"/>
        </w:rPr>
        <w:t xml:space="preserve">（被授权人姓名、职务）为我方 “ </w:t>
      </w:r>
      <w:r>
        <w:rPr>
          <w:rFonts w:hint="eastAsia" w:ascii="宋体" w:hAnsi="宋体" w:cs="宋体"/>
          <w:sz w:val="24"/>
          <w:highlight w:val="none"/>
          <w:u w:val="single"/>
        </w:rPr>
        <w:t xml:space="preserve">             </w:t>
      </w:r>
      <w:r>
        <w:rPr>
          <w:rFonts w:hint="eastAsia" w:ascii="宋体" w:hAnsi="宋体" w:cs="宋体"/>
          <w:sz w:val="24"/>
          <w:highlight w:val="none"/>
        </w:rPr>
        <w:t>” 项目比选活动的合法代表，以我方名义全权处理该项目有关比选、签订合同以及执行合同等一切事宜。</w:t>
      </w:r>
    </w:p>
    <w:p w14:paraId="3AB2BA2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特此声明。</w:t>
      </w:r>
    </w:p>
    <w:p w14:paraId="26724DE2">
      <w:pPr>
        <w:spacing w:line="360" w:lineRule="auto"/>
        <w:ind w:firstLine="480" w:firstLineChars="200"/>
        <w:rPr>
          <w:rFonts w:hint="eastAsia" w:ascii="宋体" w:hAnsi="宋体" w:cs="宋体"/>
          <w:sz w:val="24"/>
          <w:highlight w:val="none"/>
        </w:rPr>
      </w:pPr>
    </w:p>
    <w:p w14:paraId="03F9814C">
      <w:pPr>
        <w:spacing w:line="360" w:lineRule="auto"/>
        <w:ind w:firstLine="480" w:firstLineChars="200"/>
        <w:rPr>
          <w:rFonts w:hint="eastAsia" w:ascii="宋体" w:hAnsi="宋体" w:cs="宋体"/>
          <w:sz w:val="24"/>
          <w:highlight w:val="none"/>
        </w:rPr>
      </w:pPr>
    </w:p>
    <w:p w14:paraId="07671E9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法定代表人签字：</w:t>
      </w:r>
    </w:p>
    <w:p w14:paraId="6AE0A7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授权代表签字：</w:t>
      </w:r>
    </w:p>
    <w:p w14:paraId="14FFFA5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比选申请人名称：         （盖章）</w:t>
      </w:r>
    </w:p>
    <w:p w14:paraId="5CF3BE6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日    期：</w:t>
      </w:r>
    </w:p>
    <w:p w14:paraId="232E55A3">
      <w:pPr>
        <w:spacing w:line="360" w:lineRule="auto"/>
        <w:rPr>
          <w:rFonts w:hint="eastAsia" w:ascii="宋体" w:hAnsi="宋体" w:cs="宋体"/>
          <w:sz w:val="32"/>
          <w:highlight w:val="none"/>
        </w:rPr>
      </w:pPr>
    </w:p>
    <w:p w14:paraId="6DD82E6B">
      <w:pPr>
        <w:spacing w:line="360" w:lineRule="auto"/>
        <w:ind w:left="840" w:hanging="840" w:hangingChars="350"/>
        <w:jc w:val="left"/>
        <w:rPr>
          <w:rFonts w:hint="eastAsia" w:ascii="宋体" w:hAnsi="宋体" w:cs="宋体"/>
          <w:sz w:val="24"/>
          <w:highlight w:val="none"/>
        </w:rPr>
      </w:pPr>
      <w:r>
        <w:rPr>
          <w:rFonts w:hint="eastAsia" w:ascii="宋体" w:hAnsi="宋体" w:cs="宋体"/>
          <w:sz w:val="24"/>
          <w:highlight w:val="none"/>
        </w:rPr>
        <w:t>附：</w:t>
      </w:r>
    </w:p>
    <w:p w14:paraId="6FEC3F6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1、法定代表人身份证复印件加盖公章（身份证应提供正反面）</w:t>
      </w:r>
    </w:p>
    <w:p w14:paraId="3D490907">
      <w:pPr>
        <w:spacing w:line="360" w:lineRule="auto"/>
        <w:ind w:firstLine="456" w:firstLineChars="190"/>
        <w:rPr>
          <w:rFonts w:hint="eastAsia" w:ascii="宋体" w:hAnsi="宋体"/>
          <w:b/>
          <w:sz w:val="28"/>
          <w:highlight w:val="none"/>
        </w:rPr>
      </w:pPr>
      <w:r>
        <w:rPr>
          <w:rFonts w:hint="eastAsia" w:ascii="宋体" w:hAnsi="宋体" w:cs="宋体"/>
          <w:sz w:val="24"/>
          <w:highlight w:val="none"/>
        </w:rPr>
        <w:t>2、授权代表身份证复印件加盖公章（身份证应提供正反面）</w:t>
      </w:r>
    </w:p>
    <w:p w14:paraId="0D13CE7F">
      <w:pPr>
        <w:pStyle w:val="9"/>
        <w:spacing w:line="360" w:lineRule="auto"/>
        <w:ind w:firstLine="480" w:firstLineChars="200"/>
        <w:rPr>
          <w:rFonts w:hint="eastAsia" w:ascii="宋体" w:hAnsi="宋体" w:cs="宋体"/>
          <w:bCs/>
          <w:sz w:val="24"/>
          <w:highlight w:val="none"/>
        </w:rPr>
      </w:pPr>
    </w:p>
    <w:p w14:paraId="7E61D4E1">
      <w:pPr>
        <w:pStyle w:val="12"/>
        <w:numPr>
          <w:ilvl w:val="0"/>
          <w:numId w:val="2"/>
        </w:numPr>
        <w:ind w:left="0" w:leftChars="0" w:firstLine="420" w:firstLineChars="200"/>
        <w:jc w:val="center"/>
        <w:outlineLvl w:val="1"/>
        <w:rPr>
          <w:rFonts w:hint="eastAsia" w:ascii="宋体" w:hAnsi="宋体" w:cs="宋体"/>
          <w:b/>
          <w:sz w:val="32"/>
          <w:szCs w:val="28"/>
          <w:highlight w:val="none"/>
        </w:rPr>
      </w:pPr>
      <w:bookmarkStart w:id="48" w:name="_Toc217446083"/>
      <w:bookmarkStart w:id="49" w:name="_Toc3275"/>
      <w:bookmarkStart w:id="50" w:name="_Toc10009"/>
      <w:bookmarkStart w:id="51" w:name="_Toc27535"/>
      <w:r>
        <w:rPr>
          <w:rFonts w:hint="eastAsia" w:ascii="宋体" w:hAnsi="宋体" w:cs="宋体"/>
          <w:szCs w:val="28"/>
          <w:highlight w:val="none"/>
        </w:rPr>
        <w:br w:type="page"/>
      </w:r>
      <w:bookmarkEnd w:id="48"/>
      <w:bookmarkEnd w:id="49"/>
      <w:bookmarkEnd w:id="50"/>
      <w:bookmarkEnd w:id="51"/>
      <w:bookmarkStart w:id="52" w:name="_Toc217446084"/>
      <w:r>
        <w:rPr>
          <w:rFonts w:hint="eastAsia" w:ascii="宋体" w:hAnsi="宋体" w:eastAsia="宋体" w:cs="宋体"/>
          <w:b/>
          <w:sz w:val="32"/>
          <w:szCs w:val="28"/>
          <w:highlight w:val="none"/>
        </w:rPr>
        <w:t>报价</w:t>
      </w:r>
      <w:r>
        <w:rPr>
          <w:rFonts w:hint="eastAsia" w:ascii="宋体" w:hAnsi="宋体" w:cs="宋体"/>
          <w:b/>
          <w:sz w:val="32"/>
          <w:szCs w:val="28"/>
          <w:highlight w:val="none"/>
        </w:rPr>
        <w:t>表</w:t>
      </w:r>
    </w:p>
    <w:tbl>
      <w:tblPr>
        <w:tblStyle w:val="14"/>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88"/>
        <w:gridCol w:w="3759"/>
        <w:gridCol w:w="3500"/>
        <w:gridCol w:w="1053"/>
      </w:tblGrid>
      <w:tr w14:paraId="7E96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5000" w:type="pct"/>
            <w:gridSpan w:val="5"/>
            <w:vAlign w:val="center"/>
          </w:tcPr>
          <w:p w14:paraId="2ABD1CB7">
            <w:pPr>
              <w:jc w:val="left"/>
              <w:rPr>
                <w:rFonts w:hint="eastAsia" w:ascii="宋体" w:hAnsi="宋体" w:cs="宋体"/>
                <w:sz w:val="24"/>
              </w:rPr>
            </w:pPr>
            <w:r>
              <w:rPr>
                <w:rFonts w:hint="eastAsia" w:ascii="宋体" w:hAnsi="宋体" w:cs="宋体"/>
                <w:sz w:val="24"/>
              </w:rPr>
              <w:t>项目名称：</w:t>
            </w:r>
          </w:p>
          <w:p w14:paraId="34035313">
            <w:pPr>
              <w:jc w:val="left"/>
              <w:rPr>
                <w:rFonts w:hint="eastAsia" w:ascii="宋体" w:hAnsi="宋体" w:cs="宋体"/>
                <w:sz w:val="24"/>
              </w:rPr>
            </w:pPr>
          </w:p>
        </w:tc>
      </w:tr>
      <w:tr w14:paraId="16B1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60" w:type="pct"/>
            <w:vAlign w:val="center"/>
          </w:tcPr>
          <w:p w14:paraId="23ACE6CE">
            <w:pPr>
              <w:jc w:val="center"/>
              <w:rPr>
                <w:rFonts w:hint="eastAsia" w:ascii="宋体" w:hAnsi="宋体" w:cs="宋体"/>
                <w:sz w:val="24"/>
              </w:rPr>
            </w:pPr>
            <w:r>
              <w:rPr>
                <w:rFonts w:hint="eastAsia" w:ascii="宋体" w:hAnsi="宋体" w:cs="宋体"/>
                <w:sz w:val="24"/>
              </w:rPr>
              <w:t>序号</w:t>
            </w:r>
          </w:p>
        </w:tc>
        <w:tc>
          <w:tcPr>
            <w:tcW w:w="2343" w:type="pct"/>
            <w:gridSpan w:val="2"/>
            <w:vAlign w:val="center"/>
          </w:tcPr>
          <w:p w14:paraId="3B1F3BBC">
            <w:pPr>
              <w:jc w:val="center"/>
              <w:rPr>
                <w:rFonts w:hint="eastAsia" w:ascii="宋体" w:hAnsi="宋体" w:cs="宋体"/>
                <w:sz w:val="24"/>
              </w:rPr>
            </w:pPr>
            <w:r>
              <w:rPr>
                <w:rFonts w:hint="eastAsia" w:ascii="宋体" w:hAnsi="宋体" w:cs="宋体"/>
                <w:sz w:val="24"/>
              </w:rPr>
              <w:t>服务内容</w:t>
            </w:r>
          </w:p>
        </w:tc>
        <w:tc>
          <w:tcPr>
            <w:tcW w:w="1765" w:type="pct"/>
            <w:vAlign w:val="center"/>
          </w:tcPr>
          <w:p w14:paraId="38437F67">
            <w:pPr>
              <w:jc w:val="center"/>
              <w:rPr>
                <w:rFonts w:hint="eastAsia" w:ascii="宋体" w:hAnsi="宋体" w:cs="宋体"/>
                <w:sz w:val="24"/>
              </w:rPr>
            </w:pPr>
            <w:r>
              <w:rPr>
                <w:rFonts w:hint="eastAsia" w:ascii="宋体" w:hAnsi="宋体" w:cs="宋体"/>
                <w:sz w:val="24"/>
              </w:rPr>
              <w:t>报价</w:t>
            </w:r>
          </w:p>
          <w:p w14:paraId="107B5FAC">
            <w:pPr>
              <w:jc w:val="center"/>
              <w:rPr>
                <w:rFonts w:hint="eastAsia" w:ascii="宋体" w:hAnsi="宋体" w:cs="宋体"/>
                <w:sz w:val="24"/>
              </w:rPr>
            </w:pPr>
            <w:r>
              <w:rPr>
                <w:rFonts w:hint="eastAsia" w:ascii="宋体" w:hAnsi="宋体" w:cs="宋体"/>
                <w:sz w:val="24"/>
              </w:rPr>
              <w:t>（元）</w:t>
            </w:r>
          </w:p>
        </w:tc>
        <w:tc>
          <w:tcPr>
            <w:tcW w:w="531" w:type="pct"/>
            <w:vAlign w:val="center"/>
          </w:tcPr>
          <w:p w14:paraId="6812075F">
            <w:pPr>
              <w:jc w:val="center"/>
              <w:rPr>
                <w:rFonts w:hint="eastAsia" w:ascii="宋体" w:hAnsi="宋体" w:cs="宋体"/>
                <w:sz w:val="24"/>
              </w:rPr>
            </w:pPr>
            <w:r>
              <w:rPr>
                <w:rFonts w:hint="eastAsia" w:ascii="宋体" w:hAnsi="宋体" w:cs="宋体"/>
                <w:sz w:val="24"/>
              </w:rPr>
              <w:t>备注</w:t>
            </w:r>
          </w:p>
        </w:tc>
      </w:tr>
      <w:tr w14:paraId="3B2E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60" w:type="pct"/>
            <w:vAlign w:val="center"/>
          </w:tcPr>
          <w:p w14:paraId="3D7B46D3">
            <w:pPr>
              <w:jc w:val="center"/>
              <w:rPr>
                <w:rFonts w:hint="eastAsia" w:ascii="宋体" w:hAnsi="宋体" w:cs="宋体"/>
                <w:sz w:val="24"/>
              </w:rPr>
            </w:pPr>
            <w:r>
              <w:rPr>
                <w:rFonts w:hint="eastAsia" w:ascii="宋体" w:hAnsi="宋体" w:cs="宋体"/>
                <w:sz w:val="24"/>
              </w:rPr>
              <w:t>1</w:t>
            </w:r>
          </w:p>
        </w:tc>
        <w:tc>
          <w:tcPr>
            <w:tcW w:w="2343" w:type="pct"/>
            <w:gridSpan w:val="2"/>
          </w:tcPr>
          <w:p w14:paraId="3D58E897">
            <w:pPr>
              <w:jc w:val="center"/>
              <w:rPr>
                <w:rFonts w:hint="eastAsia" w:ascii="宋体" w:hAnsi="宋体" w:cs="宋体"/>
                <w:sz w:val="24"/>
              </w:rPr>
            </w:pPr>
          </w:p>
        </w:tc>
        <w:tc>
          <w:tcPr>
            <w:tcW w:w="1765" w:type="pct"/>
            <w:vAlign w:val="center"/>
          </w:tcPr>
          <w:p w14:paraId="16DFBDD4">
            <w:pPr>
              <w:jc w:val="center"/>
              <w:rPr>
                <w:rFonts w:hint="eastAsia" w:ascii="宋体" w:hAnsi="宋体" w:cs="宋体"/>
                <w:sz w:val="24"/>
              </w:rPr>
            </w:pPr>
          </w:p>
        </w:tc>
        <w:tc>
          <w:tcPr>
            <w:tcW w:w="531" w:type="pct"/>
            <w:vAlign w:val="center"/>
          </w:tcPr>
          <w:p w14:paraId="208220BF">
            <w:pPr>
              <w:jc w:val="center"/>
              <w:rPr>
                <w:rFonts w:hint="eastAsia" w:ascii="宋体" w:hAnsi="宋体" w:cs="宋体"/>
                <w:sz w:val="24"/>
              </w:rPr>
            </w:pPr>
          </w:p>
        </w:tc>
      </w:tr>
      <w:tr w14:paraId="0282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8" w:type="pct"/>
            <w:gridSpan w:val="2"/>
            <w:vMerge w:val="restart"/>
            <w:vAlign w:val="center"/>
          </w:tcPr>
          <w:p w14:paraId="12FCBBE6">
            <w:pPr>
              <w:jc w:val="center"/>
              <w:rPr>
                <w:rFonts w:hint="eastAsia" w:ascii="宋体" w:hAnsi="宋体" w:cs="宋体"/>
                <w:sz w:val="24"/>
              </w:rPr>
            </w:pPr>
            <w:r>
              <w:rPr>
                <w:rFonts w:hint="eastAsia" w:ascii="宋体" w:hAnsi="宋体" w:cs="宋体"/>
                <w:sz w:val="24"/>
              </w:rPr>
              <w:t>总计</w:t>
            </w:r>
          </w:p>
        </w:tc>
        <w:tc>
          <w:tcPr>
            <w:tcW w:w="4191" w:type="pct"/>
            <w:gridSpan w:val="3"/>
            <w:vAlign w:val="center"/>
          </w:tcPr>
          <w:p w14:paraId="04C1310A">
            <w:pPr>
              <w:jc w:val="left"/>
              <w:rPr>
                <w:rFonts w:hint="eastAsia" w:ascii="宋体" w:hAnsi="宋体" w:cs="宋体"/>
                <w:sz w:val="24"/>
              </w:rPr>
            </w:pPr>
            <w:r>
              <w:rPr>
                <w:rFonts w:hint="eastAsia" w:ascii="宋体" w:hAnsi="宋体" w:cs="宋体"/>
                <w:sz w:val="24"/>
              </w:rPr>
              <w:t>人民币小写：</w:t>
            </w:r>
          </w:p>
        </w:tc>
      </w:tr>
      <w:tr w14:paraId="2B56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8" w:type="pct"/>
            <w:gridSpan w:val="2"/>
            <w:vMerge w:val="continue"/>
            <w:vAlign w:val="center"/>
          </w:tcPr>
          <w:p w14:paraId="7412E196">
            <w:pPr>
              <w:jc w:val="center"/>
              <w:rPr>
                <w:rFonts w:hint="eastAsia" w:ascii="宋体" w:hAnsi="宋体" w:cs="宋体"/>
                <w:sz w:val="24"/>
              </w:rPr>
            </w:pPr>
          </w:p>
        </w:tc>
        <w:tc>
          <w:tcPr>
            <w:tcW w:w="4191" w:type="pct"/>
            <w:gridSpan w:val="3"/>
            <w:vAlign w:val="center"/>
          </w:tcPr>
          <w:p w14:paraId="13652C03">
            <w:pPr>
              <w:jc w:val="left"/>
              <w:rPr>
                <w:rFonts w:hint="eastAsia" w:ascii="宋体" w:hAnsi="宋体" w:cs="宋体"/>
                <w:sz w:val="24"/>
              </w:rPr>
            </w:pPr>
            <w:r>
              <w:rPr>
                <w:rFonts w:hint="eastAsia" w:ascii="宋体" w:hAnsi="宋体" w:cs="宋体"/>
                <w:sz w:val="24"/>
              </w:rPr>
              <w:t>人民币大写：</w:t>
            </w:r>
          </w:p>
        </w:tc>
      </w:tr>
    </w:tbl>
    <w:p w14:paraId="22C3A2FD">
      <w:pPr>
        <w:spacing w:line="360" w:lineRule="auto"/>
        <w:ind w:firstLine="480" w:firstLineChars="200"/>
        <w:rPr>
          <w:rFonts w:hint="eastAsia" w:ascii="宋体" w:hAnsi="宋体" w:cs="宋体"/>
          <w:sz w:val="24"/>
        </w:rPr>
      </w:pPr>
      <w:r>
        <w:rPr>
          <w:rFonts w:hint="eastAsia" w:ascii="宋体" w:hAnsi="宋体" w:cs="宋体"/>
          <w:sz w:val="24"/>
        </w:rPr>
        <w:t>注:1、报价应是最终用户验收合格后的总价，包括所需管理、税费等费用以及</w:t>
      </w:r>
      <w:r>
        <w:rPr>
          <w:rFonts w:hint="eastAsia" w:ascii="宋体" w:hAnsi="宋体" w:cs="宋体"/>
          <w:sz w:val="24"/>
          <w:lang w:val="en-US" w:eastAsia="zh-CN"/>
        </w:rPr>
        <w:t>完成本项目所有服务的</w:t>
      </w:r>
      <w:r>
        <w:rPr>
          <w:rFonts w:hint="eastAsia" w:ascii="宋体" w:hAnsi="宋体" w:cs="宋体"/>
          <w:sz w:val="24"/>
        </w:rPr>
        <w:t>其他费用均应包含在报价中。</w:t>
      </w:r>
    </w:p>
    <w:p w14:paraId="429A913A">
      <w:pPr>
        <w:pStyle w:val="12"/>
        <w:ind w:firstLine="0" w:firstLineChars="0"/>
        <w:jc w:val="both"/>
        <w:outlineLvl w:val="1"/>
        <w:rPr>
          <w:rFonts w:hint="eastAsia" w:ascii="宋体" w:hAnsi="宋体" w:cs="宋体"/>
          <w:szCs w:val="28"/>
          <w:highlight w:val="none"/>
        </w:rPr>
      </w:pPr>
    </w:p>
    <w:p w14:paraId="090EA221">
      <w:pPr>
        <w:pStyle w:val="12"/>
        <w:ind w:firstLine="4440" w:firstLineChars="1850"/>
        <w:outlineLvl w:val="1"/>
        <w:rPr>
          <w:rFonts w:hint="eastAsia" w:ascii="宋体" w:hAnsi="宋体" w:cs="宋体"/>
          <w:bCs/>
          <w:sz w:val="24"/>
          <w:highlight w:val="none"/>
        </w:rPr>
      </w:pPr>
      <w:r>
        <w:rPr>
          <w:rFonts w:hint="eastAsia" w:ascii="宋体" w:hAnsi="宋体" w:cs="宋体"/>
          <w:bCs/>
          <w:sz w:val="24"/>
          <w:highlight w:val="none"/>
        </w:rPr>
        <w:t>比选申请人名称：       （盖章）</w:t>
      </w:r>
    </w:p>
    <w:p w14:paraId="0DDAFC62">
      <w:pPr>
        <w:pStyle w:val="12"/>
        <w:ind w:firstLine="4440" w:firstLineChars="1850"/>
        <w:outlineLvl w:val="1"/>
        <w:rPr>
          <w:rFonts w:hint="eastAsia" w:ascii="宋体" w:hAnsi="宋体" w:cs="宋体"/>
          <w:bCs/>
          <w:sz w:val="24"/>
          <w:highlight w:val="none"/>
        </w:rPr>
      </w:pPr>
    </w:p>
    <w:p w14:paraId="585FABAD">
      <w:pPr>
        <w:pStyle w:val="12"/>
        <w:ind w:firstLine="4440" w:firstLineChars="1850"/>
        <w:outlineLvl w:val="1"/>
        <w:rPr>
          <w:rFonts w:hint="eastAsia" w:ascii="宋体" w:hAnsi="宋体" w:cs="宋体"/>
          <w:bCs/>
          <w:sz w:val="24"/>
          <w:highlight w:val="none"/>
        </w:rPr>
      </w:pPr>
      <w:r>
        <w:rPr>
          <w:rFonts w:hint="eastAsia" w:ascii="宋体" w:hAnsi="宋体" w:cs="宋体"/>
          <w:bCs/>
          <w:sz w:val="24"/>
          <w:highlight w:val="none"/>
        </w:rPr>
        <w:t>法定代表人或授权代表 （签字）：</w:t>
      </w:r>
    </w:p>
    <w:p w14:paraId="39EE5D61">
      <w:pPr>
        <w:pStyle w:val="12"/>
        <w:ind w:firstLine="4440" w:firstLineChars="1850"/>
        <w:outlineLvl w:val="1"/>
        <w:rPr>
          <w:rFonts w:hint="eastAsia" w:ascii="宋体" w:hAnsi="宋体" w:cs="宋体"/>
          <w:bCs/>
          <w:sz w:val="24"/>
          <w:highlight w:val="none"/>
        </w:rPr>
      </w:pPr>
    </w:p>
    <w:p w14:paraId="6072661C">
      <w:pPr>
        <w:pStyle w:val="12"/>
        <w:ind w:firstLine="4560" w:firstLineChars="1900"/>
        <w:outlineLvl w:val="1"/>
        <w:rPr>
          <w:rFonts w:hint="eastAsia" w:ascii="宋体" w:hAnsi="宋体" w:cs="宋体"/>
          <w:bCs/>
          <w:sz w:val="24"/>
          <w:highlight w:val="none"/>
        </w:rPr>
      </w:pPr>
      <w:r>
        <w:rPr>
          <w:rFonts w:hint="eastAsia" w:ascii="宋体" w:hAnsi="宋体" w:cs="宋体"/>
          <w:bCs/>
          <w:sz w:val="24"/>
          <w:highlight w:val="none"/>
        </w:rPr>
        <w:t>日期：</w:t>
      </w:r>
    </w:p>
    <w:p w14:paraId="4E42F440">
      <w:pPr>
        <w:pStyle w:val="12"/>
        <w:ind w:firstLine="0" w:firstLineChars="0"/>
        <w:jc w:val="center"/>
        <w:outlineLvl w:val="1"/>
        <w:rPr>
          <w:rFonts w:hint="eastAsia" w:ascii="宋体" w:hAnsi="宋体" w:cs="宋体"/>
          <w:szCs w:val="28"/>
          <w:highlight w:val="none"/>
        </w:rPr>
      </w:pPr>
    </w:p>
    <w:p w14:paraId="54B3E67B">
      <w:pPr>
        <w:pStyle w:val="12"/>
        <w:ind w:firstLine="0" w:firstLineChars="0"/>
        <w:jc w:val="center"/>
        <w:outlineLvl w:val="1"/>
        <w:rPr>
          <w:rFonts w:hint="eastAsia" w:ascii="宋体" w:hAnsi="宋体" w:cs="宋体"/>
          <w:szCs w:val="28"/>
          <w:highlight w:val="none"/>
        </w:rPr>
      </w:pPr>
    </w:p>
    <w:p w14:paraId="5A3305D3">
      <w:pPr>
        <w:pStyle w:val="12"/>
        <w:ind w:firstLine="0" w:firstLineChars="0"/>
        <w:jc w:val="center"/>
        <w:outlineLvl w:val="1"/>
        <w:rPr>
          <w:rFonts w:hint="eastAsia" w:ascii="宋体" w:hAnsi="宋体" w:cs="宋体"/>
          <w:szCs w:val="28"/>
          <w:highlight w:val="none"/>
        </w:rPr>
      </w:pPr>
    </w:p>
    <w:p w14:paraId="35A46DCF">
      <w:pPr>
        <w:pStyle w:val="12"/>
        <w:ind w:firstLine="0" w:firstLineChars="0"/>
        <w:jc w:val="center"/>
        <w:outlineLvl w:val="1"/>
        <w:rPr>
          <w:rFonts w:hint="eastAsia" w:ascii="宋体" w:hAnsi="宋体" w:cs="宋体"/>
          <w:szCs w:val="28"/>
          <w:highlight w:val="none"/>
        </w:rPr>
      </w:pPr>
    </w:p>
    <w:p w14:paraId="6D4349E4">
      <w:pPr>
        <w:pStyle w:val="12"/>
        <w:ind w:firstLine="0" w:firstLineChars="0"/>
        <w:jc w:val="center"/>
        <w:outlineLvl w:val="1"/>
        <w:rPr>
          <w:rFonts w:hint="eastAsia" w:ascii="宋体" w:hAnsi="宋体" w:cs="宋体"/>
          <w:szCs w:val="28"/>
          <w:highlight w:val="none"/>
        </w:rPr>
      </w:pPr>
    </w:p>
    <w:p w14:paraId="3054DC2C">
      <w:pPr>
        <w:pStyle w:val="12"/>
        <w:ind w:firstLine="0" w:firstLineChars="0"/>
        <w:jc w:val="center"/>
        <w:outlineLvl w:val="1"/>
        <w:rPr>
          <w:rFonts w:hint="eastAsia" w:ascii="宋体" w:hAnsi="宋体" w:cs="宋体"/>
          <w:szCs w:val="28"/>
          <w:highlight w:val="none"/>
        </w:rPr>
      </w:pPr>
    </w:p>
    <w:p w14:paraId="3BB13590">
      <w:pPr>
        <w:pStyle w:val="12"/>
        <w:ind w:firstLine="0" w:firstLineChars="0"/>
        <w:jc w:val="center"/>
        <w:outlineLvl w:val="1"/>
        <w:rPr>
          <w:rFonts w:hint="eastAsia" w:ascii="宋体" w:hAnsi="宋体" w:cs="宋体"/>
          <w:szCs w:val="28"/>
          <w:highlight w:val="none"/>
        </w:rPr>
      </w:pPr>
    </w:p>
    <w:p w14:paraId="5096D1F6">
      <w:pPr>
        <w:pStyle w:val="12"/>
        <w:ind w:firstLine="0" w:firstLineChars="0"/>
        <w:jc w:val="center"/>
        <w:outlineLvl w:val="1"/>
        <w:rPr>
          <w:rFonts w:hint="eastAsia" w:ascii="宋体" w:hAnsi="宋体" w:cs="宋体"/>
          <w:szCs w:val="28"/>
          <w:highlight w:val="none"/>
        </w:rPr>
      </w:pPr>
    </w:p>
    <w:p w14:paraId="397D8CE4">
      <w:pPr>
        <w:pStyle w:val="12"/>
        <w:ind w:firstLine="0" w:firstLineChars="0"/>
        <w:jc w:val="center"/>
        <w:outlineLvl w:val="1"/>
        <w:rPr>
          <w:rFonts w:hint="eastAsia" w:ascii="宋体" w:hAnsi="宋体" w:cs="宋体"/>
          <w:szCs w:val="28"/>
          <w:highlight w:val="none"/>
        </w:rPr>
      </w:pPr>
    </w:p>
    <w:p w14:paraId="3183F34E">
      <w:pPr>
        <w:pStyle w:val="12"/>
        <w:ind w:firstLine="0" w:firstLineChars="0"/>
        <w:jc w:val="center"/>
        <w:outlineLvl w:val="1"/>
        <w:rPr>
          <w:rFonts w:hint="eastAsia" w:ascii="宋体" w:hAnsi="宋体" w:cs="宋体"/>
          <w:szCs w:val="28"/>
          <w:highlight w:val="none"/>
        </w:rPr>
      </w:pPr>
    </w:p>
    <w:p w14:paraId="6F99E87D">
      <w:pPr>
        <w:pStyle w:val="12"/>
        <w:ind w:firstLine="0" w:firstLineChars="0"/>
        <w:jc w:val="center"/>
        <w:outlineLvl w:val="1"/>
        <w:rPr>
          <w:rFonts w:hint="eastAsia" w:ascii="宋体" w:hAnsi="宋体" w:cs="宋体"/>
          <w:szCs w:val="28"/>
          <w:highlight w:val="none"/>
        </w:rPr>
      </w:pPr>
    </w:p>
    <w:p w14:paraId="7AFA374B">
      <w:pPr>
        <w:pStyle w:val="12"/>
        <w:ind w:firstLine="0" w:firstLineChars="0"/>
        <w:jc w:val="both"/>
        <w:outlineLvl w:val="1"/>
        <w:rPr>
          <w:rFonts w:hint="eastAsia" w:ascii="宋体" w:hAnsi="宋体" w:cs="宋体"/>
          <w:szCs w:val="28"/>
          <w:highlight w:val="none"/>
        </w:rPr>
      </w:pPr>
    </w:p>
    <w:p w14:paraId="5CE21468">
      <w:pPr>
        <w:pStyle w:val="12"/>
        <w:ind w:firstLine="0" w:firstLineChars="0"/>
        <w:jc w:val="center"/>
        <w:outlineLvl w:val="1"/>
        <w:rPr>
          <w:rFonts w:hint="eastAsia" w:ascii="宋体" w:hAnsi="宋体" w:cs="宋体"/>
          <w:b/>
          <w:sz w:val="32"/>
          <w:szCs w:val="28"/>
          <w:highlight w:val="none"/>
        </w:rPr>
      </w:pPr>
      <w:r>
        <w:rPr>
          <w:rFonts w:hint="eastAsia" w:ascii="宋体" w:hAnsi="宋体" w:cs="宋体"/>
          <w:b/>
          <w:sz w:val="32"/>
          <w:szCs w:val="28"/>
          <w:highlight w:val="none"/>
        </w:rPr>
        <w:t>四、其他材料</w:t>
      </w:r>
    </w:p>
    <w:p w14:paraId="3A5605E5">
      <w:pPr>
        <w:pStyle w:val="12"/>
        <w:ind w:firstLine="0" w:firstLineChars="0"/>
        <w:jc w:val="center"/>
        <w:outlineLvl w:val="1"/>
        <w:rPr>
          <w:rFonts w:hint="eastAsia" w:ascii="宋体" w:hAnsi="宋体" w:cs="宋体"/>
          <w:bCs/>
          <w:sz w:val="32"/>
          <w:szCs w:val="28"/>
          <w:highlight w:val="none"/>
        </w:rPr>
      </w:pPr>
      <w:r>
        <w:rPr>
          <w:rFonts w:hint="eastAsia" w:ascii="宋体" w:hAnsi="宋体" w:cs="宋体"/>
          <w:bCs/>
          <w:sz w:val="32"/>
          <w:szCs w:val="28"/>
          <w:highlight w:val="none"/>
        </w:rPr>
        <w:t>比选申请人认为需要提供的证明材料，格式自拟。</w:t>
      </w:r>
    </w:p>
    <w:p w14:paraId="06AF7A23">
      <w:pPr>
        <w:spacing w:line="360" w:lineRule="auto"/>
        <w:ind w:firstLine="534" w:firstLineChars="190"/>
        <w:rPr>
          <w:rFonts w:hint="eastAsia" w:ascii="宋体" w:hAnsi="宋体"/>
          <w:b/>
          <w:sz w:val="28"/>
          <w:highlight w:val="none"/>
        </w:rPr>
      </w:pPr>
    </w:p>
    <w:bookmarkEnd w:id="52"/>
    <w:p w14:paraId="66B2719F">
      <w:pPr>
        <w:pStyle w:val="12"/>
        <w:ind w:firstLine="0" w:firstLineChars="0"/>
        <w:jc w:val="center"/>
        <w:outlineLvl w:val="1"/>
        <w:rPr>
          <w:rFonts w:hint="eastAsia" w:ascii="宋体" w:hAnsi="宋体" w:cs="宋体"/>
          <w:bCs/>
          <w:sz w:val="32"/>
          <w:szCs w:val="28"/>
          <w:highlight w:val="none"/>
        </w:rPr>
      </w:pPr>
    </w:p>
    <w:p w14:paraId="2AC7C19C">
      <w:pPr>
        <w:pStyle w:val="12"/>
        <w:ind w:firstLine="0" w:firstLineChars="0"/>
        <w:jc w:val="center"/>
        <w:outlineLvl w:val="1"/>
        <w:rPr>
          <w:rFonts w:hint="eastAsia" w:ascii="宋体" w:hAnsi="宋体" w:cs="宋体"/>
          <w:b/>
          <w:sz w:val="32"/>
          <w:szCs w:val="28"/>
          <w:highlight w:val="none"/>
        </w:rPr>
      </w:pPr>
    </w:p>
    <w:p w14:paraId="73470D8D">
      <w:pPr>
        <w:rPr>
          <w:highlight w:val="none"/>
        </w:rPr>
      </w:pPr>
    </w:p>
    <w:sectPr>
      <w:footerReference r:id="rId5"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B7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9F8A9">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459F8A9">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68F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76212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076212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FE4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C2D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45FC2D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0E3B2"/>
    <w:multiLevelType w:val="singleLevel"/>
    <w:tmpl w:val="BE90E3B2"/>
    <w:lvl w:ilvl="0" w:tentative="0">
      <w:start w:val="1"/>
      <w:numFmt w:val="decimal"/>
      <w:suff w:val="nothing"/>
      <w:lvlText w:val="%1、"/>
      <w:lvlJc w:val="left"/>
    </w:lvl>
  </w:abstractNum>
  <w:abstractNum w:abstractNumId="1">
    <w:nsid w:val="D401A1F6"/>
    <w:multiLevelType w:val="singleLevel"/>
    <w:tmpl w:val="D401A1F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24905"/>
    <w:rsid w:val="01E23011"/>
    <w:rsid w:val="0273010D"/>
    <w:rsid w:val="03D86187"/>
    <w:rsid w:val="090F378A"/>
    <w:rsid w:val="0A32598A"/>
    <w:rsid w:val="0AEE23B0"/>
    <w:rsid w:val="0DF3340D"/>
    <w:rsid w:val="11EB4729"/>
    <w:rsid w:val="142676D5"/>
    <w:rsid w:val="16086D5A"/>
    <w:rsid w:val="169923E1"/>
    <w:rsid w:val="174556FA"/>
    <w:rsid w:val="17580601"/>
    <w:rsid w:val="1A294B27"/>
    <w:rsid w:val="1DFF7785"/>
    <w:rsid w:val="1EB64E6E"/>
    <w:rsid w:val="1FC3402A"/>
    <w:rsid w:val="1FD119E9"/>
    <w:rsid w:val="245170F8"/>
    <w:rsid w:val="25877C9F"/>
    <w:rsid w:val="264050FA"/>
    <w:rsid w:val="279B53A4"/>
    <w:rsid w:val="28812CD5"/>
    <w:rsid w:val="29C91990"/>
    <w:rsid w:val="31A33707"/>
    <w:rsid w:val="3BF515B8"/>
    <w:rsid w:val="3D724905"/>
    <w:rsid w:val="3EFF3B1A"/>
    <w:rsid w:val="3F9F5FD5"/>
    <w:rsid w:val="43F16B09"/>
    <w:rsid w:val="44F1307B"/>
    <w:rsid w:val="4725528A"/>
    <w:rsid w:val="4B357284"/>
    <w:rsid w:val="4CB66814"/>
    <w:rsid w:val="51E97071"/>
    <w:rsid w:val="57503A0E"/>
    <w:rsid w:val="5A544F03"/>
    <w:rsid w:val="5D521F6E"/>
    <w:rsid w:val="5D86286D"/>
    <w:rsid w:val="68E13B71"/>
    <w:rsid w:val="6A8F1C7D"/>
    <w:rsid w:val="6C21592D"/>
    <w:rsid w:val="6DEC30D6"/>
    <w:rsid w:val="6E5F5A49"/>
    <w:rsid w:val="70A628A5"/>
    <w:rsid w:val="719E2698"/>
    <w:rsid w:val="72A746B3"/>
    <w:rsid w:val="755B0018"/>
    <w:rsid w:val="76830F93"/>
    <w:rsid w:val="799F4D84"/>
    <w:rsid w:val="7CD442F6"/>
    <w:rsid w:val="7E2D7518"/>
    <w:rsid w:val="7FD2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link w:val="17"/>
    <w:qFormat/>
    <w:uiPriority w:val="0"/>
    <w:pPr>
      <w:keepNext/>
      <w:keepLines/>
      <w:spacing w:before="260" w:beforeLines="0" w:beforeAutospacing="0" w:after="260" w:afterLines="0" w:afterAutospacing="0" w:line="413" w:lineRule="auto"/>
      <w:outlineLvl w:val="2"/>
    </w:pPr>
    <w:rPr>
      <w:rFonts w:ascii="Times New Roman" w:hAnsi="Times New Roman"/>
      <w:b/>
      <w:kern w:val="0"/>
      <w:sz w:val="32"/>
      <w:szCs w:val="20"/>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pPr>
  </w:style>
  <w:style w:type="paragraph" w:customStyle="1" w:styleId="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Body Text Indent"/>
    <w:basedOn w:val="1"/>
    <w:qFormat/>
    <w:uiPriority w:val="0"/>
    <w:pPr>
      <w:spacing w:after="120" w:afterLines="0"/>
      <w:ind w:left="420" w:leftChars="200"/>
    </w:pPr>
  </w:style>
  <w:style w:type="paragraph" w:styleId="9">
    <w:name w:val="Body Text Indent 2"/>
    <w:basedOn w:val="1"/>
    <w:qFormat/>
    <w:uiPriority w:val="0"/>
    <w:pPr>
      <w:spacing w:after="120" w:afterLines="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0"/>
  </w:style>
  <w:style w:type="paragraph" w:styleId="12">
    <w:name w:val="Body Text First Indent"/>
    <w:basedOn w:val="6"/>
    <w:qFormat/>
    <w:uiPriority w:val="0"/>
    <w:pPr>
      <w:ind w:firstLine="420" w:firstLineChars="100"/>
    </w:pPr>
  </w:style>
  <w:style w:type="paragraph" w:styleId="13">
    <w:name w:val="Body Text First Indent 2"/>
    <w:basedOn w:val="8"/>
    <w:unhideWhenUsed/>
    <w:qFormat/>
    <w:uiPriority w:val="0"/>
    <w:pPr>
      <w:spacing w:beforeLines="0" w:after="0" w:afterLines="0"/>
      <w:ind w:left="0" w:leftChars="0" w:firstLine="420" w:firstLineChars="200"/>
    </w:pPr>
    <w:rPr>
      <w:rFonts w:hint="default" w:eastAsia="仿宋_GB2312"/>
      <w:sz w:val="28"/>
    </w:rPr>
  </w:style>
  <w:style w:type="character" w:styleId="16">
    <w:name w:val="page number"/>
    <w:basedOn w:val="15"/>
    <w:unhideWhenUsed/>
    <w:qFormat/>
    <w:uiPriority w:val="0"/>
  </w:style>
  <w:style w:type="character" w:customStyle="1" w:styleId="17">
    <w:name w:val="标题 3 Char"/>
    <w:link w:val="4"/>
    <w:qFormat/>
    <w:uiPriority w:val="0"/>
    <w:rPr>
      <w:rFonts w:ascii="Times New Roman" w:hAnsi="Times New Roman"/>
      <w:b/>
      <w:kern w:val="0"/>
      <w:sz w:val="32"/>
      <w:szCs w:val="20"/>
    </w:rPr>
  </w:style>
  <w:style w:type="character" w:customStyle="1" w:styleId="18">
    <w:name w:val="标题 2 Char"/>
    <w:link w:val="3"/>
    <w:qFormat/>
    <w:uiPriority w:val="0"/>
    <w:rPr>
      <w:rFonts w:ascii="Arial" w:hAnsi="Arial" w:eastAsia="黑体"/>
      <w:b/>
      <w:kern w:val="0"/>
      <w:sz w:val="32"/>
      <w:szCs w:val="20"/>
    </w:rPr>
  </w:style>
  <w:style w:type="paragraph" w:customStyle="1" w:styleId="19">
    <w:name w:val="正文1"/>
    <w:basedOn w:val="20"/>
    <w:qFormat/>
    <w:uiPriority w:val="0"/>
    <w:rPr>
      <w:rFonts w:ascii="Times New Roman" w:hAnsi="Times New Roman"/>
      <w:kern w:val="0"/>
      <w:sz w:val="20"/>
      <w:szCs w:val="20"/>
    </w:rPr>
  </w:style>
  <w:style w:type="paragraph" w:customStyle="1" w:styleId="20">
    <w:name w:val="正文11"/>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5790</Words>
  <Characters>6265</Characters>
  <Lines>0</Lines>
  <Paragraphs>0</Paragraphs>
  <TotalTime>5</TotalTime>
  <ScaleCrop>false</ScaleCrop>
  <LinksUpToDate>false</LinksUpToDate>
  <CharactersWithSpaces>6536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2025-04-19T10:18:00Z</dcterms:created>
  <dc:creator>夏天.</dc:creator>
  <cp:lastModifiedBy>黄俊豪</cp:lastModifiedBy>
  <cp:lastPrinted>2025-04-23T15:09:00Z</cp:lastPrinted>
  <dcterms:modified xsi:type="dcterms:W3CDTF">2026-01-04T02:32:39Z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1E972DA795144AD8B9F54ED4B4C33FCC_13</vt:lpwstr>
  </property>
  <property fmtid="{D5CDD505-2E9C-101B-9397-08002B2CF9AE}" pid="4" name="KSOTemplateDocerSaveRecord">
    <vt:lpwstr>eyJoZGlkIjoiYTVjODM1YTI5NDM5NTA1YzY0YWVkMmNhOWI5MWQyNmUiLCJ1c2VySWQiOiI2ODkxNTA4ODQifQ==</vt:lpwstr>
  </property>
</Properties>
</file>