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59759B">
      <w:pPr>
        <w:spacing w:line="0" w:lineRule="atLeast"/>
        <w:rPr>
          <w:rFonts w:hint="eastAsia" w:ascii="Times New Roman" w:hAnsi="Times New Roman" w:eastAsia="方正楷体_GBK" w:cs="Times New Roman"/>
          <w:b/>
          <w:bCs/>
          <w:color w:val="000000" w:themeColor="text1"/>
          <w:sz w:val="24"/>
          <w:szCs w:val="24"/>
          <w14:textFill>
            <w14:solidFill>
              <w14:schemeClr w14:val="tx1"/>
            </w14:solidFill>
          </w14:textFill>
        </w:rPr>
      </w:pPr>
    </w:p>
    <w:p w14:paraId="360199CB">
      <w:pPr>
        <w:spacing w:line="0" w:lineRule="atLeast"/>
        <w:jc w:val="center"/>
        <w:rPr>
          <w:rFonts w:ascii="Times New Roman" w:hAnsi="Times New Roman" w:eastAsia="方正小标宋_GBK" w:cs="Times New Roman"/>
          <w:b/>
          <w:bCs/>
          <w:color w:val="000000" w:themeColor="text1"/>
          <w:sz w:val="44"/>
          <w:szCs w:val="44"/>
          <w14:textFill>
            <w14:solidFill>
              <w14:schemeClr w14:val="tx1"/>
            </w14:solidFill>
          </w14:textFill>
        </w:rPr>
      </w:pPr>
      <w:r>
        <w:rPr>
          <w:rFonts w:hint="eastAsia" w:ascii="Times New Roman" w:hAnsi="Times New Roman" w:eastAsia="方正小标宋_GBK" w:cs="Times New Roman"/>
          <w:b/>
          <w:bCs/>
          <w:color w:val="000000" w:themeColor="text1"/>
          <w:sz w:val="44"/>
          <w:szCs w:val="44"/>
          <w14:textFill>
            <w14:solidFill>
              <w14:schemeClr w14:val="tx1"/>
            </w14:solidFill>
          </w14:textFill>
        </w:rPr>
        <w:t xml:space="preserve">攀枝花市东区人民政府 </w:t>
      </w:r>
    </w:p>
    <w:p w14:paraId="7675DC75">
      <w:pPr>
        <w:spacing w:line="0" w:lineRule="atLeast"/>
        <w:jc w:val="center"/>
        <w:rPr>
          <w:rFonts w:ascii="Times New Roman" w:hAnsi="Times New Roman" w:eastAsia="方正小标宋_GBK" w:cs="Times New Roman"/>
          <w:b/>
          <w:bCs/>
          <w:color w:val="000000" w:themeColor="text1"/>
          <w:sz w:val="44"/>
          <w:szCs w:val="44"/>
          <w14:textFill>
            <w14:solidFill>
              <w14:schemeClr w14:val="tx1"/>
            </w14:solidFill>
          </w14:textFill>
        </w:rPr>
      </w:pPr>
      <w:r>
        <w:rPr>
          <w:rFonts w:hint="eastAsia" w:ascii="Times New Roman" w:hAnsi="Times New Roman" w:eastAsia="方正小标宋_GBK" w:cs="Times New Roman"/>
          <w:b/>
          <w:bCs/>
          <w:color w:val="000000" w:themeColor="text1"/>
          <w:sz w:val="44"/>
          <w:szCs w:val="44"/>
          <w14:textFill>
            <w14:solidFill>
              <w14:schemeClr w14:val="tx1"/>
            </w14:solidFill>
          </w14:textFill>
        </w:rPr>
        <w:t>浙江同兴技术股份有限公司</w:t>
      </w:r>
    </w:p>
    <w:p w14:paraId="22975AEF">
      <w:pPr>
        <w:spacing w:line="0" w:lineRule="atLeast"/>
        <w:jc w:val="center"/>
        <w:rPr>
          <w:rFonts w:ascii="Times New Roman" w:hAnsi="Times New Roman" w:eastAsia="方正小标宋_GBK" w:cs="Times New Roman"/>
          <w:b/>
          <w:bCs/>
          <w:color w:val="000000" w:themeColor="text1"/>
          <w:sz w:val="44"/>
          <w:szCs w:val="44"/>
          <w14:textFill>
            <w14:solidFill>
              <w14:schemeClr w14:val="tx1"/>
            </w14:solidFill>
          </w14:textFill>
        </w:rPr>
      </w:pPr>
      <w:r>
        <w:rPr>
          <w:rFonts w:ascii="Times New Roman" w:hAnsi="Times New Roman" w:eastAsia="方正小标宋_GBK" w:cs="Times New Roman"/>
          <w:b/>
          <w:bCs/>
          <w:color w:val="000000" w:themeColor="text1"/>
          <w:sz w:val="44"/>
          <w:szCs w:val="44"/>
          <w14:textFill>
            <w14:solidFill>
              <w14:schemeClr w14:val="tx1"/>
            </w14:solidFill>
          </w14:textFill>
        </w:rPr>
        <w:t>投资合作协议</w:t>
      </w:r>
    </w:p>
    <w:p w14:paraId="238841FE">
      <w:pPr>
        <w:spacing w:line="0" w:lineRule="atLeast"/>
        <w:jc w:val="center"/>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（送审稿）</w:t>
      </w:r>
      <w:bookmarkStart w:id="0" w:name="_GoBack"/>
      <w:bookmarkEnd w:id="0"/>
    </w:p>
    <w:p w14:paraId="3D586578">
      <w:pPr>
        <w:spacing w:line="0" w:lineRule="atLeast"/>
        <w:jc w:val="center"/>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3398F47">
      <w:pP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甲方：攀枝花市东区人民政府</w:t>
      </w:r>
    </w:p>
    <w:p w14:paraId="523A52BC">
      <w:pP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法定代表人：毛志强 </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职务：区 长</w:t>
      </w:r>
    </w:p>
    <w:p w14:paraId="2284DC21">
      <w:pP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地址：四川省攀枝花市东区攀枝花大道中段316号</w:t>
      </w:r>
    </w:p>
    <w:p w14:paraId="5DFDA2B2">
      <w:pPr>
        <w:rPr>
          <w:rFonts w:ascii="Times New Roman" w:hAnsi="Times New Roman" w:eastAsia="方正仿宋_GBK" w:cs="Times New Roman"/>
          <w:color w:val="000000" w:themeColor="text1"/>
          <w:sz w:val="32"/>
          <w:szCs w:val="32"/>
          <w14:textFill>
            <w14:solidFill>
              <w14:schemeClr w14:val="tx1"/>
            </w14:solidFill>
          </w14:textFill>
        </w:rPr>
      </w:pPr>
    </w:p>
    <w:p w14:paraId="66577628">
      <w:pP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乙方: 浙江同兴技术股份有限公司</w:t>
      </w:r>
    </w:p>
    <w:p w14:paraId="445CC129">
      <w:pP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法定代表人：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孙军文</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职务：</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董事长</w:t>
      </w:r>
    </w:p>
    <w:p w14:paraId="356B1990">
      <w:pP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地址</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浙江省杭州市富阳区银湖街道银湖科创园11号楼第8层</w:t>
      </w: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68C070B8">
      <w:pPr>
        <w:rPr>
          <w:rFonts w:ascii="Times New Roman" w:hAnsi="Times New Roman" w:eastAsia="方正仿宋_GBK" w:cs="Times New Roman"/>
          <w:color w:val="000000" w:themeColor="text1"/>
          <w:sz w:val="32"/>
          <w:szCs w:val="32"/>
          <w14:textFill>
            <w14:solidFill>
              <w14:schemeClr w14:val="tx1"/>
            </w14:solidFill>
          </w14:textFill>
        </w:rPr>
      </w:pPr>
    </w:p>
    <w:p w14:paraId="39B120A8">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为</w:t>
      </w:r>
      <w:r>
        <w:rPr>
          <w:rFonts w:ascii="Times New Roman" w:hAnsi="Times New Roman" w:eastAsia="方正仿宋_GBK" w:cs="Times New Roman"/>
          <w:color w:val="000000" w:themeColor="text1"/>
          <w:sz w:val="32"/>
          <w:szCs w:val="32"/>
          <w14:textFill>
            <w14:solidFill>
              <w14:schemeClr w14:val="tx1"/>
            </w14:solidFill>
          </w14:textFill>
        </w:rPr>
        <w:t>促进攀枝花市东区产业转型升级，夯实人工智能产业发展基座，甲、乙双方依据相关法律法规，经双方友好平等协商，并基于互惠互利、优势互补的原则，</w:t>
      </w:r>
      <w:r>
        <w:rPr>
          <w:rFonts w:hint="eastAsia" w:ascii="Times New Roman" w:hAnsi="Times New Roman" w:eastAsia="方正仿宋_GBK" w:cs="Times New Roman"/>
          <w:color w:val="000000" w:themeColor="text1"/>
          <w:sz w:val="32"/>
          <w:szCs w:val="32"/>
          <w14:textFill>
            <w14:solidFill>
              <w14:schemeClr w14:val="tx1"/>
            </w14:solidFill>
          </w14:textFill>
        </w:rPr>
        <w:t>就</w:t>
      </w:r>
      <w:r>
        <w:rPr>
          <w:rFonts w:ascii="Times New Roman" w:hAnsi="Times New Roman" w:eastAsia="方正仿宋_GBK" w:cs="Times New Roman"/>
          <w:color w:val="000000" w:themeColor="text1"/>
          <w:sz w:val="32"/>
          <w:szCs w:val="32"/>
          <w14:textFill>
            <w14:solidFill>
              <w14:schemeClr w14:val="tx1"/>
            </w14:solidFill>
          </w14:textFill>
        </w:rPr>
        <w:t>在攀枝花市东区建设</w:t>
      </w:r>
      <w:r>
        <w:rPr>
          <w:rFonts w:hint="eastAsia" w:ascii="Times New Roman" w:hAnsi="Times New Roman" w:eastAsia="方正仿宋_GBK" w:cs="Times New Roman"/>
          <w:color w:val="000000" w:themeColor="text1"/>
          <w:sz w:val="32"/>
          <w:szCs w:val="32"/>
          <w:highlight w:val="yellow"/>
          <w:lang w:val="en-US" w:eastAsia="zh-CN"/>
          <w14:textFill>
            <w14:solidFill>
              <w14:schemeClr w14:val="tx1"/>
            </w14:solidFill>
          </w14:textFill>
        </w:rPr>
        <w:t>同兴-攀枝花川滇智算中心</w:t>
      </w:r>
      <w:r>
        <w:rPr>
          <w:rFonts w:ascii="Times New Roman" w:hAnsi="Times New Roman" w:eastAsia="方正仿宋_GBK" w:cs="Times New Roman"/>
          <w:color w:val="000000" w:themeColor="text1"/>
          <w:sz w:val="32"/>
          <w:szCs w:val="32"/>
          <w14:textFill>
            <w14:solidFill>
              <w14:schemeClr w14:val="tx1"/>
            </w14:solidFill>
          </w14:textFill>
        </w:rPr>
        <w:t>项目的有关事宜达成一致，特签订本协议，以期双方共同</w:t>
      </w:r>
      <w:r>
        <w:rPr>
          <w:rFonts w:hint="eastAsia" w:ascii="Times New Roman" w:hAnsi="Times New Roman" w:eastAsia="方正仿宋_GBK" w:cs="Times New Roman"/>
          <w:color w:val="000000" w:themeColor="text1"/>
          <w:sz w:val="32"/>
          <w:szCs w:val="32"/>
          <w14:textFill>
            <w14:solidFill>
              <w14:schemeClr w14:val="tx1"/>
            </w14:solidFill>
          </w14:textFill>
        </w:rPr>
        <w:t>遵守</w:t>
      </w:r>
      <w:r>
        <w:rPr>
          <w:rFonts w:ascii="Times New Roman" w:hAnsi="Times New Roman" w:eastAsia="方正仿宋_GBK" w:cs="Times New Roman"/>
          <w:color w:val="000000" w:themeColor="text1"/>
          <w:sz w:val="32"/>
          <w:szCs w:val="32"/>
          <w14:textFill>
            <w14:solidFill>
              <w14:schemeClr w14:val="tx1"/>
            </w14:solidFill>
          </w14:textFill>
        </w:rPr>
        <w:t>。</w:t>
      </w:r>
    </w:p>
    <w:p w14:paraId="5B3E9064">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第一条 合作原则</w:t>
      </w:r>
    </w:p>
    <w:p w14:paraId="0A36317C">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1.1</w:t>
      </w:r>
      <w:r>
        <w:rPr>
          <w:rFonts w:hint="eastAsia" w:ascii="Times New Roman" w:hAnsi="Times New Roman" w:eastAsia="方正仿宋_GBK" w:cs="Times New Roman"/>
          <w:b/>
          <w:bCs/>
          <w:color w:val="000000" w:themeColor="text1"/>
          <w:sz w:val="32"/>
          <w:szCs w:val="32"/>
          <w14:textFill>
            <w14:solidFill>
              <w14:schemeClr w14:val="tx1"/>
            </w14:solidFill>
          </w14:textFill>
        </w:rPr>
        <w:t xml:space="preserve"> </w:t>
      </w:r>
      <w:r>
        <w:rPr>
          <w:rFonts w:ascii="Times New Roman" w:hAnsi="Times New Roman" w:eastAsia="方正仿宋_GBK" w:cs="Times New Roman"/>
          <w:b/>
          <w:bCs/>
          <w:color w:val="000000" w:themeColor="text1"/>
          <w:sz w:val="32"/>
          <w:szCs w:val="32"/>
          <w14:textFill>
            <w14:solidFill>
              <w14:schemeClr w14:val="tx1"/>
            </w14:solidFill>
          </w14:textFill>
        </w:rPr>
        <w:t>坚持依法办事原则。</w:t>
      </w:r>
      <w:r>
        <w:rPr>
          <w:rFonts w:ascii="Times New Roman" w:hAnsi="Times New Roman" w:eastAsia="方正仿宋_GBK" w:cs="Times New Roman"/>
          <w:color w:val="000000" w:themeColor="text1"/>
          <w:sz w:val="32"/>
          <w:szCs w:val="32"/>
          <w14:textFill>
            <w14:solidFill>
              <w14:schemeClr w14:val="tx1"/>
            </w14:solidFill>
          </w14:textFill>
        </w:rPr>
        <w:t>甲乙双方合作应符合国家有关法律、法规及国家产业政策、区域发展政策。</w:t>
      </w:r>
    </w:p>
    <w:p w14:paraId="5C151DC3">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1.2</w:t>
      </w:r>
      <w:r>
        <w:rPr>
          <w:rFonts w:hint="eastAsia" w:ascii="Times New Roman" w:hAnsi="Times New Roman" w:eastAsia="方正仿宋_GBK" w:cs="Times New Roman"/>
          <w:b/>
          <w:bCs/>
          <w:color w:val="000000" w:themeColor="text1"/>
          <w:sz w:val="32"/>
          <w:szCs w:val="32"/>
          <w14:textFill>
            <w14:solidFill>
              <w14:schemeClr w14:val="tx1"/>
            </w14:solidFill>
          </w14:textFill>
        </w:rPr>
        <w:t xml:space="preserve"> </w:t>
      </w:r>
      <w:r>
        <w:rPr>
          <w:rFonts w:ascii="Times New Roman" w:hAnsi="Times New Roman" w:eastAsia="方正仿宋_GBK" w:cs="Times New Roman"/>
          <w:b/>
          <w:bCs/>
          <w:color w:val="000000" w:themeColor="text1"/>
          <w:sz w:val="32"/>
          <w:szCs w:val="32"/>
          <w14:textFill>
            <w14:solidFill>
              <w14:schemeClr w14:val="tx1"/>
            </w14:solidFill>
          </w14:textFill>
        </w:rPr>
        <w:t>坚持诚实守信原则。</w:t>
      </w:r>
      <w:r>
        <w:rPr>
          <w:rFonts w:ascii="Times New Roman" w:hAnsi="Times New Roman" w:eastAsia="方正仿宋_GBK" w:cs="Times New Roman"/>
          <w:color w:val="000000" w:themeColor="text1"/>
          <w:sz w:val="32"/>
          <w:szCs w:val="32"/>
          <w14:textFill>
            <w14:solidFill>
              <w14:schemeClr w14:val="tx1"/>
            </w14:solidFill>
          </w14:textFill>
        </w:rPr>
        <w:t>甲乙双方行使权利、履行义务时应当重承诺、守信用、遵合同。</w:t>
      </w:r>
    </w:p>
    <w:p w14:paraId="3123B920">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1.3</w:t>
      </w:r>
      <w:r>
        <w:rPr>
          <w:rFonts w:hint="eastAsia" w:ascii="Times New Roman" w:hAnsi="Times New Roman" w:eastAsia="方正仿宋_GBK" w:cs="Times New Roman"/>
          <w:b/>
          <w:bCs/>
          <w:color w:val="000000" w:themeColor="text1"/>
          <w:sz w:val="32"/>
          <w:szCs w:val="32"/>
          <w14:textFill>
            <w14:solidFill>
              <w14:schemeClr w14:val="tx1"/>
            </w14:solidFill>
          </w14:textFill>
        </w:rPr>
        <w:t xml:space="preserve"> </w:t>
      </w:r>
      <w:r>
        <w:rPr>
          <w:rFonts w:ascii="Times New Roman" w:hAnsi="Times New Roman" w:eastAsia="方正仿宋_GBK" w:cs="Times New Roman"/>
          <w:b/>
          <w:bCs/>
          <w:color w:val="000000" w:themeColor="text1"/>
          <w:sz w:val="32"/>
          <w:szCs w:val="32"/>
          <w14:textFill>
            <w14:solidFill>
              <w14:schemeClr w14:val="tx1"/>
            </w14:solidFill>
          </w14:textFill>
        </w:rPr>
        <w:t>坚持协商共赢原则。</w:t>
      </w:r>
      <w:r>
        <w:rPr>
          <w:rFonts w:ascii="Times New Roman" w:hAnsi="Times New Roman" w:eastAsia="方正仿宋_GBK" w:cs="Times New Roman"/>
          <w:color w:val="000000" w:themeColor="text1"/>
          <w:sz w:val="32"/>
          <w:szCs w:val="32"/>
          <w14:textFill>
            <w14:solidFill>
              <w14:schemeClr w14:val="tx1"/>
            </w14:solidFill>
          </w14:textFill>
        </w:rPr>
        <w:t>甲乙双方各自发挥在行政管理、投资建设、生产管理等方面的优势，着眼于长期发展，以科学的态度、务实的作风，协同配合，实现互利共赢</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4281E10F">
      <w:pPr>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14:textFill>
            <w14:solidFill>
              <w14:schemeClr w14:val="tx1"/>
            </w14:solidFill>
          </w14:textFill>
        </w:rPr>
        <w:t>第二条 合作</w:t>
      </w:r>
      <w:r>
        <w:rPr>
          <w:rFonts w:ascii="Times New Roman" w:hAnsi="Times New Roman" w:eastAsia="方正黑体_GBK" w:cs="Times New Roman"/>
          <w:color w:val="000000" w:themeColor="text1"/>
          <w:sz w:val="32"/>
          <w:szCs w:val="32"/>
          <w14:textFill>
            <w14:solidFill>
              <w14:schemeClr w14:val="tx1"/>
            </w14:solidFill>
          </w14:textFill>
        </w:rPr>
        <w:t>项目概述</w:t>
      </w:r>
    </w:p>
    <w:p w14:paraId="0BA3CD86">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 xml:space="preserve">2.1 </w:t>
      </w:r>
      <w:r>
        <w:rPr>
          <w:rFonts w:hint="eastAsia" w:ascii="Times New Roman" w:hAnsi="Times New Roman" w:eastAsia="方正仿宋_GBK" w:cs="Times New Roman"/>
          <w:b/>
          <w:bCs/>
          <w:color w:val="000000" w:themeColor="text1"/>
          <w:sz w:val="32"/>
          <w:szCs w:val="32"/>
          <w14:textFill>
            <w14:solidFill>
              <w14:schemeClr w14:val="tx1"/>
            </w14:solidFill>
          </w14:textFill>
        </w:rPr>
        <w:t>项目名称：</w:t>
      </w:r>
      <w:r>
        <w:rPr>
          <w:rFonts w:hint="eastAsia" w:ascii="Times New Roman" w:hAnsi="Times New Roman" w:eastAsia="方正仿宋_GBK" w:cs="Times New Roman"/>
          <w:color w:val="000000" w:themeColor="text1"/>
          <w:sz w:val="32"/>
          <w:szCs w:val="32"/>
          <w:highlight w:val="yellow"/>
          <w:lang w:val="en-US" w:eastAsia="zh-CN"/>
          <w14:textFill>
            <w14:solidFill>
              <w14:schemeClr w14:val="tx1"/>
            </w14:solidFill>
          </w14:textFill>
        </w:rPr>
        <w:t>同兴-攀枝花川滇智算中心</w:t>
      </w:r>
    </w:p>
    <w:p w14:paraId="261055B0">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楷体_GBK" w:cs="Times New Roman"/>
          <w:b/>
          <w:bCs/>
          <w:color w:val="000000" w:themeColor="text1"/>
          <w:sz w:val="32"/>
          <w:szCs w:val="32"/>
          <w14:textFill>
            <w14:solidFill>
              <w14:schemeClr w14:val="tx1"/>
            </w14:solidFill>
          </w14:textFill>
        </w:rPr>
        <w:t xml:space="preserve">2.2 </w:t>
      </w:r>
      <w:r>
        <w:rPr>
          <w:rFonts w:hint="eastAsia" w:ascii="Times New Roman" w:hAnsi="Times New Roman" w:eastAsia="方正仿宋_GBK" w:cs="Times New Roman"/>
          <w:b/>
          <w:bCs/>
          <w:color w:val="000000" w:themeColor="text1"/>
          <w:sz w:val="32"/>
          <w:szCs w:val="32"/>
          <w14:textFill>
            <w14:solidFill>
              <w14:schemeClr w14:val="tx1"/>
            </w14:solidFill>
          </w14:textFill>
        </w:rPr>
        <w:t>项目内容：</w:t>
      </w:r>
      <w:r>
        <w:rPr>
          <w:rFonts w:hint="eastAsia" w:ascii="Times New Roman" w:hAnsi="Times New Roman" w:eastAsia="方正仿宋_GBK" w:cs="Times New Roman"/>
          <w:color w:val="000000" w:themeColor="text1"/>
          <w:sz w:val="32"/>
          <w:szCs w:val="32"/>
          <w14:textFill>
            <w14:solidFill>
              <w14:schemeClr w14:val="tx1"/>
            </w14:solidFill>
          </w14:textFill>
        </w:rPr>
        <w:t>本协议签订后，乙方自愿在攀枝花市东区范围内注册成立具有独立法人资格的全资子公司（以下简称“项目公司”），作为</w:t>
      </w:r>
      <w:r>
        <w:rPr>
          <w:rFonts w:hint="eastAsia" w:ascii="Times New Roman" w:hAnsi="Times New Roman" w:eastAsia="方正仿宋_GBK" w:cs="Times New Roman"/>
          <w:color w:val="000000" w:themeColor="text1"/>
          <w:sz w:val="32"/>
          <w:szCs w:val="32"/>
          <w:highlight w:val="yellow"/>
          <w:lang w:val="en-US" w:eastAsia="zh-CN"/>
          <w14:textFill>
            <w14:solidFill>
              <w14:schemeClr w14:val="tx1"/>
            </w14:solidFill>
          </w14:textFill>
        </w:rPr>
        <w:t>同兴-攀枝花川滇智算中心投资</w:t>
      </w:r>
      <w:r>
        <w:rPr>
          <w:rFonts w:hint="eastAsia" w:ascii="Times New Roman" w:hAnsi="Times New Roman" w:eastAsia="方正仿宋_GBK" w:cs="Times New Roman"/>
          <w:color w:val="000000" w:themeColor="text1"/>
          <w:sz w:val="32"/>
          <w:szCs w:val="32"/>
          <w14:textFill>
            <w14:solidFill>
              <w14:schemeClr w14:val="tx1"/>
            </w14:solidFill>
          </w14:textFill>
        </w:rPr>
        <w:t>运营主体。并以项目公司的名义</w:t>
      </w:r>
      <w:r>
        <w:rPr>
          <w:rFonts w:ascii="Times New Roman" w:hAnsi="Times New Roman" w:eastAsia="方正仿宋_GBK" w:cs="Times New Roman"/>
          <w:color w:val="000000" w:themeColor="text1"/>
          <w:sz w:val="32"/>
          <w:szCs w:val="32"/>
          <w14:textFill>
            <w14:solidFill>
              <w14:schemeClr w14:val="tx1"/>
            </w14:solidFill>
          </w14:textFill>
        </w:rPr>
        <w:t>投</w:t>
      </w:r>
      <w:r>
        <w:rPr>
          <w:rFonts w:hint="eastAsia" w:ascii="Times New Roman" w:hAnsi="Times New Roman" w:eastAsia="方正仿宋_GBK" w:cs="Times New Roman"/>
          <w:color w:val="000000" w:themeColor="text1"/>
          <w:sz w:val="32"/>
          <w:szCs w:val="32"/>
          <w14:textFill>
            <w14:solidFill>
              <w14:schemeClr w14:val="tx1"/>
            </w14:solidFill>
          </w14:textFill>
        </w:rPr>
        <w:t>入建设智算中心，</w:t>
      </w:r>
      <w:r>
        <w:rPr>
          <w:rFonts w:ascii="Times New Roman" w:hAnsi="Times New Roman" w:eastAsia="方正仿宋_GBK" w:cs="Times New Roman"/>
          <w:color w:val="000000" w:themeColor="text1"/>
          <w:sz w:val="32"/>
          <w:szCs w:val="32"/>
          <w14:textFill>
            <w14:solidFill>
              <w14:schemeClr w14:val="tx1"/>
            </w14:solidFill>
          </w14:textFill>
        </w:rPr>
        <w:t>打造攀枝花市人工智能基础设施。</w:t>
      </w:r>
    </w:p>
    <w:p w14:paraId="5BB409C4">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sz w:val="32"/>
          <w:szCs w:val="32"/>
        </w:rPr>
        <w:t xml:space="preserve">2.3 </w:t>
      </w:r>
      <w:r>
        <w:rPr>
          <w:rFonts w:ascii="Times New Roman" w:hAnsi="Times New Roman" w:eastAsia="方正仿宋_GBK" w:cs="Times New Roman"/>
          <w:b/>
          <w:bCs/>
          <w:color w:val="000000"/>
          <w:sz w:val="32"/>
          <w:szCs w:val="32"/>
        </w:rPr>
        <w:t>项目总投资：</w:t>
      </w:r>
      <w:r>
        <w:rPr>
          <w:rFonts w:hint="eastAsia" w:ascii="Times New Roman" w:hAnsi="Times New Roman" w:eastAsia="方正仿宋_GBK" w:cs="Times New Roman"/>
          <w:color w:val="000000" w:themeColor="text1"/>
          <w:sz w:val="32"/>
          <w:szCs w:val="32"/>
          <w:highlight w:val="yellow"/>
          <w:lang w:val="en-US" w:eastAsia="zh-CN"/>
          <w14:textFill>
            <w14:solidFill>
              <w14:schemeClr w14:val="tx1"/>
            </w14:solidFill>
          </w14:textFill>
        </w:rPr>
        <w:t>同兴-攀枝花川滇智算中心</w:t>
      </w:r>
      <w:r>
        <w:rPr>
          <w:rFonts w:ascii="Times New Roman" w:hAnsi="Times New Roman" w:eastAsia="方正仿宋_GBK" w:cs="Times New Roman"/>
          <w:color w:val="000000"/>
          <w:sz w:val="32"/>
          <w:szCs w:val="32"/>
        </w:rPr>
        <w:t>由乙方及</w:t>
      </w:r>
      <w:r>
        <w:rPr>
          <w:rFonts w:hint="eastAsia" w:ascii="Times New Roman" w:hAnsi="Times New Roman" w:eastAsia="方正仿宋_GBK" w:cs="Times New Roman"/>
          <w:color w:val="000000"/>
          <w:sz w:val="32"/>
          <w:szCs w:val="32"/>
        </w:rPr>
        <w:t>乙方的</w:t>
      </w:r>
      <w:r>
        <w:rPr>
          <w:rFonts w:ascii="Times New Roman" w:hAnsi="Times New Roman" w:eastAsia="方正仿宋_GBK" w:cs="Times New Roman"/>
          <w:color w:val="000000"/>
          <w:sz w:val="32"/>
          <w:szCs w:val="32"/>
        </w:rPr>
        <w:t>生态合作伙伴共同投资</w:t>
      </w:r>
      <w:r>
        <w:rPr>
          <w:rFonts w:hint="eastAsia" w:ascii="Times New Roman" w:hAnsi="Times New Roman" w:eastAsia="方正仿宋_GBK" w:cs="Times New Roman"/>
          <w:color w:val="000000"/>
          <w:sz w:val="32"/>
          <w:szCs w:val="32"/>
          <w:lang w:val="en-US" w:eastAsia="zh-CN"/>
        </w:rPr>
        <w:t>建设</w:t>
      </w:r>
      <w:r>
        <w:rPr>
          <w:rFonts w:hint="eastAsia" w:ascii="Times New Roman" w:hAnsi="Times New Roman" w:eastAsia="方正仿宋_GBK" w:cs="Times New Roman"/>
          <w:color w:val="000000"/>
          <w:sz w:val="32"/>
          <w:szCs w:val="32"/>
          <w:highlight w:val="yellow"/>
          <w:lang w:val="en-US" w:eastAsia="zh-CN"/>
        </w:rPr>
        <w:t>200PFLOPS算力中心</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项目公司注册资本</w:t>
      </w:r>
      <w:r>
        <w:rPr>
          <w:rFonts w:hint="eastAsia" w:ascii="Times New Roman" w:hAnsi="Times New Roman" w:eastAsia="方正仿宋_GBK" w:cs="Times New Roman"/>
          <w:color w:val="000000"/>
          <w:sz w:val="32"/>
          <w:szCs w:val="32"/>
          <w:highlight w:val="yellow"/>
          <w:lang w:val="en-US" w:eastAsia="zh-CN"/>
        </w:rPr>
        <w:t>5</w:t>
      </w:r>
      <w:r>
        <w:rPr>
          <w:rFonts w:ascii="Times New Roman" w:hAnsi="Times New Roman" w:eastAsia="方正仿宋_GBK" w:cs="Times New Roman"/>
          <w:color w:val="000000"/>
          <w:sz w:val="32"/>
          <w:szCs w:val="32"/>
          <w:highlight w:val="yellow"/>
        </w:rPr>
        <w:t>00万元</w:t>
      </w:r>
      <w:r>
        <w:rPr>
          <w:rFonts w:ascii="Times New Roman" w:hAnsi="Times New Roman" w:eastAsia="方正仿宋_GBK" w:cs="Times New Roman"/>
          <w:color w:val="000000"/>
          <w:sz w:val="32"/>
          <w:szCs w:val="32"/>
        </w:rPr>
        <w:t>。</w:t>
      </w:r>
    </w:p>
    <w:p w14:paraId="24E79353">
      <w:pPr>
        <w:ind w:firstLine="643"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2.4 </w:t>
      </w:r>
      <w:r>
        <w:rPr>
          <w:rFonts w:ascii="Times New Roman" w:hAnsi="Times New Roman" w:eastAsia="方正仿宋_GBK" w:cs="Times New Roman"/>
          <w:b/>
          <w:bCs/>
          <w:color w:val="000000" w:themeColor="text1"/>
          <w:sz w:val="32"/>
          <w:szCs w:val="32"/>
          <w14:textFill>
            <w14:solidFill>
              <w14:schemeClr w14:val="tx1"/>
            </w14:solidFill>
          </w14:textFill>
        </w:rPr>
        <w:t>项目选址：</w:t>
      </w:r>
      <w:r>
        <w:rPr>
          <w:rFonts w:hint="eastAsia" w:ascii="Times New Roman" w:hAnsi="Times New Roman" w:eastAsia="方正仿宋_GBK" w:cs="Times New Roman"/>
          <w:color w:val="000000" w:themeColor="text1"/>
          <w:sz w:val="32"/>
          <w:szCs w:val="32"/>
          <w14:textFill>
            <w14:solidFill>
              <w14:schemeClr w14:val="tx1"/>
            </w14:solidFill>
          </w14:textFill>
        </w:rPr>
        <w:t>位于</w:t>
      </w:r>
      <w:r>
        <w:rPr>
          <w:rFonts w:ascii="Times New Roman" w:hAnsi="Times New Roman" w:eastAsia="方正仿宋_GBK" w:cs="Times New Roman"/>
          <w:color w:val="000000" w:themeColor="text1"/>
          <w:sz w:val="32"/>
          <w:szCs w:val="32"/>
          <w14:textFill>
            <w14:solidFill>
              <w14:schemeClr w14:val="tx1"/>
            </w14:solidFill>
          </w14:textFill>
        </w:rPr>
        <w:t>攀枝花市东区</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630B98F0">
      <w:pPr>
        <w:ind w:firstLine="643"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2.5 项目实施时间：</w:t>
      </w:r>
      <w:r>
        <w:rPr>
          <w:rFonts w:hint="eastAsia" w:ascii="Times New Roman" w:hAnsi="Times New Roman" w:eastAsia="方正仿宋_GBK" w:cs="Times New Roman"/>
          <w:color w:val="000000" w:themeColor="text1"/>
          <w:sz w:val="32"/>
          <w:szCs w:val="32"/>
          <w14:textFill>
            <w14:solidFill>
              <w14:schemeClr w14:val="tx1"/>
            </w14:solidFill>
          </w14:textFill>
        </w:rPr>
        <w:t>本协议签订之日起至2030年12月31日止，实施期满，双方可依据发展需要经协商一致后延长实施时间。</w:t>
      </w:r>
    </w:p>
    <w:p w14:paraId="4EF71B75">
      <w:pPr>
        <w:ind w:firstLine="643"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2.6 </w:t>
      </w:r>
      <w:r>
        <w:rPr>
          <w:rFonts w:ascii="Times New Roman" w:hAnsi="Times New Roman" w:eastAsia="方正仿宋_GBK" w:cs="Times New Roman"/>
          <w:b/>
          <w:bCs/>
          <w:color w:val="000000" w:themeColor="text1"/>
          <w:sz w:val="32"/>
          <w:szCs w:val="32"/>
          <w14:textFill>
            <w14:solidFill>
              <w14:schemeClr w14:val="tx1"/>
            </w14:solidFill>
          </w14:textFill>
        </w:rPr>
        <w:t>项目经济效益指标</w:t>
      </w:r>
      <w:r>
        <w:rPr>
          <w:rFonts w:hint="eastAsia" w:ascii="Times New Roman" w:hAnsi="Times New Roman" w:eastAsia="方正仿宋_GBK" w:cs="Times New Roman"/>
          <w:b/>
          <w:bCs/>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14:textFill>
            <w14:solidFill>
              <w14:schemeClr w14:val="tx1"/>
            </w14:solidFill>
          </w14:textFill>
        </w:rPr>
        <w:t>6</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20</w:t>
      </w:r>
      <w:r>
        <w:rPr>
          <w:rFonts w:hint="eastAsia" w:ascii="Times New Roman" w:hAnsi="Times New Roman" w:eastAsia="方正仿宋_GBK" w:cs="Times New Roman"/>
          <w:color w:val="000000" w:themeColor="text1"/>
          <w:sz w:val="32"/>
          <w:szCs w:val="32"/>
          <w14:textFill>
            <w14:solidFill>
              <w14:schemeClr w14:val="tx1"/>
            </w14:solidFill>
          </w14:textFill>
        </w:rPr>
        <w:t>30</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14:textFill>
            <w14:solidFill>
              <w14:schemeClr w14:val="tx1"/>
            </w14:solidFill>
          </w14:textFill>
        </w:rPr>
        <w:t>期间</w:t>
      </w:r>
      <w:r>
        <w:rPr>
          <w:rFonts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sz w:val="32"/>
          <w:szCs w:val="32"/>
        </w:rPr>
        <w:t>项目公司</w:t>
      </w:r>
      <w:r>
        <w:rPr>
          <w:rFonts w:ascii="Times New Roman" w:hAnsi="Times New Roman" w:eastAsia="方正仿宋_GBK" w:cs="Times New Roman"/>
          <w:color w:val="000000" w:themeColor="text1"/>
          <w:sz w:val="32"/>
          <w:szCs w:val="32"/>
          <w14:textFill>
            <w14:solidFill>
              <w14:schemeClr w14:val="tx1"/>
            </w14:solidFill>
          </w14:textFill>
        </w:rPr>
        <w:t>及生态合作伙伴）</w:t>
      </w:r>
      <w:r>
        <w:rPr>
          <w:rFonts w:hint="eastAsia" w:ascii="Times New Roman" w:hAnsi="Times New Roman" w:eastAsia="方正仿宋_GBK" w:cs="Times New Roman"/>
          <w:color w:val="000000" w:themeColor="text1"/>
          <w:sz w:val="32"/>
          <w:szCs w:val="32"/>
          <w14:textFill>
            <w14:solidFill>
              <w14:schemeClr w14:val="tx1"/>
            </w14:solidFill>
          </w14:textFill>
        </w:rPr>
        <w:t>自2026年开始，逐年</w:t>
      </w:r>
      <w:r>
        <w:rPr>
          <w:rFonts w:ascii="Times New Roman" w:hAnsi="Times New Roman" w:eastAsia="方正仿宋_GBK" w:cs="Times New Roman"/>
          <w:color w:val="000000" w:themeColor="text1"/>
          <w:sz w:val="32"/>
          <w:szCs w:val="32"/>
          <w14:textFill>
            <w14:solidFill>
              <w14:schemeClr w14:val="tx1"/>
            </w14:solidFill>
          </w14:textFill>
        </w:rPr>
        <w:t>年营业收入分别</w:t>
      </w:r>
      <w:r>
        <w:rPr>
          <w:rFonts w:ascii="Times New Roman" w:hAnsi="Times New Roman" w:eastAsia="方正仿宋_GBK" w:cs="Times New Roman"/>
          <w:color w:val="000000" w:themeColor="text1"/>
          <w:sz w:val="32"/>
          <w:szCs w:val="32"/>
          <w:highlight w:val="none"/>
          <w14:textFill>
            <w14:solidFill>
              <w14:schemeClr w14:val="tx1"/>
            </w14:solidFill>
          </w14:textFill>
        </w:rPr>
        <w:t>不低于0.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15</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0.2</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元；逐年</w:t>
      </w:r>
      <w:r>
        <w:rPr>
          <w:rFonts w:ascii="Times New Roman" w:hAnsi="Times New Roman" w:eastAsia="方正仿宋_GBK" w:cs="Times New Roman"/>
          <w:color w:val="000000" w:themeColor="text1"/>
          <w:sz w:val="32"/>
          <w:szCs w:val="32"/>
          <w:highlight w:val="none"/>
          <w14:textFill>
            <w14:solidFill>
              <w14:schemeClr w14:val="tx1"/>
            </w14:solidFill>
          </w14:textFill>
        </w:rPr>
        <w:t>年缴纳企业所得税、增值税</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税款</w:t>
      </w:r>
      <w:r>
        <w:rPr>
          <w:rFonts w:ascii="Times New Roman" w:hAnsi="Times New Roman" w:eastAsia="方正仿宋_GBK" w:cs="Times New Roman"/>
          <w:color w:val="000000" w:themeColor="text1"/>
          <w:sz w:val="32"/>
          <w:szCs w:val="32"/>
          <w:highlight w:val="none"/>
          <w14:textFill>
            <w14:solidFill>
              <w14:schemeClr w14:val="tx1"/>
            </w14:solidFill>
          </w14:textFill>
        </w:rPr>
        <w:t>之和分别不低于</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40</w:t>
      </w:r>
      <w:r>
        <w:rPr>
          <w:rFonts w:ascii="Times New Roman" w:hAnsi="Times New Roman" w:eastAsia="方正仿宋_GBK" w:cs="Times New Roman"/>
          <w:color w:val="000000" w:themeColor="text1"/>
          <w:sz w:val="32"/>
          <w:szCs w:val="32"/>
          <w:highlight w:val="none"/>
          <w14:textFill>
            <w14:solidFill>
              <w14:schemeClr w14:val="tx1"/>
            </w14:solidFill>
          </w14:textFill>
        </w:rPr>
        <w:t>万元，</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60</w:t>
      </w:r>
      <w:r>
        <w:rPr>
          <w:rFonts w:ascii="Times New Roman" w:hAnsi="Times New Roman" w:eastAsia="方正仿宋_GBK" w:cs="Times New Roman"/>
          <w:color w:val="000000" w:themeColor="text1"/>
          <w:sz w:val="32"/>
          <w:szCs w:val="32"/>
          <w:highlight w:val="none"/>
          <w14:textFill>
            <w14:solidFill>
              <w14:schemeClr w14:val="tx1"/>
            </w14:solidFill>
          </w14:textFill>
        </w:rPr>
        <w:t>万</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80</w:t>
      </w:r>
      <w:r>
        <w:rPr>
          <w:rFonts w:ascii="Times New Roman" w:hAnsi="Times New Roman" w:eastAsia="方正仿宋_GBK" w:cs="Times New Roman"/>
          <w:color w:val="000000" w:themeColor="text1"/>
          <w:sz w:val="32"/>
          <w:szCs w:val="32"/>
          <w:highlight w:val="none"/>
          <w14:textFill>
            <w14:solidFill>
              <w14:schemeClr w14:val="tx1"/>
            </w14:solidFill>
          </w14:textFill>
        </w:rPr>
        <w:t>万</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80</w:t>
      </w:r>
      <w:r>
        <w:rPr>
          <w:rFonts w:ascii="Times New Roman" w:hAnsi="Times New Roman" w:eastAsia="方正仿宋_GBK" w:cs="Times New Roman"/>
          <w:color w:val="000000" w:themeColor="text1"/>
          <w:sz w:val="32"/>
          <w:szCs w:val="32"/>
          <w:highlight w:val="none"/>
          <w14:textFill>
            <w14:solidFill>
              <w14:schemeClr w14:val="tx1"/>
            </w14:solidFill>
          </w14:textFill>
        </w:rPr>
        <w:t>万</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80</w:t>
      </w:r>
      <w:r>
        <w:rPr>
          <w:rFonts w:ascii="Times New Roman" w:hAnsi="Times New Roman" w:eastAsia="方正仿宋_GBK" w:cs="Times New Roman"/>
          <w:color w:val="000000" w:themeColor="text1"/>
          <w:sz w:val="32"/>
          <w:szCs w:val="32"/>
          <w:highlight w:val="none"/>
          <w14:textFill>
            <w14:solidFill>
              <w14:schemeClr w14:val="tx1"/>
            </w14:solidFill>
          </w14:textFill>
        </w:rPr>
        <w:t>万</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p>
    <w:p w14:paraId="78E54366">
      <w:pPr>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2.7</w:t>
      </w:r>
      <w:r>
        <w:rPr>
          <w:rFonts w:hint="eastAsia" w:ascii="Times New Roman" w:hAnsi="Times New Roman" w:eastAsia="方正仿宋_GBK" w:cs="Times New Roman"/>
          <w:b/>
          <w:bCs/>
          <w:sz w:val="32"/>
          <w:szCs w:val="32"/>
        </w:rPr>
        <w:t xml:space="preserve"> </w:t>
      </w:r>
      <w:r>
        <w:rPr>
          <w:rFonts w:hint="eastAsia" w:ascii="Times New Roman" w:hAnsi="Times New Roman" w:eastAsia="方正仿宋_GBK" w:cs="Times New Roman"/>
          <w:sz w:val="32"/>
          <w:szCs w:val="32"/>
        </w:rPr>
        <w:t>项目公司成立后，由项目公司承继本协议中乙方应履行的义务和享有相应的权利。乙方应为项目公司在本协议中约定的应履行义务承担连带保证责任，连带保证责任期间为自项目公司成立之日起至本协议约定的项目公司应履行的最后一项义务届满。</w:t>
      </w:r>
    </w:p>
    <w:p w14:paraId="0E578F7A">
      <w:pPr>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第三条 </w:t>
      </w:r>
      <w:r>
        <w:rPr>
          <w:rFonts w:ascii="Times New Roman" w:hAnsi="Times New Roman" w:eastAsia="方正黑体_GBK" w:cs="Times New Roman"/>
          <w:sz w:val="32"/>
          <w:szCs w:val="32"/>
        </w:rPr>
        <w:t>甲方</w:t>
      </w:r>
      <w:r>
        <w:rPr>
          <w:rFonts w:hint="eastAsia" w:ascii="Times New Roman" w:hAnsi="Times New Roman" w:eastAsia="方正黑体_GBK" w:cs="Times New Roman"/>
          <w:sz w:val="32"/>
          <w:szCs w:val="32"/>
        </w:rPr>
        <w:t>权利义务</w:t>
      </w:r>
    </w:p>
    <w:p w14:paraId="5027F2B1">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sz w:val="32"/>
          <w:szCs w:val="32"/>
        </w:rPr>
        <w:t xml:space="preserve">3.1 </w:t>
      </w:r>
      <w:r>
        <w:rPr>
          <w:rFonts w:ascii="Times New Roman" w:hAnsi="Times New Roman" w:eastAsia="方正仿宋_GBK" w:cs="Times New Roman"/>
          <w:sz w:val="32"/>
          <w:szCs w:val="32"/>
        </w:rPr>
        <w:t>根据国家相关法律法规的规定，甲方积极协助项目公司申请高新技术企业、技术先进型服务</w:t>
      </w:r>
      <w:r>
        <w:rPr>
          <w:rFonts w:ascii="Times New Roman" w:hAnsi="Times New Roman" w:eastAsia="方正仿宋_GBK" w:cs="Times New Roman"/>
          <w:color w:val="000000" w:themeColor="text1"/>
          <w:sz w:val="32"/>
          <w:szCs w:val="32"/>
          <w14:textFill>
            <w14:solidFill>
              <w14:schemeClr w14:val="tx1"/>
            </w14:solidFill>
          </w14:textFill>
        </w:rPr>
        <w:t>企业等认定。</w:t>
      </w:r>
    </w:p>
    <w:p w14:paraId="2796530F">
      <w:pPr>
        <w:ind w:firstLine="643"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3.2 </w:t>
      </w:r>
      <w:r>
        <w:rPr>
          <w:rFonts w:hint="eastAsia" w:ascii="Times New Roman" w:hAnsi="Times New Roman" w:eastAsia="方正仿宋_GBK" w:cs="Times New Roman"/>
          <w:color w:val="000000" w:themeColor="text1"/>
          <w:sz w:val="32"/>
          <w:szCs w:val="32"/>
          <w14:textFill>
            <w14:solidFill>
              <w14:schemeClr w14:val="tx1"/>
            </w14:solidFill>
          </w14:textFill>
        </w:rPr>
        <w:t>双方签订此协议后，</w:t>
      </w:r>
      <w:r>
        <w:rPr>
          <w:rFonts w:ascii="Times New Roman" w:hAnsi="Times New Roman" w:eastAsia="方正仿宋_GBK" w:cs="Times New Roman"/>
          <w:color w:val="000000" w:themeColor="text1"/>
          <w:sz w:val="32"/>
          <w:szCs w:val="32"/>
          <w14:textFill>
            <w14:solidFill>
              <w14:schemeClr w14:val="tx1"/>
            </w14:solidFill>
          </w14:textFill>
        </w:rPr>
        <w:t>积极协助项目公司根据国家、省、市产业扶持政策申请相关产业扶持专项资金支持。</w:t>
      </w:r>
    </w:p>
    <w:p w14:paraId="4CFD295C">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3.3 </w:t>
      </w:r>
      <w:r>
        <w:rPr>
          <w:rFonts w:hint="eastAsia" w:ascii="Times New Roman" w:hAnsi="Times New Roman" w:eastAsia="方正仿宋_GBK" w:cs="Times New Roman"/>
          <w:color w:val="000000" w:themeColor="text1"/>
          <w:sz w:val="32"/>
          <w:szCs w:val="32"/>
          <w14:textFill>
            <w14:solidFill>
              <w14:schemeClr w14:val="tx1"/>
            </w14:solidFill>
          </w14:textFill>
        </w:rPr>
        <w:t>鼓励支持</w:t>
      </w:r>
      <w:r>
        <w:rPr>
          <w:rFonts w:ascii="Times New Roman" w:hAnsi="Times New Roman" w:eastAsia="方正仿宋_GBK" w:cs="Times New Roman"/>
          <w:color w:val="000000" w:themeColor="text1"/>
          <w:sz w:val="32"/>
          <w:szCs w:val="32"/>
          <w14:textFill>
            <w14:solidFill>
              <w14:schemeClr w14:val="tx1"/>
            </w14:solidFill>
          </w14:textFill>
        </w:rPr>
        <w:t>当地教育机构与项目公司合作，为项目公司提供招聘、培训等全方位服务。</w:t>
      </w:r>
    </w:p>
    <w:p w14:paraId="5A2E166E">
      <w:pPr>
        <w:ind w:firstLine="643" w:firstLineChars="2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ascii="Times New Roman" w:hAnsi="Times New Roman" w:eastAsia="方正楷体_GBK" w:cs="Times New Roman"/>
          <w:b/>
          <w:bCs/>
          <w:color w:val="000000" w:themeColor="text1"/>
          <w:sz w:val="32"/>
          <w:szCs w:val="32"/>
          <w14:textFill>
            <w14:solidFill>
              <w14:schemeClr w14:val="tx1"/>
            </w14:solidFill>
          </w14:textFill>
        </w:rPr>
        <w:t>3.</w:t>
      </w:r>
      <w:r>
        <w:rPr>
          <w:rFonts w:hint="eastAsia" w:ascii="Times New Roman" w:hAnsi="Times New Roman" w:eastAsia="方正楷体_GBK" w:cs="Times New Roman"/>
          <w:b/>
          <w:bCs/>
          <w:color w:val="000000" w:themeColor="text1"/>
          <w:sz w:val="32"/>
          <w:szCs w:val="32"/>
          <w14:textFill>
            <w14:solidFill>
              <w14:schemeClr w14:val="tx1"/>
            </w14:solidFill>
          </w14:textFill>
        </w:rPr>
        <w:t>4</w:t>
      </w:r>
      <w:r>
        <w:rPr>
          <w:rFonts w:ascii="Times New Roman" w:hAnsi="Times New Roman" w:eastAsia="方正楷体_GBK" w:cs="Times New Roman"/>
          <w:b/>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积极策划应用场景并支持</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人工智能场景平台项目</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的立项（备案），明确在教育、科研、医疗、文旅、工业、城市（园区）运营管理等人工智能应用场景建设或升级的具体内容和具体需求，在合法合规的条件下，优先支持场景使用攀枝花本地智算中心算力</w:t>
      </w:r>
      <w:r>
        <w:rPr>
          <w:rFonts w:hint="eastAsia" w:ascii="Times New Roman" w:hAnsi="Times New Roman" w:eastAsia="方正仿宋_GBK" w:cs="Times New Roman"/>
          <w:color w:val="EE0000"/>
          <w:sz w:val="32"/>
          <w:szCs w:val="32"/>
        </w:rPr>
        <w:t>。</w:t>
      </w:r>
    </w:p>
    <w:p w14:paraId="11F22234">
      <w:pPr>
        <w:ind w:firstLine="643" w:firstLineChars="200"/>
        <w:rPr>
          <w:rFonts w:ascii="Times New Roman" w:hAnsi="Times New Roman" w:eastAsia="方正仿宋_GBK" w:cs="Times New Roman"/>
          <w:sz w:val="32"/>
          <w:szCs w:val="32"/>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3.5 </w:t>
      </w:r>
      <w:r>
        <w:rPr>
          <w:rFonts w:hint="eastAsia" w:ascii="Times New Roman" w:hAnsi="Times New Roman" w:eastAsia="方正仿宋_GBK" w:cs="Times New Roman"/>
          <w:color w:val="auto"/>
          <w:sz w:val="32"/>
          <w:szCs w:val="32"/>
        </w:rPr>
        <w:t>支持乙方依法依规通过公开竞争方式参与攀枝花市公立医院高质量发展项目建设。协调攀枝花市公立医院信息化建设相关项目依法依规采购和使用符合项目技术要求的本地智算中心算力资源。</w:t>
      </w:r>
    </w:p>
    <w:p w14:paraId="346EC036">
      <w:pPr>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rPr>
        <w:t xml:space="preserve">6 </w:t>
      </w:r>
      <w:r>
        <w:rPr>
          <w:rFonts w:hint="eastAsia" w:ascii="Times New Roman" w:hAnsi="Times New Roman" w:eastAsia="方正仿宋_GBK" w:cs="Times New Roman"/>
          <w:sz w:val="32"/>
          <w:szCs w:val="32"/>
        </w:rPr>
        <w:t>支持区属平台公司依法依规、按市场原则积极参与项目建设的合作，包括但不限于参与项目要素保障及产业发展。</w:t>
      </w:r>
    </w:p>
    <w:p w14:paraId="17D09702">
      <w:pPr>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 xml:space="preserve">第四条 </w:t>
      </w:r>
      <w:r>
        <w:rPr>
          <w:rFonts w:ascii="Times New Roman" w:hAnsi="Times New Roman" w:eastAsia="方正黑体_GBK" w:cs="Times New Roman"/>
          <w:color w:val="000000" w:themeColor="text1"/>
          <w:sz w:val="32"/>
          <w:szCs w:val="32"/>
          <w14:textFill>
            <w14:solidFill>
              <w14:schemeClr w14:val="tx1"/>
            </w14:solidFill>
          </w14:textFill>
        </w:rPr>
        <w:t>乙方</w:t>
      </w:r>
      <w:r>
        <w:rPr>
          <w:rFonts w:hint="eastAsia" w:ascii="Times New Roman" w:hAnsi="Times New Roman" w:eastAsia="方正黑体_GBK" w:cs="Times New Roman"/>
          <w:color w:val="000000" w:themeColor="text1"/>
          <w:sz w:val="32"/>
          <w:szCs w:val="32"/>
          <w14:textFill>
            <w14:solidFill>
              <w14:schemeClr w14:val="tx1"/>
            </w14:solidFill>
          </w14:textFill>
        </w:rPr>
        <w:t>权利义务</w:t>
      </w:r>
    </w:p>
    <w:p w14:paraId="383DF4D4">
      <w:pPr>
        <w:widowControl/>
        <w:ind w:firstLine="643"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4.1 </w:t>
      </w:r>
      <w:r>
        <w:rPr>
          <w:rFonts w:hint="eastAsia" w:ascii="Times New Roman" w:hAnsi="Times New Roman" w:eastAsia="方正仿宋_GBK" w:cs="Times New Roman"/>
          <w:color w:val="000000" w:themeColor="text1"/>
          <w:sz w:val="32"/>
          <w:szCs w:val="32"/>
          <w14:textFill>
            <w14:solidFill>
              <w14:schemeClr w14:val="tx1"/>
            </w14:solidFill>
          </w14:textFill>
        </w:rPr>
        <w:t>项目公司应具备履行本协议所需的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相关资源</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按照本协议的约定进行投</w:t>
      </w:r>
      <w:r>
        <w:rPr>
          <w:rFonts w:hint="eastAsia" w:ascii="Times New Roman" w:hAnsi="Times New Roman" w:eastAsia="方正仿宋_GBK" w:cs="Times New Roman"/>
          <w:color w:val="000000" w:themeColor="text1"/>
          <w:sz w:val="32"/>
          <w:szCs w:val="32"/>
          <w14:textFill>
            <w14:solidFill>
              <w14:schemeClr w14:val="tx1"/>
            </w14:solidFill>
          </w14:textFill>
        </w:rPr>
        <w:t>资</w:t>
      </w:r>
      <w:r>
        <w:rPr>
          <w:rFonts w:ascii="Times New Roman" w:hAnsi="Times New Roman" w:eastAsia="方正仿宋_GBK" w:cs="Times New Roman"/>
          <w:color w:val="000000" w:themeColor="text1"/>
          <w:sz w:val="32"/>
          <w:szCs w:val="32"/>
          <w14:textFill>
            <w14:solidFill>
              <w14:schemeClr w14:val="tx1"/>
            </w14:solidFill>
          </w14:textFill>
        </w:rPr>
        <w:t>、建设</w:t>
      </w:r>
      <w:r>
        <w:rPr>
          <w:rFonts w:hint="eastAsia" w:ascii="Times New Roman" w:hAnsi="Times New Roman" w:eastAsia="方正仿宋_GBK" w:cs="Times New Roman"/>
          <w:color w:val="000000" w:themeColor="text1"/>
          <w:sz w:val="32"/>
          <w:szCs w:val="32"/>
          <w14:textFill>
            <w14:solidFill>
              <w14:schemeClr w14:val="tx1"/>
            </w14:solidFill>
          </w14:textFill>
        </w:rPr>
        <w:t>和</w:t>
      </w:r>
      <w:r>
        <w:rPr>
          <w:rFonts w:ascii="Times New Roman" w:hAnsi="Times New Roman" w:eastAsia="方正仿宋_GBK" w:cs="Times New Roman"/>
          <w:color w:val="000000" w:themeColor="text1"/>
          <w:sz w:val="32"/>
          <w:szCs w:val="32"/>
          <w14:textFill>
            <w14:solidFill>
              <w14:schemeClr w14:val="tx1"/>
            </w14:solidFill>
          </w14:textFill>
        </w:rPr>
        <w:t>经营，并</w:t>
      </w:r>
      <w:r>
        <w:rPr>
          <w:rFonts w:hint="eastAsia" w:ascii="Times New Roman" w:hAnsi="Times New Roman" w:eastAsia="方正仿宋_GBK" w:cs="Times New Roman"/>
          <w:color w:val="000000" w:themeColor="text1"/>
          <w:sz w:val="32"/>
          <w:szCs w:val="32"/>
          <w14:textFill>
            <w14:solidFill>
              <w14:schemeClr w14:val="tx1"/>
            </w14:solidFill>
          </w14:textFill>
        </w:rPr>
        <w:t>完成</w:t>
      </w:r>
      <w:r>
        <w:rPr>
          <w:rFonts w:ascii="Times New Roman" w:hAnsi="Times New Roman" w:eastAsia="方正仿宋_GBK" w:cs="Times New Roman"/>
          <w:color w:val="000000" w:themeColor="text1"/>
          <w:sz w:val="32"/>
          <w:szCs w:val="32"/>
          <w14:textFill>
            <w14:solidFill>
              <w14:schemeClr w14:val="tx1"/>
            </w14:solidFill>
          </w14:textFill>
        </w:rPr>
        <w:t>第二条第</w:t>
      </w:r>
      <w:r>
        <w:rPr>
          <w:rFonts w:hint="eastAsia" w:ascii="Times New Roman" w:hAnsi="Times New Roman" w:eastAsia="方正仿宋_GBK" w:cs="Times New Roman"/>
          <w:color w:val="000000" w:themeColor="text1"/>
          <w:sz w:val="32"/>
          <w:szCs w:val="32"/>
          <w14:textFill>
            <w14:solidFill>
              <w14:schemeClr w14:val="tx1"/>
            </w14:solidFill>
          </w14:textFill>
        </w:rPr>
        <w:t>6</w:t>
      </w:r>
      <w:r>
        <w:rPr>
          <w:rFonts w:ascii="Times New Roman" w:hAnsi="Times New Roman" w:eastAsia="方正仿宋_GBK" w:cs="Times New Roman"/>
          <w:color w:val="000000" w:themeColor="text1"/>
          <w:sz w:val="32"/>
          <w:szCs w:val="32"/>
          <w14:textFill>
            <w14:solidFill>
              <w14:schemeClr w14:val="tx1"/>
            </w14:solidFill>
          </w14:textFill>
        </w:rPr>
        <w:t>款约定的经济效益指标。</w:t>
      </w:r>
    </w:p>
    <w:p w14:paraId="500C3A3E">
      <w:pPr>
        <w:widowControl/>
        <w:ind w:firstLine="643" w:firstLineChars="200"/>
        <w:rPr>
          <w:rFonts w:hint="eastAsia" w:eastAsiaTheme="minorEastAsia"/>
          <w:highlight w:val="yellow"/>
          <w:lang w:eastAsia="zh-CN"/>
        </w:rPr>
      </w:pPr>
      <w:r>
        <w:rPr>
          <w:rFonts w:ascii="Times New Roman" w:hAnsi="Times New Roman" w:eastAsia="方正仿宋_GBK" w:cs="Times New Roman"/>
          <w:b/>
          <w:bCs/>
          <w:color w:val="000000" w:themeColor="text1"/>
          <w:sz w:val="32"/>
          <w:szCs w:val="32"/>
          <w14:textFill>
            <w14:solidFill>
              <w14:schemeClr w14:val="tx1"/>
            </w14:solidFill>
          </w14:textFill>
        </w:rPr>
        <w:t>4.</w:t>
      </w:r>
      <w:r>
        <w:rPr>
          <w:rFonts w:hint="eastAsia" w:ascii="Times New Roman" w:hAnsi="Times New Roman" w:eastAsia="方正仿宋_GBK" w:cs="Times New Roman"/>
          <w:b/>
          <w:bCs/>
          <w:color w:val="000000" w:themeColor="text1"/>
          <w:sz w:val="32"/>
          <w:szCs w:val="32"/>
          <w14:textFill>
            <w14:solidFill>
              <w14:schemeClr w14:val="tx1"/>
            </w14:solidFill>
          </w14:textFill>
        </w:rPr>
        <w:t xml:space="preserve">2 </w:t>
      </w:r>
      <w:r>
        <w:rPr>
          <w:rFonts w:hint="eastAsia" w:ascii="Times New Roman" w:hAnsi="Times New Roman" w:eastAsia="方正仿宋_GBK" w:cs="Times New Roman"/>
          <w:color w:val="000000" w:themeColor="text1"/>
          <w:sz w:val="32"/>
          <w:szCs w:val="32"/>
          <w14:textFill>
            <w14:solidFill>
              <w14:schemeClr w14:val="tx1"/>
            </w14:solidFill>
          </w14:textFill>
        </w:rPr>
        <w:t>自</w:t>
      </w:r>
      <w:r>
        <w:rPr>
          <w:rFonts w:ascii="Times New Roman" w:hAnsi="Times New Roman" w:eastAsia="方正仿宋_GBK" w:cs="Times New Roman"/>
          <w:color w:val="000000" w:themeColor="text1"/>
          <w:sz w:val="32"/>
          <w:szCs w:val="32"/>
          <w14:textFill>
            <w14:solidFill>
              <w14:schemeClr w14:val="tx1"/>
            </w14:solidFill>
          </w14:textFill>
        </w:rPr>
        <w:t>本协议签署</w:t>
      </w:r>
      <w:r>
        <w:rPr>
          <w:rFonts w:hint="eastAsia" w:ascii="Times New Roman" w:hAnsi="Times New Roman" w:eastAsia="方正仿宋_GBK" w:cs="Times New Roman"/>
          <w:color w:val="000000" w:themeColor="text1"/>
          <w:sz w:val="32"/>
          <w:szCs w:val="32"/>
          <w14:textFill>
            <w14:solidFill>
              <w14:schemeClr w14:val="tx1"/>
            </w14:solidFill>
          </w14:textFill>
        </w:rPr>
        <w:t>之日起，3</w:t>
      </w:r>
      <w:r>
        <w:rPr>
          <w:rFonts w:ascii="Times New Roman" w:hAnsi="Times New Roman" w:eastAsia="方正仿宋_GBK" w:cs="Times New Roman"/>
          <w:color w:val="000000" w:themeColor="text1"/>
          <w:sz w:val="32"/>
          <w:szCs w:val="32"/>
          <w14:textFill>
            <w14:solidFill>
              <w14:schemeClr w14:val="tx1"/>
            </w14:solidFill>
          </w14:textFill>
        </w:rPr>
        <w:t>0日内完成其投资组建的项目公司的工商、税务注册登记手续</w:t>
      </w:r>
      <w:r>
        <w:rPr>
          <w:rFonts w:hint="eastAsia" w:ascii="Times New Roman" w:hAnsi="Times New Roman" w:eastAsia="方正仿宋_GBK" w:cs="Times New Roman"/>
          <w:color w:val="000000" w:themeColor="text1"/>
          <w:sz w:val="32"/>
          <w:szCs w:val="32"/>
          <w14:textFill>
            <w14:solidFill>
              <w14:schemeClr w14:val="tx1"/>
            </w14:solidFill>
          </w14:textFill>
        </w:rPr>
        <w:t>、60</w:t>
      </w:r>
      <w:r>
        <w:rPr>
          <w:rFonts w:ascii="Times New Roman" w:hAnsi="Times New Roman" w:eastAsia="方正仿宋_GBK" w:cs="Times New Roman"/>
          <w:color w:val="000000" w:themeColor="text1"/>
          <w:sz w:val="32"/>
          <w:szCs w:val="32"/>
          <w14:textFill>
            <w14:solidFill>
              <w14:schemeClr w14:val="tx1"/>
            </w14:solidFill>
          </w14:textFill>
        </w:rPr>
        <w:t>日内完成</w:t>
      </w:r>
      <w:r>
        <w:rPr>
          <w:rFonts w:hint="eastAsia" w:ascii="Times New Roman" w:hAnsi="Times New Roman" w:eastAsia="方正仿宋_GBK" w:cs="Times New Roman"/>
          <w:color w:val="000000" w:themeColor="text1"/>
          <w:sz w:val="32"/>
          <w:szCs w:val="32"/>
          <w14:textFill>
            <w14:solidFill>
              <w14:schemeClr w14:val="tx1"/>
            </w14:solidFill>
          </w14:textFill>
        </w:rPr>
        <w:t>实缴注册资本金100万元</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C00000"/>
          <w:sz w:val="32"/>
          <w:szCs w:val="32"/>
          <w:lang w:val="en-US" w:eastAsia="zh-CN"/>
        </w:rPr>
        <w:t>同兴-攀枝花川滇</w:t>
      </w:r>
      <w:r>
        <w:rPr>
          <w:rFonts w:ascii="Times New Roman" w:hAnsi="Times New Roman" w:eastAsia="方正仿宋_GBK" w:cs="Times New Roman"/>
          <w:color w:val="C00000"/>
          <w:sz w:val="32"/>
          <w:szCs w:val="32"/>
        </w:rPr>
        <w:t>智算中心</w:t>
      </w:r>
      <w:r>
        <w:rPr>
          <w:rFonts w:hint="eastAsia" w:ascii="Times New Roman" w:hAnsi="Times New Roman" w:eastAsia="方正仿宋_GBK" w:cs="Times New Roman"/>
          <w:color w:val="000000" w:themeColor="text1"/>
          <w:sz w:val="32"/>
          <w:szCs w:val="32"/>
          <w14:textFill>
            <w14:solidFill>
              <w14:schemeClr w14:val="tx1"/>
            </w14:solidFill>
          </w14:textFill>
        </w:rPr>
        <w:t>在2025年12月31日之前点亮不低于50PFLOPS算力，</w:t>
      </w:r>
      <w:r>
        <w:rPr>
          <w:rFonts w:hint="eastAsia" w:ascii="Times New Roman" w:hAnsi="Times New Roman" w:eastAsia="方正仿宋_GBK" w:cs="Times New Roman"/>
          <w:color w:val="000000" w:themeColor="text1"/>
          <w:sz w:val="32"/>
          <w:szCs w:val="32"/>
          <w:highlight w:val="yellow"/>
          <w:lang w:val="en-US" w:eastAsia="zh-CN"/>
          <w14:textFill>
            <w14:solidFill>
              <w14:schemeClr w14:val="tx1"/>
            </w14:solidFill>
          </w14:textFill>
        </w:rPr>
        <w:t>在第三方完成机房交付的基础上，应于2026年6月30日前完成200PFLOPS算力中心基础设施建设，并使其投入运营。</w:t>
      </w:r>
    </w:p>
    <w:p w14:paraId="467248F6">
      <w:pPr>
        <w:widowControl/>
        <w:ind w:firstLine="643"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b/>
          <w:bCs/>
          <w:color w:val="000000" w:themeColor="text1"/>
          <w:sz w:val="32"/>
          <w:szCs w:val="32"/>
          <w14:textFill>
            <w14:solidFill>
              <w14:schemeClr w14:val="tx1"/>
            </w14:solidFill>
          </w14:textFill>
        </w:rPr>
        <w:t xml:space="preserve">4.3 </w:t>
      </w:r>
      <w:r>
        <w:rPr>
          <w:rFonts w:hint="eastAsia" w:ascii="Times New Roman" w:hAnsi="Times New Roman" w:eastAsia="方正仿宋_GBK" w:cs="Times New Roman"/>
          <w:color w:val="000000" w:themeColor="text1"/>
          <w:sz w:val="32"/>
          <w:szCs w:val="32"/>
          <w14:textFill>
            <w14:solidFill>
              <w14:schemeClr w14:val="tx1"/>
            </w14:solidFill>
          </w14:textFill>
        </w:rPr>
        <w:t>积极推动攀枝</w:t>
      </w:r>
      <w:r>
        <w:rPr>
          <w:rFonts w:hint="eastAsia" w:ascii="Times New Roman" w:hAnsi="Times New Roman" w:eastAsia="方正仿宋_GBK" w:cs="Times New Roman"/>
          <w:sz w:val="32"/>
          <w:szCs w:val="32"/>
        </w:rPr>
        <w:t>花市外企业用户使用攀枝花智算中心算力，在甲方、乙方及相关方的共同参与下，实现智算中心正常运营，并在2028年视智算中心算力使用情况合理规划智算中心扩容事宜。</w:t>
      </w:r>
    </w:p>
    <w:p w14:paraId="458F7626">
      <w:pPr>
        <w:widowControl/>
        <w:ind w:firstLine="643"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 xml:space="preserve">4.4 </w:t>
      </w:r>
      <w:r>
        <w:rPr>
          <w:rFonts w:hint="eastAsia" w:ascii="Times New Roman" w:hAnsi="Times New Roman" w:eastAsia="方正仿宋_GBK" w:cs="Times New Roman"/>
          <w:sz w:val="32"/>
          <w:szCs w:val="32"/>
        </w:rPr>
        <w:t>积极参与甲方</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十五五</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人工智能产业发展专项规划编制</w:t>
      </w:r>
      <w:r>
        <w:rPr>
          <w:rFonts w:hint="eastAsia" w:ascii="Times New Roman" w:hAnsi="Times New Roman" w:eastAsia="方正仿宋_GBK" w:cs="Times New Roman"/>
          <w:sz w:val="32"/>
          <w:szCs w:val="32"/>
        </w:rPr>
        <w:t>，研究甲方人工智能</w:t>
      </w:r>
      <w:r>
        <w:rPr>
          <w:rFonts w:ascii="Times New Roman" w:hAnsi="Times New Roman" w:eastAsia="方正仿宋_GBK" w:cs="Times New Roman"/>
          <w:sz w:val="32"/>
          <w:szCs w:val="32"/>
        </w:rPr>
        <w:t>产业发展路径</w:t>
      </w:r>
      <w:r>
        <w:rPr>
          <w:rFonts w:hint="eastAsia" w:ascii="Times New Roman" w:hAnsi="Times New Roman" w:eastAsia="方正仿宋_GBK" w:cs="Times New Roman"/>
          <w:sz w:val="32"/>
          <w:szCs w:val="32"/>
        </w:rPr>
        <w:t>和产业布局，</w:t>
      </w:r>
      <w:r>
        <w:rPr>
          <w:rFonts w:hint="eastAsia" w:ascii="Times New Roman" w:hAnsi="Times New Roman" w:eastAsia="方正仿宋_GBK" w:cs="Times New Roman"/>
          <w:color w:val="000000" w:themeColor="text1"/>
          <w:sz w:val="32"/>
          <w:szCs w:val="32"/>
          <w14:textFill>
            <w14:solidFill>
              <w14:schemeClr w14:val="tx1"/>
            </w14:solidFill>
          </w14:textFill>
        </w:rPr>
        <w:t>结合乙方及乙方生态合作伙伴资源优势</w:t>
      </w:r>
      <w:r>
        <w:rPr>
          <w:rFonts w:hint="eastAsia" w:ascii="Times New Roman" w:hAnsi="Times New Roman" w:eastAsia="方正仿宋_GBK" w:cs="Times New Roman"/>
          <w:sz w:val="32"/>
          <w:szCs w:val="32"/>
        </w:rPr>
        <w:t>，梳理重大事项和重点项目充实</w:t>
      </w:r>
      <w:r>
        <w:rPr>
          <w:rFonts w:ascii="Times New Roman" w:hAnsi="Times New Roman" w:eastAsia="方正仿宋_GBK" w:cs="Times New Roman"/>
          <w:sz w:val="32"/>
          <w:szCs w:val="32"/>
        </w:rPr>
        <w:t>专项规划</w:t>
      </w:r>
      <w:r>
        <w:rPr>
          <w:rFonts w:hint="eastAsia" w:ascii="Times New Roman" w:hAnsi="Times New Roman" w:eastAsia="方正仿宋_GBK" w:cs="Times New Roman"/>
          <w:sz w:val="32"/>
          <w:szCs w:val="32"/>
        </w:rPr>
        <w:t>。</w:t>
      </w:r>
    </w:p>
    <w:p w14:paraId="2BB46526">
      <w:pPr>
        <w:ind w:firstLine="643" w:firstLineChars="200"/>
        <w:rPr>
          <w:rFonts w:ascii="Times New Roman" w:hAnsi="Times New Roman" w:eastAsia="方正仿宋_GBK" w:cs="Times New Roman"/>
          <w:sz w:val="32"/>
          <w:szCs w:val="32"/>
        </w:rPr>
      </w:pPr>
      <w:r>
        <w:rPr>
          <w:rFonts w:hint="eastAsia" w:ascii="Times New Roman" w:hAnsi="Times New Roman" w:eastAsia="方正楷体_GBK" w:cs="Times New Roman"/>
          <w:b/>
          <w:bCs/>
          <w:sz w:val="32"/>
          <w:szCs w:val="32"/>
        </w:rPr>
        <w:t xml:space="preserve">4.5 </w:t>
      </w:r>
      <w:r>
        <w:rPr>
          <w:rFonts w:ascii="Times New Roman" w:hAnsi="Times New Roman" w:eastAsia="方正仿宋_GBK" w:cs="Times New Roman"/>
          <w:sz w:val="32"/>
          <w:szCs w:val="32"/>
        </w:rPr>
        <w:t>确保在攀枝花投入的项目全部使用国产芯片</w:t>
      </w:r>
      <w:r>
        <w:rPr>
          <w:rFonts w:hint="eastAsia" w:ascii="Times New Roman" w:hAnsi="Times New Roman" w:eastAsia="方正仿宋_GBK" w:cs="Times New Roman"/>
          <w:sz w:val="32"/>
          <w:szCs w:val="32"/>
        </w:rPr>
        <w:t>，算力中心、大模型研发等项目应</w:t>
      </w:r>
      <w:r>
        <w:rPr>
          <w:rFonts w:ascii="Times New Roman" w:hAnsi="Times New Roman" w:eastAsia="方正仿宋_GBK" w:cs="Times New Roman"/>
          <w:sz w:val="32"/>
          <w:szCs w:val="32"/>
        </w:rPr>
        <w:t>拥有国内领先的技术水平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技术参数不得低于</w:t>
      </w:r>
      <w:r>
        <w:rPr>
          <w:rFonts w:hint="eastAsia" w:ascii="Times New Roman" w:hAnsi="Times New Roman" w:eastAsia="方正仿宋_GBK" w:cs="Times New Roman"/>
          <w:sz w:val="32"/>
          <w:szCs w:val="32"/>
        </w:rPr>
        <w:t>相关</w:t>
      </w:r>
      <w:r>
        <w:rPr>
          <w:rFonts w:ascii="Times New Roman" w:hAnsi="Times New Roman" w:eastAsia="方正仿宋_GBK" w:cs="Times New Roman"/>
          <w:sz w:val="32"/>
          <w:szCs w:val="32"/>
        </w:rPr>
        <w:t>国家标准或行业标准的技术要求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，所有技术拥有自主知识产权。</w:t>
      </w:r>
    </w:p>
    <w:p w14:paraId="0B147EFD">
      <w:pPr>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4</w:t>
      </w:r>
      <w:r>
        <w:rPr>
          <w:rFonts w:ascii="Times New Roman" w:hAnsi="Times New Roman" w:eastAsia="方正仿宋_GBK" w:cs="Times New Roman"/>
          <w:b/>
          <w:sz w:val="32"/>
          <w:szCs w:val="32"/>
        </w:rPr>
        <w:t>.</w:t>
      </w:r>
      <w:r>
        <w:rPr>
          <w:rFonts w:hint="eastAsia" w:ascii="Times New Roman" w:hAnsi="Times New Roman" w:eastAsia="方正仿宋_GBK" w:cs="Times New Roman"/>
          <w:b/>
          <w:sz w:val="32"/>
          <w:szCs w:val="32"/>
        </w:rPr>
        <w:t>6</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遵守国家数据安全相关法律法规</w:t>
      </w:r>
      <w:r>
        <w:rPr>
          <w:rFonts w:ascii="Times New Roman" w:hAnsi="Times New Roman" w:eastAsia="方正仿宋_GBK" w:cs="Times New Roman"/>
          <w:sz w:val="32"/>
          <w:szCs w:val="32"/>
        </w:rPr>
        <w:t>。</w:t>
      </w:r>
    </w:p>
    <w:p w14:paraId="2C5867A9">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第五条 免责条款</w:t>
      </w:r>
    </w:p>
    <w:p w14:paraId="568D7744">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5</w:t>
      </w:r>
      <w:r>
        <w:rPr>
          <w:rFonts w:ascii="Times New Roman" w:hAnsi="Times New Roman" w:eastAsia="方正仿宋_GBK" w:cs="Times New Roman"/>
          <w:b/>
          <w:bCs/>
          <w:color w:val="000000" w:themeColor="text1"/>
          <w:sz w:val="32"/>
          <w:szCs w:val="32"/>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 xml:space="preserve"> 甲乙双方任何一方如遇不可抗力或国家战略需要造成本协议部分或全部不能履行，可以免除责任。但甲乙双方均应采取一切必要补救措施防止损失扩大。</w:t>
      </w:r>
    </w:p>
    <w:p w14:paraId="0C254060">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5</w:t>
      </w:r>
      <w:r>
        <w:rPr>
          <w:rFonts w:ascii="Times New Roman" w:hAnsi="Times New Roman" w:eastAsia="方正仿宋_GBK" w:cs="Times New Roman"/>
          <w:b/>
          <w:bCs/>
          <w:color w:val="000000" w:themeColor="text1"/>
          <w:sz w:val="32"/>
          <w:szCs w:val="32"/>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 xml:space="preserve"> 遇有不可抗力的一方，应在不可抗力发生后15日内将不可抗力的情况以书面的形式通知对方，并在不可抗力发生后3</w:t>
      </w:r>
      <w:r>
        <w:rPr>
          <w:rFonts w:hint="eastAsia" w:ascii="Times New Roman" w:hAnsi="Times New Roman" w:eastAsia="方正仿宋_GBK" w:cs="Times New Roman"/>
          <w:color w:val="000000" w:themeColor="text1"/>
          <w:sz w:val="32"/>
          <w:szCs w:val="32"/>
          <w14:textFill>
            <w14:solidFill>
              <w14:schemeClr w14:val="tx1"/>
            </w14:solidFill>
          </w14:textFill>
        </w:rPr>
        <w:t>0</w:t>
      </w:r>
      <w:r>
        <w:rPr>
          <w:rFonts w:ascii="Times New Roman" w:hAnsi="Times New Roman" w:eastAsia="方正仿宋_GBK" w:cs="Times New Roman"/>
          <w:color w:val="000000" w:themeColor="text1"/>
          <w:sz w:val="32"/>
          <w:szCs w:val="32"/>
          <w14:textFill>
            <w14:solidFill>
              <w14:schemeClr w14:val="tx1"/>
            </w14:solidFill>
          </w14:textFill>
        </w:rPr>
        <w:t>日内，向对方提交本协议部分或全部不能履行或需要延期履行的报告及相关印证资料。</w:t>
      </w:r>
    </w:p>
    <w:p w14:paraId="0C236018">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第六条 违约责任</w:t>
      </w:r>
    </w:p>
    <w:p w14:paraId="442A3B8E">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6</w:t>
      </w:r>
      <w:r>
        <w:rPr>
          <w:rFonts w:ascii="Times New Roman" w:hAnsi="Times New Roman" w:eastAsia="方正仿宋_GBK" w:cs="Times New Roman"/>
          <w:b/>
          <w:bCs/>
          <w:color w:val="000000" w:themeColor="text1"/>
          <w:sz w:val="32"/>
          <w:szCs w:val="32"/>
          <w14:textFill>
            <w14:solidFill>
              <w14:schemeClr w14:val="tx1"/>
            </w14:solidFill>
          </w14:textFill>
        </w:rPr>
        <w:t xml:space="preserve">.1 </w:t>
      </w:r>
      <w:r>
        <w:rPr>
          <w:rFonts w:ascii="Times New Roman" w:hAnsi="Times New Roman" w:eastAsia="方正仿宋_GBK" w:cs="Times New Roman"/>
          <w:color w:val="000000" w:themeColor="text1"/>
          <w:sz w:val="32"/>
          <w:szCs w:val="32"/>
          <w14:textFill>
            <w14:solidFill>
              <w14:schemeClr w14:val="tx1"/>
            </w14:solidFill>
          </w14:textFill>
        </w:rPr>
        <w:t>在项目满足正常推进情况及条件下，若因甲方过错导致项目建设及运营停止或终止，给乙方造成</w:t>
      </w:r>
      <w:r>
        <w:rPr>
          <w:rFonts w:hint="eastAsia" w:ascii="Times New Roman" w:hAnsi="Times New Roman" w:eastAsia="方正仿宋_GBK" w:cs="Times New Roman"/>
          <w:color w:val="000000" w:themeColor="text1"/>
          <w:sz w:val="32"/>
          <w:szCs w:val="32"/>
          <w14:textFill>
            <w14:solidFill>
              <w14:schemeClr w14:val="tx1"/>
            </w14:solidFill>
          </w14:textFill>
        </w:rPr>
        <w:t>实际损失</w:t>
      </w:r>
      <w:r>
        <w:rPr>
          <w:rFonts w:ascii="Times New Roman" w:hAnsi="Times New Roman" w:eastAsia="方正仿宋_GBK" w:cs="Times New Roman"/>
          <w:color w:val="000000" w:themeColor="text1"/>
          <w:sz w:val="32"/>
          <w:szCs w:val="32"/>
          <w14:textFill>
            <w14:solidFill>
              <w14:schemeClr w14:val="tx1"/>
            </w14:solidFill>
          </w14:textFill>
        </w:rPr>
        <w:t>的，甲方应承担相应违约责任。</w:t>
      </w:r>
    </w:p>
    <w:p w14:paraId="6674FF6C">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6.</w:t>
      </w:r>
      <w:r>
        <w:rPr>
          <w:rFonts w:ascii="Times New Roman" w:hAnsi="Times New Roman" w:eastAsia="方正仿宋_GBK" w:cs="Times New Roman"/>
          <w:b/>
          <w:bCs/>
          <w:color w:val="000000" w:themeColor="text1"/>
          <w:sz w:val="32"/>
          <w:szCs w:val="32"/>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 xml:space="preserve"> 在项目满足正常推进情况及条件下，若因乙方原因导致项目建设及运营停止或终止，未履行相应义务给甲方造成不良影响</w:t>
      </w:r>
      <w:r>
        <w:rPr>
          <w:rFonts w:hint="eastAsia" w:ascii="Times New Roman" w:hAnsi="Times New Roman" w:eastAsia="方正仿宋_GBK" w:cs="Times New Roman"/>
          <w:color w:val="000000" w:themeColor="text1"/>
          <w:sz w:val="32"/>
          <w:szCs w:val="32"/>
          <w14:textFill>
            <w14:solidFill>
              <w14:schemeClr w14:val="tx1"/>
            </w14:solidFill>
          </w14:textFill>
        </w:rPr>
        <w:t>或损失</w:t>
      </w:r>
      <w:r>
        <w:rPr>
          <w:rFonts w:ascii="Times New Roman" w:hAnsi="Times New Roman" w:eastAsia="方正仿宋_GBK" w:cs="Times New Roman"/>
          <w:color w:val="000000" w:themeColor="text1"/>
          <w:sz w:val="32"/>
          <w:szCs w:val="32"/>
          <w14:textFill>
            <w14:solidFill>
              <w14:schemeClr w14:val="tx1"/>
            </w14:solidFill>
          </w14:textFill>
        </w:rPr>
        <w:t>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乙</w:t>
      </w:r>
      <w:r>
        <w:rPr>
          <w:rFonts w:ascii="Times New Roman" w:hAnsi="Times New Roman" w:eastAsia="方正仿宋_GBK" w:cs="Times New Roman"/>
          <w:color w:val="000000" w:themeColor="text1"/>
          <w:sz w:val="32"/>
          <w:szCs w:val="32"/>
          <w14:textFill>
            <w14:solidFill>
              <w14:schemeClr w14:val="tx1"/>
            </w14:solidFill>
          </w14:textFill>
        </w:rPr>
        <w:t>方应承担相应违约责任。</w:t>
      </w:r>
    </w:p>
    <w:p w14:paraId="3F42F5B8">
      <w:pPr>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 xml:space="preserve">6.3 </w:t>
      </w:r>
      <w:r>
        <w:rPr>
          <w:rFonts w:hint="eastAsia" w:ascii="Times New Roman" w:hAnsi="Times New Roman" w:eastAsia="方正仿宋_GBK" w:cs="Times New Roman"/>
          <w:sz w:val="32"/>
          <w:szCs w:val="32"/>
        </w:rPr>
        <w:t>若乙方违反数据安全义务条款，应承担相应的损害赔偿和法律责任。</w:t>
      </w:r>
    </w:p>
    <w:p w14:paraId="06D96226">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第七条 协议解除</w:t>
      </w:r>
    </w:p>
    <w:p w14:paraId="5C96F829">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7.1</w:t>
      </w:r>
      <w:r>
        <w:rPr>
          <w:rFonts w:ascii="Times New Roman" w:hAnsi="Times New Roman" w:eastAsia="方正仿宋_GBK" w:cs="Times New Roman"/>
          <w:color w:val="000000" w:themeColor="text1"/>
          <w:sz w:val="32"/>
          <w:szCs w:val="32"/>
          <w14:textFill>
            <w14:solidFill>
              <w14:schemeClr w14:val="tx1"/>
            </w14:solidFill>
          </w14:textFill>
        </w:rPr>
        <w:t xml:space="preserve"> 若双方权利义务履行完毕，本协议自动解除。</w:t>
      </w:r>
    </w:p>
    <w:p w14:paraId="2B96B4BF">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第八条 争议解决</w:t>
      </w:r>
    </w:p>
    <w:p w14:paraId="4FA0C480">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8.1 </w:t>
      </w:r>
      <w:r>
        <w:rPr>
          <w:rFonts w:ascii="Times New Roman" w:hAnsi="Times New Roman" w:eastAsia="方正仿宋_GBK" w:cs="Times New Roman"/>
          <w:color w:val="000000" w:themeColor="text1"/>
          <w:sz w:val="32"/>
          <w:szCs w:val="32"/>
          <w14:textFill>
            <w14:solidFill>
              <w14:schemeClr w14:val="tx1"/>
            </w14:solidFill>
          </w14:textFill>
        </w:rPr>
        <w:t>双方同意本协议按照中华人民共和国法律来解释，由本协议引起或与本协议有关的任何争议须按中华人民共和国法律解决。</w:t>
      </w:r>
    </w:p>
    <w:p w14:paraId="659F366B">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8.2 </w:t>
      </w:r>
      <w:r>
        <w:rPr>
          <w:rFonts w:ascii="Times New Roman" w:hAnsi="Times New Roman" w:eastAsia="方正仿宋_GBK" w:cs="Times New Roman"/>
          <w:color w:val="000000" w:themeColor="text1"/>
          <w:sz w:val="32"/>
          <w:szCs w:val="32"/>
          <w14:textFill>
            <w14:solidFill>
              <w14:schemeClr w14:val="tx1"/>
            </w14:solidFill>
          </w14:textFill>
        </w:rPr>
        <w:t>因执行本协议发生争议，由争议各方协商解决，协商不</w:t>
      </w:r>
      <w:r>
        <w:rPr>
          <w:rFonts w:hint="eastAsia" w:ascii="Times New Roman" w:hAnsi="Times New Roman" w:eastAsia="方正仿宋_GBK" w:cs="Times New Roman"/>
          <w:color w:val="000000" w:themeColor="text1"/>
          <w:sz w:val="32"/>
          <w:szCs w:val="32"/>
          <w14:textFill>
            <w14:solidFill>
              <w14:schemeClr w14:val="tx1"/>
            </w14:solidFill>
          </w14:textFill>
        </w:rPr>
        <w:t>成，</w:t>
      </w:r>
      <w:r>
        <w:rPr>
          <w:rFonts w:hint="eastAsia" w:ascii="Times New Roman" w:hAnsi="Times New Roman" w:eastAsia="方正仿宋_GBK" w:cs="Times New Roman"/>
          <w:color w:val="000000" w:themeColor="text1"/>
          <w:sz w:val="32"/>
          <w:szCs w:val="32"/>
          <w:highlight w:val="yellow"/>
          <w14:textFill>
            <w14:solidFill>
              <w14:schemeClr w14:val="tx1"/>
            </w14:solidFill>
          </w14:textFill>
        </w:rPr>
        <w:t>由</w:t>
      </w:r>
      <w:r>
        <w:rPr>
          <w:rFonts w:hint="eastAsia" w:ascii="Times New Roman" w:hAnsi="Times New Roman" w:eastAsia="方正仿宋_GBK" w:cs="Times New Roman"/>
          <w:color w:val="000000" w:themeColor="text1"/>
          <w:sz w:val="32"/>
          <w:szCs w:val="32"/>
          <w:highlight w:val="yellow"/>
          <w:lang w:val="en-US" w:eastAsia="zh-CN"/>
          <w14:textFill>
            <w14:solidFill>
              <w14:schemeClr w14:val="tx1"/>
            </w14:solidFill>
          </w14:textFill>
        </w:rPr>
        <w:t>原告</w:t>
      </w:r>
      <w:r>
        <w:rPr>
          <w:rFonts w:hint="eastAsia" w:ascii="Times New Roman" w:hAnsi="Times New Roman" w:eastAsia="方正仿宋_GBK" w:cs="Times New Roman"/>
          <w:color w:val="000000" w:themeColor="text1"/>
          <w:sz w:val="32"/>
          <w:szCs w:val="32"/>
          <w:highlight w:val="yellow"/>
          <w14:textFill>
            <w14:solidFill>
              <w14:schemeClr w14:val="tx1"/>
            </w14:solidFill>
          </w14:textFill>
        </w:rPr>
        <w:t>所在地具有管辖权的人民法院管辖</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27F7917F">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第九条 其他事项</w:t>
      </w:r>
    </w:p>
    <w:p w14:paraId="5F957AD2">
      <w:pPr>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highlight w:val="none"/>
          <w14:textFill>
            <w14:solidFill>
              <w14:schemeClr w14:val="tx1"/>
            </w14:solidFill>
          </w14:textFill>
        </w:rPr>
        <w:t>9.1</w:t>
      </w:r>
      <w:r>
        <w:rPr>
          <w:rFonts w:hint="eastAsia" w:ascii="Times New Roman" w:hAnsi="Times New Roman" w:eastAsia="方正楷体_GBK" w:cs="Times New Roman"/>
          <w:b w:val="0"/>
          <w:bCs w:val="0"/>
          <w:color w:val="000000" w:themeColor="text1"/>
          <w:sz w:val="32"/>
          <w:szCs w:val="32"/>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本协议签订后，甲乙双方应严格履行本协议所规定的各项条款，不得擅自变更或解除。</w:t>
      </w:r>
    </w:p>
    <w:p w14:paraId="1C3CFF22">
      <w:pPr>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highlight w:val="none"/>
          <w:lang w:val="en-US" w:eastAsia="zh-CN"/>
          <w14:textFill>
            <w14:solidFill>
              <w14:schemeClr w14:val="tx1"/>
            </w14:solidFill>
          </w14:textFill>
        </w:rPr>
        <w:t>9.2</w:t>
      </w:r>
      <w:r>
        <w:rPr>
          <w:rFonts w:hint="eastAsia" w:ascii="Times New Roman" w:hAnsi="Times New Roman" w:eastAsia="方正仿宋_GBK" w:cs="Times New Roman"/>
          <w:color w:val="000000" w:themeColor="text1"/>
          <w:sz w:val="32"/>
          <w:szCs w:val="32"/>
          <w:highlight w:val="yellow"/>
          <w14:textFill>
            <w14:solidFill>
              <w14:schemeClr w14:val="tx1"/>
            </w14:solidFill>
          </w14:textFill>
        </w:rPr>
        <w:t>因不可抗力或非乙方原因</w:t>
      </w:r>
      <w:r>
        <w:rPr>
          <w:rFonts w:hint="eastAsia" w:ascii="Times New Roman" w:hAnsi="Times New Roman" w:eastAsia="方正仿宋_GBK" w:cs="Times New Roman"/>
          <w:color w:val="000000" w:themeColor="text1"/>
          <w:sz w:val="32"/>
          <w:szCs w:val="32"/>
          <w:highlight w:val="yellow"/>
          <w:lang w:val="en-US" w:eastAsia="zh-CN"/>
          <w14:textFill>
            <w14:solidFill>
              <w14:schemeClr w14:val="tx1"/>
            </w14:solidFill>
          </w14:textFill>
        </w:rPr>
        <w:t>未在约定时间</w:t>
      </w:r>
      <w:r>
        <w:rPr>
          <w:rFonts w:hint="eastAsia" w:ascii="Times New Roman" w:hAnsi="Times New Roman" w:eastAsia="方正仿宋_GBK" w:cs="Times New Roman"/>
          <w:color w:val="000000" w:themeColor="text1"/>
          <w:sz w:val="32"/>
          <w:szCs w:val="32"/>
          <w:highlight w:val="yellow"/>
          <w14:textFill>
            <w14:solidFill>
              <w14:schemeClr w14:val="tx1"/>
            </w14:solidFill>
          </w14:textFill>
        </w:rPr>
        <w:t>实现200PFLOPS算力中心基础设施建设并投入运营，乙方无需为此承担任何违约责任。</w:t>
      </w:r>
    </w:p>
    <w:p w14:paraId="0495A149">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9.</w:t>
      </w:r>
      <w:r>
        <w:rPr>
          <w:rFonts w:hint="eastAsia" w:ascii="Times New Roman" w:hAnsi="Times New Roman" w:eastAsia="方正楷体_GBK" w:cs="Times New Roman"/>
          <w:b/>
          <w:bCs/>
          <w:color w:val="000000" w:themeColor="text1"/>
          <w:sz w:val="32"/>
          <w:szCs w:val="32"/>
          <w:lang w:val="en-US" w:eastAsia="zh-CN"/>
          <w14:textFill>
            <w14:solidFill>
              <w14:schemeClr w14:val="tx1"/>
            </w14:solidFill>
          </w14:textFill>
        </w:rPr>
        <w:t>3</w:t>
      </w: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双方同意对本协议</w:t>
      </w:r>
      <w:r>
        <w:rPr>
          <w:rFonts w:hint="eastAsia" w:ascii="Times New Roman" w:hAnsi="Times New Roman" w:eastAsia="方正仿宋_GBK" w:cs="Times New Roman"/>
          <w:color w:val="000000" w:themeColor="text1"/>
          <w:sz w:val="32"/>
          <w:szCs w:val="32"/>
          <w14:textFill>
            <w14:solidFill>
              <w14:schemeClr w14:val="tx1"/>
            </w14:solidFill>
          </w14:textFill>
        </w:rPr>
        <w:t>及协议附件</w:t>
      </w:r>
      <w:r>
        <w:rPr>
          <w:rFonts w:ascii="Times New Roman" w:hAnsi="Times New Roman" w:eastAsia="方正仿宋_GBK" w:cs="Times New Roman"/>
          <w:color w:val="000000" w:themeColor="text1"/>
          <w:sz w:val="32"/>
          <w:szCs w:val="32"/>
          <w14:textFill>
            <w14:solidFill>
              <w14:schemeClr w14:val="tx1"/>
            </w14:solidFill>
          </w14:textFill>
        </w:rPr>
        <w:t>的存在及其内容保密。此外，未经信息提供方许可，双方之间交流的任何保密信息不得向协议以外的其他个人或单位泄露。本保密条款在协议终止后依然有效。</w:t>
      </w:r>
    </w:p>
    <w:p w14:paraId="7B591C92">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9.</w:t>
      </w:r>
      <w:r>
        <w:rPr>
          <w:rFonts w:hint="eastAsia" w:ascii="Times New Roman" w:hAnsi="Times New Roman" w:eastAsia="方正楷体_GBK" w:cs="Times New Roman"/>
          <w:b/>
          <w:bCs/>
          <w:color w:val="000000" w:themeColor="text1"/>
          <w:sz w:val="32"/>
          <w:szCs w:val="32"/>
          <w:lang w:val="en-US" w:eastAsia="zh-CN"/>
          <w14:textFill>
            <w14:solidFill>
              <w14:schemeClr w14:val="tx1"/>
            </w14:solidFill>
          </w14:textFill>
        </w:rPr>
        <w:t>4</w:t>
      </w: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本协议未尽事宜，可由双方另行协商并签订补充协议，作为协议附件。协议附件是协议的组成部分，与本协议共同构成完整协议。</w:t>
      </w:r>
    </w:p>
    <w:p w14:paraId="24AA0FF1">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9.</w:t>
      </w:r>
      <w:r>
        <w:rPr>
          <w:rFonts w:hint="eastAsia" w:ascii="Times New Roman" w:hAnsi="Times New Roman" w:eastAsia="方正楷体_GBK" w:cs="Times New Roman"/>
          <w:b/>
          <w:bCs/>
          <w:color w:val="000000" w:themeColor="text1"/>
          <w:sz w:val="32"/>
          <w:szCs w:val="32"/>
          <w:lang w:val="en-US" w:eastAsia="zh-CN"/>
          <w14:textFill>
            <w14:solidFill>
              <w14:schemeClr w14:val="tx1"/>
            </w14:solidFill>
          </w14:textFill>
        </w:rPr>
        <w:t>5</w:t>
      </w: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本协议经双方法定代表人或授权委托代理人签字并加盖公章后生效。本协议在中国攀枝花签订。本协议一式陆份，甲乙双方各执叁份，每份具有同等法律效力。</w:t>
      </w:r>
    </w:p>
    <w:p w14:paraId="2B32509E">
      <w:pPr>
        <w:rPr>
          <w:rFonts w:ascii="Times New Roman" w:hAnsi="Times New Roman" w:eastAsia="方正仿宋_GBK" w:cs="Times New Roman"/>
          <w:color w:val="000000" w:themeColor="text1"/>
          <w:sz w:val="32"/>
          <w:szCs w:val="32"/>
          <w14:textFill>
            <w14:solidFill>
              <w14:schemeClr w14:val="tx1"/>
            </w14:solidFill>
          </w14:textFill>
        </w:rPr>
      </w:pPr>
    </w:p>
    <w:p w14:paraId="444B7C7D">
      <w:pPr>
        <w:rPr>
          <w:rFonts w:ascii="Times New Roman" w:hAnsi="Times New Roman" w:eastAsia="方正仿宋_GBK" w:cs="Times New Roman"/>
          <w:color w:val="000000" w:themeColor="text1"/>
          <w:sz w:val="32"/>
          <w:szCs w:val="32"/>
          <w14:textFill>
            <w14:solidFill>
              <w14:schemeClr w14:val="tx1"/>
            </w14:solidFill>
          </w14:textFill>
        </w:rPr>
      </w:pPr>
    </w:p>
    <w:p w14:paraId="1EF39F01">
      <w:pPr>
        <w:pStyle w:val="12"/>
        <w:tabs>
          <w:tab w:val="left" w:pos="5730"/>
        </w:tabs>
        <w:ind w:left="6080" w:hanging="6080" w:hangingChars="1900"/>
        <w:rPr>
          <w:rFonts w:ascii="Times New Roman" w:hAnsi="Times New Roman" w:eastAsia="方正仿宋_GBK" w:cs="Times New Roman"/>
          <w:sz w:val="32"/>
          <w:szCs w:val="32"/>
        </w:rPr>
      </w:pPr>
      <w:r>
        <w:rPr>
          <w:rFonts w:ascii="Times New Roman" w:hAnsi="Times New Roman" w:eastAsia="方正仿宋_GBK" w:cs="Times New Roman"/>
          <w:sz w:val="32"/>
          <w:szCs w:val="32"/>
        </w:rPr>
        <w:t>甲方：攀枝花</w:t>
      </w:r>
      <w:r>
        <w:rPr>
          <w:rFonts w:hint="eastAsia" w:ascii="方正仿宋_GBK" w:hAnsi="方正仿宋_GBK" w:eastAsia="方正仿宋_GBK" w:cs="方正仿宋_GBK"/>
          <w:sz w:val="32"/>
          <w:szCs w:val="32"/>
        </w:rPr>
        <w:t>市</w:t>
      </w:r>
      <w:r>
        <w:rPr>
          <w:rFonts w:ascii="Times New Roman" w:hAnsi="Times New Roman" w:eastAsia="方正仿宋_GBK" w:cs="Times New Roman"/>
          <w:sz w:val="32"/>
          <w:szCs w:val="32"/>
        </w:rPr>
        <w:t>东区人民政府    乙方：</w:t>
      </w:r>
      <w:r>
        <w:rPr>
          <w:rFonts w:hint="eastAsia" w:ascii="Times New Roman" w:hAnsi="Times New Roman" w:eastAsia="方正仿宋_GBK" w:cs="Times New Roman"/>
          <w:snapToGrid w:val="0"/>
          <w:spacing w:val="-11"/>
          <w:kern w:val="0"/>
          <w:sz w:val="32"/>
          <w:szCs w:val="32"/>
        </w:rPr>
        <w:t>浙江同兴技术股份有限公司</w:t>
      </w:r>
      <w:r>
        <w:rPr>
          <w:rFonts w:ascii="Times New Roman" w:hAnsi="Times New Roman" w:eastAsia="方正仿宋_GBK" w:cs="Times New Roman"/>
          <w:sz w:val="32"/>
          <w:szCs w:val="32"/>
        </w:rPr>
        <w:t xml:space="preserve"> </w:t>
      </w:r>
    </w:p>
    <w:p w14:paraId="0327A9CE">
      <w:pPr>
        <w:pStyle w:val="12"/>
        <w:tabs>
          <w:tab w:val="left" w:pos="5185"/>
        </w:tabs>
        <w:ind w:firstLine="1280" w:firstLineChars="400"/>
        <w:rPr>
          <w:rFonts w:ascii="Times New Roman" w:hAnsi="Times New Roman" w:eastAsia="方正仿宋_GBK" w:cs="Times New Roman"/>
          <w:sz w:val="32"/>
          <w:szCs w:val="32"/>
        </w:rPr>
      </w:pPr>
      <w:r>
        <w:rPr>
          <w:rFonts w:ascii="Times New Roman" w:hAnsi="Times New Roman" w:eastAsia="方正仿宋_GBK" w:cs="Times New Roman"/>
          <w:sz w:val="32"/>
          <w:szCs w:val="32"/>
        </w:rPr>
        <w:t>（盖章）</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t>（盖章）</w:t>
      </w:r>
    </w:p>
    <w:p w14:paraId="23A9FF68">
      <w:pPr>
        <w:rPr>
          <w:rFonts w:ascii="Times New Roman" w:hAnsi="Times New Roman" w:eastAsia="方正仿宋_GBK" w:cs="Times New Roman"/>
          <w:sz w:val="32"/>
          <w:szCs w:val="32"/>
        </w:rPr>
      </w:pPr>
    </w:p>
    <w:p w14:paraId="4BB7FBC5">
      <w:pPr>
        <w:rPr>
          <w:rFonts w:ascii="Times New Roman" w:hAnsi="Times New Roman" w:eastAsia="方正仿宋_GBK" w:cs="Times New Roman"/>
          <w:sz w:val="32"/>
          <w:szCs w:val="32"/>
        </w:rPr>
      </w:pPr>
      <w:r>
        <w:rPr>
          <w:rFonts w:ascii="Times New Roman" w:hAnsi="Times New Roman" w:eastAsia="方正仿宋_GBK" w:cs="Times New Roman"/>
          <w:sz w:val="32"/>
          <w:szCs w:val="32"/>
        </w:rPr>
        <w:t>授权代表签字</w:t>
      </w:r>
      <w:r>
        <w:rPr>
          <w:rFonts w:hint="eastAsia" w:eastAsia="方正仿宋_GBK" w:cs="Times New Roman"/>
          <w:sz w:val="32"/>
          <w:szCs w:val="32"/>
        </w:rPr>
        <w:t xml:space="preserve">：               </w:t>
      </w:r>
      <w:r>
        <w:rPr>
          <w:rFonts w:ascii="Times New Roman" w:hAnsi="Times New Roman" w:eastAsia="方正仿宋_GBK" w:cs="Times New Roman"/>
          <w:sz w:val="32"/>
          <w:szCs w:val="32"/>
        </w:rPr>
        <w:t>授权代表签字</w:t>
      </w:r>
      <w:r>
        <w:rPr>
          <w:rFonts w:hint="eastAsia" w:eastAsia="方正仿宋_GBK" w:cs="Times New Roman"/>
          <w:sz w:val="32"/>
          <w:szCs w:val="32"/>
        </w:rPr>
        <w:t>：</w:t>
      </w:r>
    </w:p>
    <w:p w14:paraId="6C428DE1">
      <w:pPr>
        <w:rPr>
          <w:rFonts w:ascii="Times New Roman" w:hAnsi="Times New Roman" w:eastAsia="方正仿宋_GBK" w:cs="Times New Roman"/>
          <w:sz w:val="32"/>
          <w:szCs w:val="32"/>
        </w:rPr>
      </w:pPr>
      <w:r>
        <w:rPr>
          <w:rFonts w:ascii="Times New Roman" w:hAnsi="Times New Roman" w:eastAsia="方正仿宋_GBK" w:cs="Times New Roman"/>
          <w:sz w:val="32"/>
          <w:szCs w:val="32"/>
        </w:rPr>
        <w:t>签署日期：  年 月 日         签署日期：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E23F">
    <w:pPr>
      <w:pStyle w:val="1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-77470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537622">
                          <w:pPr>
                            <w:pStyle w:val="14"/>
                            <w:rPr>
                              <w:rFonts w:hint="eastAsia"/>
                              <w:sz w:val="28"/>
                              <w:szCs w:val="28"/>
                            </w:rPr>
                          </w:pP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1pt;height:144pt;width:144pt;mso-position-horizontal:outside;mso-position-horizontal-relative:margin;mso-wrap-style:none;z-index:251659264;mso-width-relative:page;mso-height-relative:page;" filled="f" stroked="f" coordsize="21600,21600" o:gfxdata="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0DEaNYAAAAI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14:paraId="10537622">
                    <w:pPr>
                      <w:pStyle w:val="14"/>
                      <w:rPr>
                        <w:rFonts w:hint="eastAsia"/>
                        <w:sz w:val="28"/>
                        <w:szCs w:val="28"/>
                      </w:rPr>
                    </w:pP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3M2QyMjNhNGI3OGZhN2ZjNDU3ZTA0Y2QzOGMyMTgifQ=="/>
  </w:docVars>
  <w:rsids>
    <w:rsidRoot w:val="000D25F1"/>
    <w:rsid w:val="000069F1"/>
    <w:rsid w:val="000246C1"/>
    <w:rsid w:val="00044210"/>
    <w:rsid w:val="000761CC"/>
    <w:rsid w:val="000D25F1"/>
    <w:rsid w:val="001038F0"/>
    <w:rsid w:val="001053A2"/>
    <w:rsid w:val="00114E2A"/>
    <w:rsid w:val="00122180"/>
    <w:rsid w:val="002A09F9"/>
    <w:rsid w:val="002C7676"/>
    <w:rsid w:val="003015E9"/>
    <w:rsid w:val="00384612"/>
    <w:rsid w:val="00386F09"/>
    <w:rsid w:val="003A0830"/>
    <w:rsid w:val="003B7C20"/>
    <w:rsid w:val="003C0B22"/>
    <w:rsid w:val="004164F1"/>
    <w:rsid w:val="00416A4B"/>
    <w:rsid w:val="00423E00"/>
    <w:rsid w:val="0043123D"/>
    <w:rsid w:val="0046269E"/>
    <w:rsid w:val="00490F42"/>
    <w:rsid w:val="004C0B17"/>
    <w:rsid w:val="004C2D13"/>
    <w:rsid w:val="004D0B45"/>
    <w:rsid w:val="004D233C"/>
    <w:rsid w:val="004E71C8"/>
    <w:rsid w:val="00532E80"/>
    <w:rsid w:val="005532F3"/>
    <w:rsid w:val="00576380"/>
    <w:rsid w:val="00580A05"/>
    <w:rsid w:val="00591093"/>
    <w:rsid w:val="00591E43"/>
    <w:rsid w:val="005A01B2"/>
    <w:rsid w:val="00610962"/>
    <w:rsid w:val="00621CFC"/>
    <w:rsid w:val="006224D8"/>
    <w:rsid w:val="00646E32"/>
    <w:rsid w:val="00671FB5"/>
    <w:rsid w:val="006A16E3"/>
    <w:rsid w:val="00746A74"/>
    <w:rsid w:val="00776A69"/>
    <w:rsid w:val="007A58C6"/>
    <w:rsid w:val="00873ED9"/>
    <w:rsid w:val="00875099"/>
    <w:rsid w:val="00880E93"/>
    <w:rsid w:val="00890CBB"/>
    <w:rsid w:val="008B16A1"/>
    <w:rsid w:val="009515DA"/>
    <w:rsid w:val="00953BA9"/>
    <w:rsid w:val="009D6689"/>
    <w:rsid w:val="009E7F7F"/>
    <w:rsid w:val="009F745D"/>
    <w:rsid w:val="00A233E1"/>
    <w:rsid w:val="00A26480"/>
    <w:rsid w:val="00AB6598"/>
    <w:rsid w:val="00AB684B"/>
    <w:rsid w:val="00AD053A"/>
    <w:rsid w:val="00AD0692"/>
    <w:rsid w:val="00B02EB0"/>
    <w:rsid w:val="00B03A98"/>
    <w:rsid w:val="00B061B5"/>
    <w:rsid w:val="00B270EF"/>
    <w:rsid w:val="00B44754"/>
    <w:rsid w:val="00B753F3"/>
    <w:rsid w:val="00B900D2"/>
    <w:rsid w:val="00BC18FC"/>
    <w:rsid w:val="00BE56A1"/>
    <w:rsid w:val="00C164AA"/>
    <w:rsid w:val="00C71E93"/>
    <w:rsid w:val="00CB28E4"/>
    <w:rsid w:val="00CC5253"/>
    <w:rsid w:val="00D03DB6"/>
    <w:rsid w:val="00D30332"/>
    <w:rsid w:val="00D3331E"/>
    <w:rsid w:val="00D61CD0"/>
    <w:rsid w:val="00D7033D"/>
    <w:rsid w:val="00D72A2B"/>
    <w:rsid w:val="00D958D5"/>
    <w:rsid w:val="00E01302"/>
    <w:rsid w:val="00E134F5"/>
    <w:rsid w:val="00E35E01"/>
    <w:rsid w:val="00E572C3"/>
    <w:rsid w:val="00E7143F"/>
    <w:rsid w:val="00EE6473"/>
    <w:rsid w:val="00F92156"/>
    <w:rsid w:val="00FA472E"/>
    <w:rsid w:val="011C10B8"/>
    <w:rsid w:val="013E773E"/>
    <w:rsid w:val="01C97FEF"/>
    <w:rsid w:val="01CF1FD5"/>
    <w:rsid w:val="04523848"/>
    <w:rsid w:val="05094D59"/>
    <w:rsid w:val="051E4E72"/>
    <w:rsid w:val="05CD3FD8"/>
    <w:rsid w:val="05EA66C6"/>
    <w:rsid w:val="06C66B2C"/>
    <w:rsid w:val="07080BC6"/>
    <w:rsid w:val="076B2C9B"/>
    <w:rsid w:val="080F7142"/>
    <w:rsid w:val="08600E4C"/>
    <w:rsid w:val="08DB0795"/>
    <w:rsid w:val="0923288D"/>
    <w:rsid w:val="0955045F"/>
    <w:rsid w:val="0AD61B81"/>
    <w:rsid w:val="0B67235E"/>
    <w:rsid w:val="0BCB4B16"/>
    <w:rsid w:val="0C541CC6"/>
    <w:rsid w:val="0DF200E4"/>
    <w:rsid w:val="0E3B7968"/>
    <w:rsid w:val="0F576E3B"/>
    <w:rsid w:val="10090E5D"/>
    <w:rsid w:val="1105328E"/>
    <w:rsid w:val="112F78F5"/>
    <w:rsid w:val="128E407F"/>
    <w:rsid w:val="134F74F9"/>
    <w:rsid w:val="149C415F"/>
    <w:rsid w:val="153C4FFA"/>
    <w:rsid w:val="16404810"/>
    <w:rsid w:val="16E21E1B"/>
    <w:rsid w:val="17237EFC"/>
    <w:rsid w:val="179A37C7"/>
    <w:rsid w:val="199C5D44"/>
    <w:rsid w:val="1A7237CD"/>
    <w:rsid w:val="1ABD4860"/>
    <w:rsid w:val="1B0D10ED"/>
    <w:rsid w:val="1B1628B0"/>
    <w:rsid w:val="1C224C26"/>
    <w:rsid w:val="1C4D157D"/>
    <w:rsid w:val="1D073530"/>
    <w:rsid w:val="1E90231B"/>
    <w:rsid w:val="1FB0418D"/>
    <w:rsid w:val="206C46C2"/>
    <w:rsid w:val="207A092D"/>
    <w:rsid w:val="2190004F"/>
    <w:rsid w:val="223B12B8"/>
    <w:rsid w:val="223E5BEA"/>
    <w:rsid w:val="22F664C5"/>
    <w:rsid w:val="24035541"/>
    <w:rsid w:val="24FB4266"/>
    <w:rsid w:val="26C64400"/>
    <w:rsid w:val="272726CA"/>
    <w:rsid w:val="277B2154"/>
    <w:rsid w:val="27AC7A9A"/>
    <w:rsid w:val="27CF1BDE"/>
    <w:rsid w:val="283535FB"/>
    <w:rsid w:val="29023E15"/>
    <w:rsid w:val="29BC7B27"/>
    <w:rsid w:val="2B2341D4"/>
    <w:rsid w:val="2C173BC8"/>
    <w:rsid w:val="2EAC2DBF"/>
    <w:rsid w:val="2FD73C13"/>
    <w:rsid w:val="30073ABF"/>
    <w:rsid w:val="302163F8"/>
    <w:rsid w:val="30326C33"/>
    <w:rsid w:val="30603749"/>
    <w:rsid w:val="30696528"/>
    <w:rsid w:val="30B15702"/>
    <w:rsid w:val="310C2006"/>
    <w:rsid w:val="31312B8A"/>
    <w:rsid w:val="32270449"/>
    <w:rsid w:val="34767465"/>
    <w:rsid w:val="34EE7AF8"/>
    <w:rsid w:val="3564770C"/>
    <w:rsid w:val="357716E7"/>
    <w:rsid w:val="357E0CC8"/>
    <w:rsid w:val="35F63A37"/>
    <w:rsid w:val="36574773"/>
    <w:rsid w:val="38233460"/>
    <w:rsid w:val="395A05A6"/>
    <w:rsid w:val="398C3287"/>
    <w:rsid w:val="3B3101AC"/>
    <w:rsid w:val="3BE556D1"/>
    <w:rsid w:val="3C7E77FF"/>
    <w:rsid w:val="3E0528AA"/>
    <w:rsid w:val="3E216645"/>
    <w:rsid w:val="3E2F461B"/>
    <w:rsid w:val="3E88656E"/>
    <w:rsid w:val="3EBE037D"/>
    <w:rsid w:val="3F64438F"/>
    <w:rsid w:val="3FFB3608"/>
    <w:rsid w:val="400D4B5C"/>
    <w:rsid w:val="40534FF5"/>
    <w:rsid w:val="41007633"/>
    <w:rsid w:val="410150B4"/>
    <w:rsid w:val="42F86787"/>
    <w:rsid w:val="456926CF"/>
    <w:rsid w:val="46C11D22"/>
    <w:rsid w:val="46D354BF"/>
    <w:rsid w:val="484D0086"/>
    <w:rsid w:val="485F6860"/>
    <w:rsid w:val="48794B8B"/>
    <w:rsid w:val="487D32FD"/>
    <w:rsid w:val="491102ED"/>
    <w:rsid w:val="4A57379C"/>
    <w:rsid w:val="4C777D78"/>
    <w:rsid w:val="4C99326F"/>
    <w:rsid w:val="4CA14CC6"/>
    <w:rsid w:val="4D021D86"/>
    <w:rsid w:val="4D1A217D"/>
    <w:rsid w:val="4E6B379D"/>
    <w:rsid w:val="512C1180"/>
    <w:rsid w:val="51C44528"/>
    <w:rsid w:val="51F068ED"/>
    <w:rsid w:val="5202611C"/>
    <w:rsid w:val="52096D27"/>
    <w:rsid w:val="524E0E5F"/>
    <w:rsid w:val="52B8063A"/>
    <w:rsid w:val="531774B6"/>
    <w:rsid w:val="53B60861"/>
    <w:rsid w:val="551534A6"/>
    <w:rsid w:val="55C01F00"/>
    <w:rsid w:val="57CA34A1"/>
    <w:rsid w:val="57CE7E1C"/>
    <w:rsid w:val="59B147E8"/>
    <w:rsid w:val="5A841453"/>
    <w:rsid w:val="5A893518"/>
    <w:rsid w:val="5C990CF9"/>
    <w:rsid w:val="5CD10E53"/>
    <w:rsid w:val="5E934337"/>
    <w:rsid w:val="60025813"/>
    <w:rsid w:val="605152DC"/>
    <w:rsid w:val="60D96503"/>
    <w:rsid w:val="61190304"/>
    <w:rsid w:val="611B0628"/>
    <w:rsid w:val="61377E0E"/>
    <w:rsid w:val="65A705D2"/>
    <w:rsid w:val="68AB31C8"/>
    <w:rsid w:val="69076FCD"/>
    <w:rsid w:val="694420C2"/>
    <w:rsid w:val="6989149D"/>
    <w:rsid w:val="6ACE7CB2"/>
    <w:rsid w:val="6AF274B3"/>
    <w:rsid w:val="6BFA3EFD"/>
    <w:rsid w:val="6C643A6C"/>
    <w:rsid w:val="6D321474"/>
    <w:rsid w:val="6DBD1686"/>
    <w:rsid w:val="6E072310"/>
    <w:rsid w:val="6FA36F0A"/>
    <w:rsid w:val="71C70D25"/>
    <w:rsid w:val="72C42D1A"/>
    <w:rsid w:val="743B05C1"/>
    <w:rsid w:val="74A6295C"/>
    <w:rsid w:val="753C5586"/>
    <w:rsid w:val="762C7B95"/>
    <w:rsid w:val="7836450F"/>
    <w:rsid w:val="793D367B"/>
    <w:rsid w:val="799C30FC"/>
    <w:rsid w:val="7A695863"/>
    <w:rsid w:val="7BC4132C"/>
    <w:rsid w:val="7CBB1486"/>
    <w:rsid w:val="7D296BA2"/>
    <w:rsid w:val="7EE60B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unhideWhenUsed/>
    <w:qFormat/>
    <w:uiPriority w:val="99"/>
    <w:pPr>
      <w:jc w:val="left"/>
    </w:pPr>
  </w:style>
  <w:style w:type="paragraph" w:styleId="12">
    <w:name w:val="Body Text"/>
    <w:basedOn w:val="1"/>
    <w:unhideWhenUsed/>
    <w:qFormat/>
    <w:uiPriority w:val="99"/>
    <w:pPr>
      <w:spacing w:after="120"/>
    </w:pPr>
  </w:style>
  <w:style w:type="paragraph" w:styleId="13">
    <w:name w:val="Balloon Text"/>
    <w:basedOn w:val="1"/>
    <w:link w:val="45"/>
    <w:semiHidden/>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0"/>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4"/>
    <w:semiHidden/>
    <w:unhideWhenUsed/>
    <w:qFormat/>
    <w:uiPriority w:val="99"/>
    <w:rPr>
      <w:b/>
      <w:bCs/>
    </w:rPr>
  </w:style>
  <w:style w:type="character" w:styleId="21">
    <w:name w:val="annotation reference"/>
    <w:basedOn w:val="20"/>
    <w:semiHidden/>
    <w:unhideWhenUsed/>
    <w:qFormat/>
    <w:uiPriority w:val="99"/>
    <w:rPr>
      <w:sz w:val="21"/>
      <w:szCs w:val="21"/>
    </w:rPr>
  </w:style>
  <w:style w:type="character" w:customStyle="1" w:styleId="22">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qFormat/>
    <w:uiPriority w:val="9"/>
    <w:rPr>
      <w:rFonts w:cstheme="majorBidi"/>
      <w:color w:val="104862" w:themeColor="accent1" w:themeShade="BF"/>
      <w:sz w:val="28"/>
      <w:szCs w:val="28"/>
    </w:rPr>
  </w:style>
  <w:style w:type="character" w:customStyle="1" w:styleId="26">
    <w:name w:val="标题 5 字符"/>
    <w:basedOn w:val="20"/>
    <w:link w:val="6"/>
    <w:semiHidden/>
    <w:qFormat/>
    <w:uiPriority w:val="9"/>
    <w:rPr>
      <w:rFonts w:cstheme="majorBidi"/>
      <w:color w:val="104862" w:themeColor="accent1" w:themeShade="BF"/>
      <w:sz w:val="24"/>
      <w:szCs w:val="24"/>
    </w:rPr>
  </w:style>
  <w:style w:type="character" w:customStyle="1" w:styleId="27">
    <w:name w:val="标题 6 字符"/>
    <w:basedOn w:val="20"/>
    <w:link w:val="7"/>
    <w:semiHidden/>
    <w:qFormat/>
    <w:uiPriority w:val="9"/>
    <w:rPr>
      <w:rFonts w:cstheme="majorBidi"/>
      <w:b/>
      <w:bCs/>
      <w:color w:val="104862" w:themeColor="accent1" w:themeShade="BF"/>
    </w:rPr>
  </w:style>
  <w:style w:type="character" w:customStyle="1" w:styleId="28">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3">
    <w:name w:val="引用1"/>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customStyle="1" w:styleId="35">
    <w:name w:val="列表段落1"/>
    <w:basedOn w:val="1"/>
    <w:qFormat/>
    <w:uiPriority w:val="34"/>
    <w:pPr>
      <w:ind w:left="720"/>
      <w:contextualSpacing/>
    </w:pPr>
  </w:style>
  <w:style w:type="character" w:customStyle="1" w:styleId="36">
    <w:name w:val="明显强调1"/>
    <w:basedOn w:val="20"/>
    <w:qFormat/>
    <w:uiPriority w:val="21"/>
    <w:rPr>
      <w:i/>
      <w:iCs/>
      <w:color w:val="104862" w:themeColor="accent1" w:themeShade="BF"/>
    </w:rPr>
  </w:style>
  <w:style w:type="paragraph" w:customStyle="1" w:styleId="37">
    <w:name w:val="明显引用1"/>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Char"/>
    <w:basedOn w:val="20"/>
    <w:link w:val="37"/>
    <w:qFormat/>
    <w:uiPriority w:val="30"/>
    <w:rPr>
      <w:i/>
      <w:iCs/>
      <w:color w:val="104862" w:themeColor="accent1" w:themeShade="BF"/>
    </w:rPr>
  </w:style>
  <w:style w:type="character" w:customStyle="1" w:styleId="39">
    <w:name w:val="明显参考1"/>
    <w:basedOn w:val="20"/>
    <w:qFormat/>
    <w:uiPriority w:val="32"/>
    <w:rPr>
      <w:b/>
      <w:bCs/>
      <w:smallCaps/>
      <w:color w:val="104862" w:themeColor="accent1" w:themeShade="BF"/>
      <w:spacing w:val="5"/>
    </w:rPr>
  </w:style>
  <w:style w:type="character" w:customStyle="1" w:styleId="40">
    <w:name w:val="页眉 字符"/>
    <w:basedOn w:val="20"/>
    <w:link w:val="15"/>
    <w:qFormat/>
    <w:uiPriority w:val="99"/>
    <w:rPr>
      <w:sz w:val="18"/>
      <w:szCs w:val="18"/>
    </w:rPr>
  </w:style>
  <w:style w:type="character" w:customStyle="1" w:styleId="41">
    <w:name w:val="页脚 字符"/>
    <w:basedOn w:val="20"/>
    <w:link w:val="14"/>
    <w:qFormat/>
    <w:uiPriority w:val="99"/>
    <w:rPr>
      <w:sz w:val="18"/>
      <w:szCs w:val="18"/>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批注文字 字符"/>
    <w:basedOn w:val="20"/>
    <w:link w:val="11"/>
    <w:qFormat/>
    <w:uiPriority w:val="99"/>
    <w:rPr>
      <w:rFonts w:asciiTheme="minorHAnsi" w:hAnsiTheme="minorHAnsi" w:eastAsiaTheme="minorEastAsia" w:cstheme="minorBidi"/>
      <w:kern w:val="2"/>
      <w:sz w:val="21"/>
      <w:szCs w:val="22"/>
    </w:rPr>
  </w:style>
  <w:style w:type="character" w:customStyle="1" w:styleId="44">
    <w:name w:val="批注主题 字符"/>
    <w:basedOn w:val="43"/>
    <w:link w:val="18"/>
    <w:semiHidden/>
    <w:qFormat/>
    <w:uiPriority w:val="99"/>
    <w:rPr>
      <w:rFonts w:asciiTheme="minorHAnsi" w:hAnsiTheme="minorHAnsi" w:eastAsiaTheme="minorEastAsia" w:cstheme="minorBidi"/>
      <w:b/>
      <w:bCs/>
      <w:kern w:val="2"/>
      <w:sz w:val="21"/>
      <w:szCs w:val="22"/>
    </w:rPr>
  </w:style>
  <w:style w:type="character" w:customStyle="1" w:styleId="45">
    <w:name w:val="批注框文本 字符"/>
    <w:basedOn w:val="20"/>
    <w:link w:val="13"/>
    <w:semiHidden/>
    <w:qFormat/>
    <w:uiPriority w:val="99"/>
    <w:rPr>
      <w:rFonts w:asciiTheme="minorHAnsi" w:hAnsiTheme="minorHAnsi" w:eastAsiaTheme="minorEastAsia" w:cstheme="minorBidi"/>
      <w:kern w:val="2"/>
      <w:sz w:val="18"/>
      <w:szCs w:val="18"/>
    </w:rPr>
  </w:style>
  <w:style w:type="paragraph" w:customStyle="1" w:styleId="46">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79B76A-3A90-4D13-A6D1-006EA9D3CB4E}">
  <ds:schemaRefs/>
</ds:datastoreItem>
</file>

<file path=docProps/app.xml><?xml version="1.0" encoding="utf-8"?>
<Properties xmlns="http://schemas.openxmlformats.org/officeDocument/2006/extended-properties" xmlns:vt="http://schemas.openxmlformats.org/officeDocument/2006/docPropsVTypes">
  <Template>Normal</Template>
  <Pages>7</Pages>
  <Words>2606</Words>
  <Characters>2760</Characters>
  <Lines>21</Lines>
  <Paragraphs>6</Paragraphs>
  <TotalTime>15</TotalTime>
  <ScaleCrop>false</ScaleCrop>
  <LinksUpToDate>false</LinksUpToDate>
  <CharactersWithSpaces>2881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2025-11-04T08:13:00Z</dcterms:created>
  <dc:creator>金健_Jian</dc:creator>
  <cp:lastModifiedBy>刁宜欣</cp:lastModifiedBy>
  <cp:lastPrinted>2025-10-23T01:18:00Z</cp:lastPrinted>
  <dcterms:modified xsi:type="dcterms:W3CDTF">2025-12-18T09:06:02Z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eyJoZGlkIjoiMjAyMWVlMTdlYTc4NTdlM2FjMjU0NjI0OTc3MjNmYjEiLCJ1c2VySWQiOiI4NzEzNTY1NjkifQ==</vt:lpwstr>
  </property>
  <property fmtid="{D5CDD505-2E9C-101B-9397-08002B2CF9AE}" pid="3" name="KSOProductBuildVer">
    <vt:lpwstr>2052-12.1.0.24031</vt:lpwstr>
  </property>
  <property fmtid="{D5CDD505-2E9C-101B-9397-08002B2CF9AE}" pid="4" name="ICV">
    <vt:lpwstr>EA2BE3990BDB4954B307FCFA0020B476_13</vt:lpwstr>
  </property>
</Properties>
</file>