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15378441"/>
      <w:bookmarkStart w:id="1" w:name="_Toc15377425"/>
      <w:bookmarkStart w:id="2" w:name="_Toc15377193"/>
      <w:bookmarkStart w:id="3" w:name="_Toc15396597"/>
      <w:bookmarkStart w:id="4" w:name="_Toc15396475"/>
      <w:bookmarkStart w:id="5" w:name="_Toc15306267"/>
    </w:p>
    <w:p>
      <w:pPr>
        <w:pStyle w:val="8"/>
        <w:spacing w:before="93"/>
        <w:jc w:val="center"/>
        <w:rPr>
          <w:rFonts w:ascii="Times New Roman" w:eastAsia="方正小标宋简体"/>
          <w:kern w:val="2"/>
          <w:sz w:val="44"/>
          <w:szCs w:val="44"/>
        </w:rPr>
      </w:pPr>
    </w:p>
    <w:p>
      <w:pPr>
        <w:pStyle w:val="8"/>
        <w:spacing w:before="93"/>
        <w:jc w:val="center"/>
        <w:rPr>
          <w:rFonts w:ascii="Times New Roman" w:eastAsia="方正小标宋简体"/>
          <w:kern w:val="2"/>
          <w:sz w:val="44"/>
          <w:szCs w:val="44"/>
        </w:rPr>
      </w:pPr>
    </w:p>
    <w:p>
      <w:pPr>
        <w:pStyle w:val="8"/>
        <w:spacing w:before="93"/>
        <w:jc w:val="center"/>
        <w:rPr>
          <w:rFonts w:ascii="Times New Roman" w:eastAsia="方正小标宋简体"/>
          <w:kern w:val="2"/>
          <w:sz w:val="44"/>
          <w:szCs w:val="44"/>
        </w:rPr>
      </w:pPr>
    </w:p>
    <w:p>
      <w:pPr>
        <w:pStyle w:val="8"/>
        <w:spacing w:before="93"/>
        <w:jc w:val="center"/>
        <w:rPr>
          <w:rFonts w:ascii="Times New Roman" w:eastAsia="方正小标宋简体"/>
          <w:kern w:val="2"/>
          <w:sz w:val="44"/>
          <w:szCs w:val="44"/>
        </w:rPr>
      </w:pPr>
    </w:p>
    <w:bookmarkEnd w:id="0"/>
    <w:bookmarkEnd w:id="1"/>
    <w:bookmarkEnd w:id="2"/>
    <w:bookmarkEnd w:id="3"/>
    <w:bookmarkEnd w:id="4"/>
    <w:p>
      <w:pPr>
        <w:pStyle w:val="8"/>
        <w:spacing w:before="93"/>
        <w:jc w:val="center"/>
        <w:rPr>
          <w:rFonts w:hint="eastAsia" w:ascii="Times New Roman" w:eastAsia="方正小标宋简体"/>
          <w:kern w:val="2"/>
          <w:sz w:val="44"/>
          <w:szCs w:val="44"/>
        </w:rPr>
      </w:pPr>
      <w:bookmarkStart w:id="6" w:name="_Toc15377194"/>
      <w:bookmarkStart w:id="7" w:name="_Toc15396598"/>
      <w:bookmarkStart w:id="8" w:name="_Toc15396476"/>
      <w:bookmarkStart w:id="9" w:name="_Toc15377426"/>
      <w:bookmarkStart w:id="10" w:name="_Toc15378442"/>
      <w:r>
        <w:rPr>
          <w:rFonts w:hint="eastAsia" w:ascii="Times New Roman" w:eastAsia="方正小标宋简体"/>
          <w:kern w:val="2"/>
          <w:sz w:val="44"/>
          <w:szCs w:val="44"/>
        </w:rPr>
        <w:t>2024年度</w:t>
      </w:r>
      <w:bookmarkEnd w:id="5"/>
      <w:bookmarkStart w:id="11" w:name="_Toc15306268"/>
    </w:p>
    <w:p>
      <w:pPr>
        <w:pStyle w:val="8"/>
        <w:spacing w:before="93"/>
        <w:jc w:val="center"/>
        <w:rPr>
          <w:rFonts w:hint="eastAsia" w:ascii="Times New Roman" w:eastAsia="方正小标宋简体"/>
          <w:kern w:val="2"/>
          <w:sz w:val="44"/>
          <w:szCs w:val="44"/>
        </w:rPr>
      </w:pPr>
      <w:r>
        <w:rPr>
          <w:rFonts w:hint="eastAsia" w:ascii="Times New Roman" w:eastAsia="方正小标宋简体"/>
          <w:kern w:val="2"/>
          <w:sz w:val="44"/>
          <w:szCs w:val="44"/>
        </w:rPr>
        <w:t>攀枝花市东区行政审批局</w:t>
      </w:r>
    </w:p>
    <w:p>
      <w:pPr>
        <w:pStyle w:val="8"/>
        <w:spacing w:before="93"/>
        <w:jc w:val="center"/>
        <w:rPr>
          <w:rFonts w:hint="eastAsia" w:ascii="黑体" w:hAnsi="黑体" w:eastAsia="黑体"/>
          <w:sz w:val="48"/>
          <w:lang w:val="en-US" w:eastAsia="zh-C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ascii="Times New Roman" w:eastAsia="方正小标宋简体"/>
          <w:kern w:val="2"/>
          <w:sz w:val="44"/>
          <w:szCs w:val="44"/>
          <w:lang w:val="en-US" w:eastAsia="zh-CN"/>
        </w:rPr>
        <w:t>（本级）单位</w:t>
      </w:r>
      <w:r>
        <w:rPr>
          <w:rFonts w:hint="eastAsia" w:ascii="Times New Roman" w:eastAsia="方正小标宋简体"/>
          <w:kern w:val="2"/>
          <w:sz w:val="44"/>
          <w:szCs w:val="44"/>
        </w:rPr>
        <w:t>决算</w:t>
      </w:r>
      <w:bookmarkEnd w:id="6"/>
      <w:bookmarkEnd w:id="7"/>
      <w:bookmarkEnd w:id="8"/>
      <w:bookmarkEnd w:id="9"/>
      <w:bookmarkEnd w:id="10"/>
      <w:bookmarkEnd w:id="11"/>
      <w:bookmarkStart w:id="12" w:name="_Toc15377196"/>
      <w:bookmarkStart w:id="13" w:name="_Toc15396599"/>
      <w:r>
        <w:rPr>
          <w:rFonts w:hint="eastAsia" w:ascii="Times New Roman" w:eastAsia="方正小标宋简体"/>
          <w:kern w:val="2"/>
          <w:sz w:val="44"/>
          <w:szCs w:val="44"/>
          <w:lang w:val="en-US" w:eastAsia="zh-CN"/>
        </w:rPr>
        <w:t>公开编制说明</w:t>
      </w:r>
    </w:p>
    <w:p>
      <w:pPr>
        <w:jc w:val="center"/>
        <w:rPr>
          <w:rFonts w:ascii="黑体" w:hAnsi="黑体" w:eastAsia="黑体"/>
          <w:sz w:val="48"/>
          <w:lang w:val="zh-CN"/>
        </w:rPr>
      </w:pPr>
      <w:r>
        <w:rPr>
          <w:rFonts w:hint="eastAsia" w:ascii="黑体" w:hAnsi="黑体" w:eastAsia="黑体"/>
          <w:sz w:val="48"/>
          <w:lang w:val="zh-CN"/>
        </w:rPr>
        <w:t>目录</w:t>
      </w:r>
    </w:p>
    <w:p>
      <w:pPr>
        <w:jc w:val="center"/>
        <w:rPr>
          <w:rFonts w:ascii="黑体" w:hAnsi="黑体" w:eastAsia="黑体"/>
          <w:sz w:val="28"/>
          <w:szCs w:val="28"/>
          <w:lang w:val="zh-CN"/>
        </w:rPr>
      </w:pPr>
    </w:p>
    <w:p>
      <w:pPr>
        <w:pStyle w:val="13"/>
        <w:rPr>
          <w:rFonts w:ascii="Times New Roman" w:hAnsi="Times New Roman" w:eastAsia="仿宋_GB2312" w:cs="仿宋_GB2312"/>
          <w:lang w:val="zh-CN"/>
        </w:rPr>
      </w:pPr>
      <w:r>
        <w:rPr>
          <w:rFonts w:hint="eastAsia" w:ascii="Times New Roman" w:hAnsi="Times New Roman" w:eastAsia="仿宋_GB2312" w:cs="仿宋_GB2312"/>
          <w:lang w:val="zh-CN"/>
        </w:rPr>
        <w:t>公开时间：202</w:t>
      </w:r>
      <w:r>
        <w:rPr>
          <w:rFonts w:hint="eastAsia" w:ascii="Times New Roman" w:hAnsi="Times New Roman" w:eastAsia="仿宋_GB2312" w:cs="仿宋_GB2312"/>
        </w:rPr>
        <w:t>5</w:t>
      </w:r>
      <w:r>
        <w:rPr>
          <w:rFonts w:hint="eastAsia" w:ascii="Times New Roman" w:hAnsi="Times New Roman" w:eastAsia="仿宋_GB2312" w:cs="仿宋_GB2312"/>
          <w:lang w:val="zh-CN"/>
        </w:rPr>
        <w:t>年</w:t>
      </w:r>
      <w:r>
        <w:rPr>
          <w:rFonts w:hint="eastAsia" w:ascii="Times New Roman" w:hAnsi="Times New Roman" w:eastAsia="仿宋_GB2312" w:cs="仿宋_GB2312"/>
        </w:rPr>
        <w:t>10</w:t>
      </w:r>
      <w:r>
        <w:rPr>
          <w:rFonts w:hint="eastAsia" w:ascii="Times New Roman" w:hAnsi="Times New Roman" w:eastAsia="仿宋_GB2312" w:cs="仿宋_GB2312"/>
          <w:lang w:val="zh-CN"/>
        </w:rPr>
        <w:t xml:space="preserve"> 月 </w:t>
      </w:r>
      <w:r>
        <w:rPr>
          <w:rFonts w:hint="eastAsia" w:ascii="Times New Roman" w:hAnsi="Times New Roman" w:eastAsia="仿宋_GB2312" w:cs="仿宋_GB2312"/>
        </w:rPr>
        <w:t>2</w:t>
      </w:r>
      <w:r>
        <w:rPr>
          <w:rFonts w:hint="eastAsia" w:ascii="Times New Roman" w:hAnsi="Times New Roman" w:eastAsia="仿宋_GB2312" w:cs="仿宋_GB2312"/>
          <w:lang w:val="en-US" w:eastAsia="zh-CN"/>
        </w:rPr>
        <w:t>8</w:t>
      </w:r>
      <w:r>
        <w:rPr>
          <w:rFonts w:hint="eastAsia" w:ascii="Times New Roman" w:hAnsi="Times New Roman" w:eastAsia="仿宋_GB2312" w:cs="仿宋_GB2312"/>
          <w:lang w:val="zh-CN"/>
        </w:rPr>
        <w:t xml:space="preserve"> 日</w:t>
      </w:r>
    </w:p>
    <w:p>
      <w:pPr>
        <w:pStyle w:val="14"/>
        <w:adjustRightInd w:val="0"/>
        <w:snapToGrid w:val="0"/>
        <w:spacing w:line="560" w:lineRule="exact"/>
        <w:ind w:left="0" w:leftChars="0"/>
        <w:jc w:val="left"/>
        <w:rPr>
          <w:rFonts w:eastAsia="仿宋_GB2312" w:cs="仿宋_GB2312"/>
          <w:sz w:val="28"/>
          <w:szCs w:val="28"/>
        </w:rPr>
      </w:pPr>
    </w:p>
    <w:p>
      <w:pPr>
        <w:pStyle w:val="14"/>
        <w:adjustRightInd w:val="0"/>
        <w:snapToGrid w:val="0"/>
        <w:spacing w:line="560" w:lineRule="exact"/>
        <w:ind w:left="0" w:leftChars="0" w:firstLine="560" w:firstLineChars="200"/>
        <w:jc w:val="left"/>
        <w:rPr>
          <w:rFonts w:hint="eastAsia" w:eastAsia="仿宋_GB2312" w:cs="仿宋_GB2312"/>
          <w:sz w:val="28"/>
          <w:szCs w:val="28"/>
          <w:lang w:val="en-US" w:eastAsia="zh-CN"/>
        </w:rPr>
      </w:pPr>
      <w:r>
        <w:rPr>
          <w:rFonts w:hint="eastAsia" w:eastAsia="黑体" w:cs="黑体"/>
          <w:sz w:val="28"/>
          <w:szCs w:val="28"/>
          <w:lang w:val="zh-CN"/>
        </w:rPr>
        <w:t>第一部分</w:t>
      </w:r>
      <w:r>
        <w:rPr>
          <w:rFonts w:hint="eastAsia" w:eastAsia="黑体" w:cs="黑体"/>
          <w:sz w:val="28"/>
          <w:szCs w:val="28"/>
          <w:lang w:val="en-US" w:eastAsia="zh-CN"/>
        </w:rPr>
        <w:t>单位</w:t>
      </w:r>
      <w:r>
        <w:rPr>
          <w:rFonts w:hint="eastAsia" w:eastAsia="黑体" w:cs="黑体"/>
          <w:sz w:val="28"/>
          <w:szCs w:val="28"/>
          <w:lang w:val="zh-CN"/>
        </w:rPr>
        <w:t>概况</w:t>
      </w:r>
      <w:r>
        <w:rPr>
          <w:rFonts w:hint="eastAsia" w:eastAsia="仿宋_GB2312" w:cs="仿宋_GB2312"/>
          <w:sz w:val="28"/>
          <w:szCs w:val="28"/>
        </w:rPr>
        <w:tab/>
      </w:r>
      <w:r>
        <w:rPr>
          <w:rFonts w:hint="eastAsia" w:eastAsia="仿宋_GB2312" w:cs="仿宋_GB2312"/>
          <w:sz w:val="28"/>
          <w:szCs w:val="28"/>
          <w:lang w:val="en-US" w:eastAsia="zh-CN"/>
        </w:rPr>
        <w:t>3</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一、</w:t>
      </w:r>
      <w:r>
        <w:rPr>
          <w:rFonts w:hint="eastAsia" w:eastAsia="仿宋_GB2312" w:cs="仿宋_GB2312"/>
          <w:sz w:val="28"/>
          <w:szCs w:val="28"/>
          <w:lang w:val="en-US" w:eastAsia="zh-CN"/>
        </w:rPr>
        <w:t>主要</w:t>
      </w:r>
      <w:r>
        <w:rPr>
          <w:rFonts w:hint="eastAsia" w:eastAsia="仿宋_GB2312" w:cs="仿宋_GB2312"/>
          <w:sz w:val="28"/>
          <w:szCs w:val="28"/>
          <w:lang w:val="zh-CN"/>
        </w:rPr>
        <w:t>职责</w:t>
      </w:r>
      <w:r>
        <w:rPr>
          <w:rFonts w:hint="eastAsia" w:eastAsia="仿宋_GB2312" w:cs="仿宋_GB2312"/>
          <w:sz w:val="28"/>
          <w:szCs w:val="28"/>
        </w:rPr>
        <w:tab/>
      </w:r>
      <w:r>
        <w:rPr>
          <w:rFonts w:hint="eastAsia" w:eastAsia="仿宋_GB2312" w:cs="仿宋_GB2312"/>
          <w:sz w:val="28"/>
          <w:szCs w:val="28"/>
          <w:lang w:val="en-US" w:eastAsia="zh-CN"/>
        </w:rPr>
        <w:t>3</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二、机构设置</w:t>
      </w:r>
      <w:r>
        <w:rPr>
          <w:rFonts w:hint="eastAsia" w:eastAsia="仿宋_GB2312" w:cs="仿宋_GB2312"/>
          <w:sz w:val="28"/>
          <w:szCs w:val="28"/>
        </w:rPr>
        <w:tab/>
      </w:r>
      <w:r>
        <w:rPr>
          <w:rFonts w:hint="eastAsia" w:eastAsia="仿宋_GB2312" w:cs="仿宋_GB2312"/>
          <w:sz w:val="28"/>
          <w:szCs w:val="28"/>
          <w:lang w:val="en-US" w:eastAsia="zh-CN"/>
        </w:rPr>
        <w:t>4</w:t>
      </w:r>
    </w:p>
    <w:p>
      <w:pPr>
        <w:pStyle w:val="14"/>
        <w:adjustRightInd w:val="0"/>
        <w:snapToGrid w:val="0"/>
        <w:spacing w:line="560" w:lineRule="exact"/>
        <w:ind w:left="0" w:leftChars="0" w:firstLine="560" w:firstLineChars="200"/>
        <w:jc w:val="left"/>
        <w:rPr>
          <w:rFonts w:hint="eastAsia" w:eastAsia="仿宋_GB2312" w:cs="仿宋_GB2312"/>
          <w:sz w:val="28"/>
          <w:szCs w:val="28"/>
          <w:lang w:val="en-US" w:eastAsia="zh-CN"/>
        </w:rPr>
      </w:pPr>
      <w:r>
        <w:rPr>
          <w:rFonts w:hint="eastAsia" w:eastAsia="黑体" w:cs="黑体"/>
          <w:sz w:val="28"/>
          <w:szCs w:val="28"/>
          <w:lang w:val="zh-CN"/>
        </w:rPr>
        <w:t>第二部分 202</w:t>
      </w:r>
      <w:r>
        <w:rPr>
          <w:rFonts w:hint="eastAsia" w:eastAsia="黑体" w:cs="黑体"/>
          <w:sz w:val="28"/>
          <w:szCs w:val="28"/>
        </w:rPr>
        <w:t>3</w:t>
      </w:r>
      <w:r>
        <w:rPr>
          <w:rFonts w:hint="eastAsia" w:eastAsia="黑体" w:cs="黑体"/>
          <w:sz w:val="28"/>
          <w:szCs w:val="28"/>
          <w:lang w:val="zh-CN"/>
        </w:rPr>
        <w:t>年度</w:t>
      </w:r>
      <w:r>
        <w:rPr>
          <w:rFonts w:hint="eastAsia" w:eastAsia="黑体" w:cs="黑体"/>
          <w:sz w:val="28"/>
          <w:szCs w:val="28"/>
          <w:lang w:val="en-US" w:eastAsia="zh-CN"/>
        </w:rPr>
        <w:t>单位</w:t>
      </w:r>
      <w:r>
        <w:rPr>
          <w:rFonts w:hint="eastAsia" w:eastAsia="黑体" w:cs="黑体"/>
          <w:sz w:val="28"/>
          <w:szCs w:val="28"/>
          <w:lang w:val="zh-CN"/>
        </w:rPr>
        <w:t>决算情况说明</w:t>
      </w:r>
      <w:r>
        <w:rPr>
          <w:rFonts w:hint="eastAsia" w:eastAsia="仿宋_GB2312" w:cs="仿宋_GB2312"/>
          <w:sz w:val="28"/>
          <w:szCs w:val="28"/>
        </w:rPr>
        <w:tab/>
      </w:r>
      <w:r>
        <w:rPr>
          <w:rFonts w:hint="eastAsia" w:eastAsia="仿宋_GB2312" w:cs="仿宋_GB2312"/>
          <w:sz w:val="28"/>
          <w:szCs w:val="28"/>
          <w:lang w:val="en-US" w:eastAsia="zh-CN"/>
        </w:rPr>
        <w:t>5</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一、收入支出决算总体情况说明</w:t>
      </w:r>
      <w:r>
        <w:rPr>
          <w:rFonts w:hint="eastAsia" w:eastAsia="仿宋_GB2312" w:cs="仿宋_GB2312"/>
          <w:sz w:val="28"/>
          <w:szCs w:val="28"/>
        </w:rPr>
        <w:tab/>
      </w:r>
      <w:r>
        <w:rPr>
          <w:rFonts w:hint="eastAsia" w:eastAsia="仿宋_GB2312" w:cs="仿宋_GB2312"/>
          <w:sz w:val="28"/>
          <w:szCs w:val="28"/>
          <w:lang w:val="en-US" w:eastAsia="zh-CN"/>
        </w:rPr>
        <w:t>5</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二、收入决算情况说明</w:t>
      </w:r>
      <w:r>
        <w:rPr>
          <w:rFonts w:hint="eastAsia" w:eastAsia="仿宋_GB2312" w:cs="仿宋_GB2312"/>
          <w:sz w:val="28"/>
          <w:szCs w:val="28"/>
        </w:rPr>
        <w:tab/>
      </w:r>
      <w:r>
        <w:rPr>
          <w:rFonts w:hint="eastAsia" w:eastAsia="仿宋_GB2312" w:cs="仿宋_GB2312"/>
          <w:sz w:val="28"/>
          <w:szCs w:val="28"/>
          <w:lang w:val="en-US" w:eastAsia="zh-CN"/>
        </w:rPr>
        <w:t>5</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三、支出决算情况说明</w:t>
      </w:r>
      <w:r>
        <w:rPr>
          <w:rFonts w:hint="eastAsia" w:eastAsia="仿宋_GB2312" w:cs="仿宋_GB2312"/>
          <w:sz w:val="28"/>
          <w:szCs w:val="28"/>
        </w:rPr>
        <w:tab/>
      </w:r>
      <w:r>
        <w:rPr>
          <w:rFonts w:hint="eastAsia" w:eastAsia="仿宋_GB2312" w:cs="仿宋_GB2312"/>
          <w:sz w:val="28"/>
          <w:szCs w:val="28"/>
          <w:lang w:val="en-US" w:eastAsia="zh-CN"/>
        </w:rPr>
        <w:t>6</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四、财政拨款收入支出决算总体情况说明</w:t>
      </w:r>
      <w:r>
        <w:rPr>
          <w:rFonts w:hint="eastAsia" w:eastAsia="仿宋_GB2312" w:cs="仿宋_GB2312"/>
          <w:sz w:val="28"/>
          <w:szCs w:val="28"/>
        </w:rPr>
        <w:tab/>
      </w:r>
      <w:r>
        <w:rPr>
          <w:rFonts w:hint="eastAsia" w:eastAsia="仿宋_GB2312" w:cs="仿宋_GB2312"/>
          <w:sz w:val="28"/>
          <w:szCs w:val="28"/>
          <w:lang w:val="en-US" w:eastAsia="zh-CN"/>
        </w:rPr>
        <w:t>7</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五、一般公共预算财政拨款支出决算情况说明</w:t>
      </w:r>
      <w:r>
        <w:rPr>
          <w:rFonts w:hint="eastAsia" w:eastAsia="仿宋_GB2312" w:cs="仿宋_GB2312"/>
          <w:sz w:val="28"/>
          <w:szCs w:val="28"/>
        </w:rPr>
        <w:tab/>
      </w:r>
      <w:r>
        <w:rPr>
          <w:rFonts w:hint="eastAsia" w:eastAsia="仿宋_GB2312" w:cs="仿宋_GB2312"/>
          <w:sz w:val="28"/>
          <w:szCs w:val="28"/>
          <w:lang w:val="en-US" w:eastAsia="zh-CN"/>
        </w:rPr>
        <w:t>7</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六、一般公共预算财政拨款基本支出决算情况说明</w:t>
      </w:r>
      <w:r>
        <w:rPr>
          <w:rFonts w:hint="eastAsia" w:eastAsia="仿宋_GB2312" w:cs="仿宋_GB2312"/>
          <w:sz w:val="28"/>
          <w:szCs w:val="28"/>
        </w:rPr>
        <w:tab/>
      </w:r>
      <w:r>
        <w:rPr>
          <w:rFonts w:hint="eastAsia" w:eastAsia="仿宋_GB2312" w:cs="仿宋_GB2312"/>
          <w:sz w:val="28"/>
          <w:szCs w:val="28"/>
        </w:rPr>
        <w:t>1</w:t>
      </w:r>
      <w:r>
        <w:rPr>
          <w:rFonts w:hint="eastAsia" w:eastAsia="仿宋_GB2312" w:cs="仿宋_GB2312"/>
          <w:sz w:val="28"/>
          <w:szCs w:val="28"/>
          <w:lang w:val="en-US" w:eastAsia="zh-CN"/>
        </w:rPr>
        <w:t>0</w:t>
      </w:r>
    </w:p>
    <w:p>
      <w:pPr>
        <w:pStyle w:val="14"/>
        <w:adjustRightInd w:val="0"/>
        <w:snapToGrid w:val="0"/>
        <w:spacing w:line="560" w:lineRule="exact"/>
        <w:ind w:left="0" w:leftChars="0" w:firstLine="1120" w:firstLineChars="400"/>
        <w:jc w:val="left"/>
        <w:rPr>
          <w:rFonts w:eastAsia="仿宋_GB2312" w:cs="仿宋_GB2312"/>
          <w:sz w:val="28"/>
          <w:szCs w:val="28"/>
        </w:rPr>
      </w:pPr>
      <w:r>
        <w:rPr>
          <w:rFonts w:hint="eastAsia" w:eastAsia="仿宋_GB2312" w:cs="仿宋_GB2312"/>
          <w:sz w:val="28"/>
          <w:szCs w:val="28"/>
          <w:lang w:val="zh-CN"/>
        </w:rPr>
        <w:t>七、财政拨款“三公”经费支出决算情况说明</w:t>
      </w:r>
      <w:r>
        <w:rPr>
          <w:rFonts w:hint="eastAsia" w:eastAsia="仿宋_GB2312" w:cs="仿宋_GB2312"/>
          <w:sz w:val="28"/>
          <w:szCs w:val="28"/>
        </w:rPr>
        <w:tab/>
      </w:r>
      <w:r>
        <w:rPr>
          <w:rFonts w:hint="eastAsia" w:eastAsia="仿宋_GB2312" w:cs="仿宋_GB2312"/>
          <w:sz w:val="28"/>
          <w:szCs w:val="28"/>
        </w:rPr>
        <w:t>12</w:t>
      </w:r>
    </w:p>
    <w:p>
      <w:pPr>
        <w:pStyle w:val="14"/>
        <w:adjustRightInd w:val="0"/>
        <w:snapToGrid w:val="0"/>
        <w:spacing w:line="560" w:lineRule="exact"/>
        <w:ind w:left="0" w:leftChars="0" w:firstLine="1120" w:firstLineChars="400"/>
        <w:jc w:val="left"/>
        <w:rPr>
          <w:rFonts w:eastAsia="仿宋_GB2312" w:cs="仿宋_GB2312"/>
          <w:sz w:val="28"/>
          <w:szCs w:val="28"/>
        </w:rPr>
      </w:pPr>
      <w:r>
        <w:rPr>
          <w:rFonts w:hint="eastAsia" w:eastAsia="仿宋_GB2312" w:cs="仿宋_GB2312"/>
          <w:sz w:val="28"/>
          <w:szCs w:val="28"/>
          <w:lang w:val="zh-CN"/>
        </w:rPr>
        <w:t>八、政府性基金预算支出决算情况说明</w:t>
      </w:r>
      <w:r>
        <w:rPr>
          <w:rFonts w:hint="eastAsia" w:eastAsia="仿宋_GB2312" w:cs="仿宋_GB2312"/>
          <w:sz w:val="28"/>
          <w:szCs w:val="28"/>
        </w:rPr>
        <w:tab/>
      </w:r>
      <w:r>
        <w:rPr>
          <w:rFonts w:hint="eastAsia" w:eastAsia="仿宋_GB2312" w:cs="仿宋_GB2312"/>
          <w:sz w:val="28"/>
          <w:szCs w:val="28"/>
        </w:rPr>
        <w:t>14</w:t>
      </w:r>
    </w:p>
    <w:p>
      <w:pPr>
        <w:pStyle w:val="14"/>
        <w:adjustRightInd w:val="0"/>
        <w:snapToGrid w:val="0"/>
        <w:spacing w:line="560" w:lineRule="exact"/>
        <w:ind w:left="0" w:leftChars="0" w:firstLine="1120" w:firstLineChars="400"/>
        <w:jc w:val="left"/>
        <w:rPr>
          <w:rFonts w:eastAsia="仿宋_GB2312" w:cs="仿宋_GB2312"/>
          <w:sz w:val="28"/>
          <w:szCs w:val="28"/>
        </w:rPr>
      </w:pPr>
      <w:r>
        <w:rPr>
          <w:rFonts w:hint="eastAsia" w:eastAsia="仿宋_GB2312" w:cs="仿宋_GB2312"/>
          <w:sz w:val="28"/>
          <w:szCs w:val="28"/>
          <w:lang w:val="zh-CN"/>
        </w:rPr>
        <w:t>九、国有资本经营预算支出决算情况说明</w:t>
      </w:r>
      <w:r>
        <w:rPr>
          <w:rFonts w:hint="eastAsia" w:eastAsia="仿宋_GB2312" w:cs="仿宋_GB2312"/>
          <w:sz w:val="28"/>
          <w:szCs w:val="28"/>
        </w:rPr>
        <w:tab/>
      </w:r>
      <w:r>
        <w:rPr>
          <w:rFonts w:hint="eastAsia" w:eastAsia="仿宋_GB2312" w:cs="仿宋_GB2312"/>
          <w:sz w:val="28"/>
          <w:szCs w:val="28"/>
        </w:rPr>
        <w:t>14</w:t>
      </w:r>
    </w:p>
    <w:p>
      <w:pPr>
        <w:pStyle w:val="14"/>
        <w:adjustRightInd w:val="0"/>
        <w:snapToGrid w:val="0"/>
        <w:spacing w:line="560" w:lineRule="exact"/>
        <w:ind w:left="0" w:leftChars="0" w:firstLine="1120" w:firstLineChars="400"/>
        <w:jc w:val="left"/>
        <w:rPr>
          <w:rFonts w:eastAsia="仿宋_GB2312" w:cs="仿宋_GB2312"/>
          <w:sz w:val="28"/>
          <w:szCs w:val="28"/>
        </w:rPr>
      </w:pPr>
      <w:r>
        <w:rPr>
          <w:rFonts w:hint="eastAsia" w:eastAsia="仿宋_GB2312" w:cs="仿宋_GB2312"/>
          <w:sz w:val="28"/>
          <w:szCs w:val="28"/>
        </w:rPr>
        <w:t>十、其他重要事项的情况说明</w:t>
      </w:r>
      <w:r>
        <w:rPr>
          <w:rFonts w:hint="eastAsia" w:eastAsia="仿宋_GB2312" w:cs="仿宋_GB2312"/>
          <w:sz w:val="28"/>
          <w:szCs w:val="28"/>
        </w:rPr>
        <w:tab/>
      </w:r>
      <w:r>
        <w:rPr>
          <w:rFonts w:hint="eastAsia" w:eastAsia="仿宋_GB2312" w:cs="仿宋_GB2312"/>
          <w:sz w:val="28"/>
          <w:szCs w:val="28"/>
        </w:rPr>
        <w:t>14</w:t>
      </w:r>
    </w:p>
    <w:p>
      <w:pPr>
        <w:pStyle w:val="14"/>
        <w:adjustRightInd w:val="0"/>
        <w:snapToGrid w:val="0"/>
        <w:spacing w:line="560" w:lineRule="exact"/>
        <w:ind w:left="0" w:leftChars="0" w:firstLine="560" w:firstLineChars="200"/>
        <w:jc w:val="left"/>
        <w:rPr>
          <w:rFonts w:hint="eastAsia" w:eastAsia="仿宋_GB2312" w:cs="仿宋_GB2312"/>
          <w:sz w:val="28"/>
          <w:szCs w:val="28"/>
          <w:lang w:val="en-US" w:eastAsia="zh-CN"/>
        </w:rPr>
      </w:pPr>
      <w:r>
        <w:rPr>
          <w:rFonts w:hint="eastAsia" w:eastAsia="黑体" w:cs="黑体"/>
          <w:sz w:val="28"/>
          <w:szCs w:val="28"/>
          <w:lang w:val="zh-CN"/>
        </w:rPr>
        <w:t>第三部分名词解释</w:t>
      </w:r>
      <w:r>
        <w:rPr>
          <w:rFonts w:hint="eastAsia" w:eastAsia="仿宋_GB2312" w:cs="仿宋_GB2312"/>
          <w:sz w:val="28"/>
          <w:szCs w:val="28"/>
        </w:rPr>
        <w:tab/>
      </w:r>
      <w:r>
        <w:rPr>
          <w:rFonts w:hint="eastAsia" w:eastAsia="仿宋_GB2312" w:cs="仿宋_GB2312"/>
          <w:sz w:val="28"/>
          <w:szCs w:val="28"/>
        </w:rPr>
        <w:t>1</w:t>
      </w:r>
      <w:r>
        <w:rPr>
          <w:rFonts w:hint="eastAsia" w:eastAsia="仿宋_GB2312" w:cs="仿宋_GB2312"/>
          <w:sz w:val="28"/>
          <w:szCs w:val="28"/>
          <w:lang w:val="en-US" w:eastAsia="zh-CN"/>
        </w:rPr>
        <w:t>6</w:t>
      </w:r>
    </w:p>
    <w:p>
      <w:pPr>
        <w:pStyle w:val="14"/>
        <w:adjustRightInd w:val="0"/>
        <w:snapToGrid w:val="0"/>
        <w:spacing w:line="560" w:lineRule="exact"/>
        <w:ind w:left="0" w:leftChars="0" w:firstLine="560" w:firstLineChars="200"/>
        <w:jc w:val="left"/>
        <w:rPr>
          <w:rFonts w:hint="eastAsia" w:eastAsia="仿宋_GB2312" w:cs="仿宋_GB2312"/>
          <w:sz w:val="28"/>
          <w:szCs w:val="28"/>
          <w:lang w:val="en-US" w:eastAsia="zh-CN"/>
        </w:rPr>
      </w:pPr>
      <w:r>
        <w:rPr>
          <w:rFonts w:hint="eastAsia" w:eastAsia="黑体" w:cs="黑体"/>
          <w:sz w:val="28"/>
          <w:szCs w:val="28"/>
          <w:lang w:val="zh-CN"/>
        </w:rPr>
        <w:t>第四部分附件</w:t>
      </w:r>
      <w:r>
        <w:rPr>
          <w:rFonts w:hint="eastAsia" w:eastAsia="仿宋_GB2312" w:cs="仿宋_GB2312"/>
          <w:sz w:val="28"/>
          <w:szCs w:val="28"/>
        </w:rPr>
        <w:tab/>
      </w:r>
      <w:r>
        <w:rPr>
          <w:rFonts w:hint="eastAsia" w:eastAsia="仿宋_GB2312" w:cs="仿宋_GB2312"/>
          <w:sz w:val="28"/>
          <w:szCs w:val="28"/>
        </w:rPr>
        <w:t>2</w:t>
      </w:r>
      <w:r>
        <w:rPr>
          <w:rFonts w:hint="eastAsia" w:eastAsia="仿宋_GB2312" w:cs="仿宋_GB2312"/>
          <w:sz w:val="28"/>
          <w:szCs w:val="28"/>
          <w:lang w:val="en-US" w:eastAsia="zh-CN"/>
        </w:rPr>
        <w:t>0</w:t>
      </w:r>
    </w:p>
    <w:p>
      <w:pPr>
        <w:pStyle w:val="14"/>
        <w:adjustRightInd w:val="0"/>
        <w:snapToGrid w:val="0"/>
        <w:spacing w:line="560" w:lineRule="exact"/>
        <w:ind w:left="0" w:leftChars="0" w:firstLine="560" w:firstLineChars="200"/>
        <w:jc w:val="left"/>
        <w:rPr>
          <w:rFonts w:hint="eastAsia" w:eastAsia="仿宋_GB2312" w:cs="仿宋_GB2312"/>
          <w:sz w:val="28"/>
          <w:szCs w:val="28"/>
          <w:lang w:val="en-US" w:eastAsia="zh-CN"/>
        </w:rPr>
      </w:pPr>
      <w:r>
        <w:rPr>
          <w:rFonts w:hint="eastAsia" w:eastAsia="黑体" w:cs="黑体"/>
          <w:sz w:val="28"/>
          <w:szCs w:val="28"/>
          <w:lang w:val="zh-CN"/>
        </w:rPr>
        <w:t>第五部分附表</w:t>
      </w:r>
      <w:r>
        <w:rPr>
          <w:rFonts w:hint="eastAsia" w:eastAsia="仿宋_GB2312" w:cs="仿宋_GB2312"/>
          <w:sz w:val="28"/>
          <w:szCs w:val="28"/>
        </w:rPr>
        <w:tab/>
      </w:r>
      <w:r>
        <w:rPr>
          <w:rFonts w:hint="eastAsia" w:eastAsia="仿宋_GB2312" w:cs="仿宋_GB2312"/>
          <w:sz w:val="28"/>
          <w:szCs w:val="28"/>
          <w:lang w:val="en-US" w:eastAsia="zh-CN"/>
        </w:rPr>
        <w:t>21</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一、收入支出决算总表</w:t>
      </w:r>
      <w:r>
        <w:rPr>
          <w:rFonts w:hint="eastAsia" w:eastAsia="仿宋_GB2312" w:cs="仿宋_GB2312"/>
          <w:sz w:val="28"/>
          <w:szCs w:val="28"/>
        </w:rPr>
        <w:tab/>
      </w:r>
      <w:r>
        <w:rPr>
          <w:rFonts w:hint="eastAsia" w:eastAsia="仿宋_GB2312" w:cs="仿宋_GB2312"/>
          <w:sz w:val="28"/>
          <w:szCs w:val="28"/>
          <w:lang w:val="en-US" w:eastAsia="zh-CN"/>
        </w:rPr>
        <w:t>21</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二、收入决算表</w:t>
      </w:r>
      <w:r>
        <w:rPr>
          <w:rFonts w:hint="eastAsia" w:eastAsia="仿宋_GB2312" w:cs="仿宋_GB2312"/>
          <w:sz w:val="28"/>
          <w:szCs w:val="28"/>
        </w:rPr>
        <w:tab/>
      </w:r>
      <w:r>
        <w:rPr>
          <w:rFonts w:hint="eastAsia" w:eastAsia="仿宋_GB2312" w:cs="仿宋_GB2312"/>
          <w:sz w:val="28"/>
          <w:szCs w:val="28"/>
          <w:lang w:val="en-US" w:eastAsia="zh-CN"/>
        </w:rPr>
        <w:t>21</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三、支出决算表</w:t>
      </w:r>
      <w:r>
        <w:rPr>
          <w:rFonts w:hint="eastAsia" w:eastAsia="仿宋_GB2312" w:cs="仿宋_GB2312"/>
          <w:sz w:val="28"/>
          <w:szCs w:val="28"/>
        </w:rPr>
        <w:tab/>
      </w:r>
      <w:r>
        <w:rPr>
          <w:rFonts w:hint="eastAsia" w:eastAsia="仿宋_GB2312" w:cs="仿宋_GB2312"/>
          <w:sz w:val="28"/>
          <w:szCs w:val="28"/>
          <w:lang w:val="en-US" w:eastAsia="zh-CN"/>
        </w:rPr>
        <w:t>21</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四、财政拨款收入支出决算总表</w:t>
      </w:r>
      <w:r>
        <w:rPr>
          <w:rFonts w:hint="eastAsia" w:eastAsia="仿宋_GB2312" w:cs="仿宋_GB2312"/>
          <w:sz w:val="28"/>
          <w:szCs w:val="28"/>
        </w:rPr>
        <w:tab/>
      </w:r>
      <w:r>
        <w:rPr>
          <w:rFonts w:hint="eastAsia" w:eastAsia="仿宋_GB2312" w:cs="仿宋_GB2312"/>
          <w:sz w:val="28"/>
          <w:szCs w:val="28"/>
          <w:lang w:val="en-US" w:eastAsia="zh-CN"/>
        </w:rPr>
        <w:t>21</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五、财政拨款支出决算明细表</w:t>
      </w:r>
      <w:r>
        <w:rPr>
          <w:rFonts w:hint="eastAsia" w:eastAsia="仿宋_GB2312" w:cs="仿宋_GB2312"/>
          <w:sz w:val="28"/>
          <w:szCs w:val="28"/>
        </w:rPr>
        <w:tab/>
      </w:r>
      <w:r>
        <w:rPr>
          <w:rFonts w:hint="eastAsia" w:eastAsia="仿宋_GB2312" w:cs="仿宋_GB2312"/>
          <w:sz w:val="28"/>
          <w:szCs w:val="28"/>
          <w:lang w:val="en-US" w:eastAsia="zh-CN"/>
        </w:rPr>
        <w:t>21</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六、一般公共预算财政拨款支出决算表</w:t>
      </w:r>
      <w:r>
        <w:rPr>
          <w:rFonts w:hint="eastAsia" w:eastAsia="仿宋_GB2312" w:cs="仿宋_GB2312"/>
          <w:sz w:val="28"/>
          <w:szCs w:val="28"/>
        </w:rPr>
        <w:tab/>
      </w:r>
      <w:r>
        <w:rPr>
          <w:rFonts w:hint="eastAsia" w:eastAsia="仿宋_GB2312" w:cs="仿宋_GB2312"/>
          <w:sz w:val="28"/>
          <w:szCs w:val="28"/>
          <w:lang w:val="en-US" w:eastAsia="zh-CN"/>
        </w:rPr>
        <w:t>21</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七、一般公共预算财政拨款支出决算明细表</w:t>
      </w:r>
      <w:r>
        <w:rPr>
          <w:rFonts w:hint="eastAsia" w:eastAsia="仿宋_GB2312" w:cs="仿宋_GB2312"/>
          <w:sz w:val="28"/>
          <w:szCs w:val="28"/>
        </w:rPr>
        <w:tab/>
      </w:r>
      <w:r>
        <w:rPr>
          <w:rFonts w:hint="eastAsia" w:eastAsia="仿宋_GB2312" w:cs="仿宋_GB2312"/>
          <w:sz w:val="28"/>
          <w:szCs w:val="28"/>
          <w:lang w:val="en-US" w:eastAsia="zh-CN"/>
        </w:rPr>
        <w:t>21</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八、一般公共预算财政拨款基本支出决算明细表</w:t>
      </w:r>
      <w:r>
        <w:rPr>
          <w:rFonts w:hint="eastAsia" w:eastAsia="仿宋_GB2312" w:cs="仿宋_GB2312"/>
          <w:sz w:val="28"/>
          <w:szCs w:val="28"/>
        </w:rPr>
        <w:tab/>
      </w:r>
      <w:r>
        <w:rPr>
          <w:rFonts w:hint="eastAsia" w:eastAsia="仿宋_GB2312" w:cs="仿宋_GB2312"/>
          <w:sz w:val="28"/>
          <w:szCs w:val="28"/>
          <w:lang w:val="en-US" w:eastAsia="zh-CN"/>
        </w:rPr>
        <w:t>21</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九、一般公共预算财政拨款项目支出决算表</w:t>
      </w:r>
      <w:r>
        <w:rPr>
          <w:rFonts w:hint="eastAsia" w:eastAsia="仿宋_GB2312" w:cs="仿宋_GB2312"/>
          <w:sz w:val="28"/>
          <w:szCs w:val="28"/>
        </w:rPr>
        <w:tab/>
      </w:r>
      <w:r>
        <w:rPr>
          <w:rFonts w:hint="eastAsia" w:eastAsia="仿宋_GB2312" w:cs="仿宋_GB2312"/>
          <w:sz w:val="28"/>
          <w:szCs w:val="28"/>
          <w:lang w:val="en-US" w:eastAsia="zh-CN"/>
        </w:rPr>
        <w:t>21</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十、政府性基金预算财政拨款收入支出决算表</w:t>
      </w:r>
      <w:r>
        <w:rPr>
          <w:rFonts w:hint="eastAsia" w:eastAsia="仿宋_GB2312" w:cs="仿宋_GB2312"/>
          <w:sz w:val="28"/>
          <w:szCs w:val="28"/>
        </w:rPr>
        <w:tab/>
      </w:r>
      <w:r>
        <w:rPr>
          <w:rFonts w:hint="eastAsia" w:eastAsia="仿宋_GB2312" w:cs="仿宋_GB2312"/>
          <w:sz w:val="28"/>
          <w:szCs w:val="28"/>
          <w:lang w:val="en-US" w:eastAsia="zh-CN"/>
        </w:rPr>
        <w:t>21</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十一、国有资本经营预算财政拨款收入支出决算表</w:t>
      </w:r>
      <w:r>
        <w:rPr>
          <w:rFonts w:hint="eastAsia" w:eastAsia="仿宋_GB2312" w:cs="仿宋_GB2312"/>
          <w:sz w:val="28"/>
          <w:szCs w:val="28"/>
        </w:rPr>
        <w:tab/>
      </w:r>
      <w:r>
        <w:rPr>
          <w:rFonts w:hint="eastAsia" w:eastAsia="仿宋_GB2312" w:cs="仿宋_GB2312"/>
          <w:sz w:val="28"/>
          <w:szCs w:val="28"/>
          <w:lang w:val="en-US" w:eastAsia="zh-CN"/>
        </w:rPr>
        <w:t>21</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十二、国有资本经营预算财政拨款支出决算表</w:t>
      </w:r>
      <w:r>
        <w:rPr>
          <w:rFonts w:hint="eastAsia" w:eastAsia="仿宋_GB2312" w:cs="仿宋_GB2312"/>
          <w:sz w:val="28"/>
          <w:szCs w:val="28"/>
        </w:rPr>
        <w:tab/>
      </w:r>
      <w:r>
        <w:rPr>
          <w:rFonts w:hint="eastAsia" w:eastAsia="仿宋_GB2312" w:cs="仿宋_GB2312"/>
          <w:sz w:val="28"/>
          <w:szCs w:val="28"/>
          <w:lang w:val="en-US" w:eastAsia="zh-CN"/>
        </w:rPr>
        <w:t>21</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十三、财政拨款“三公”经费支出决算表</w:t>
      </w:r>
      <w:r>
        <w:rPr>
          <w:rFonts w:hint="eastAsia" w:eastAsia="仿宋_GB2312" w:cs="仿宋_GB2312"/>
          <w:sz w:val="28"/>
          <w:szCs w:val="28"/>
        </w:rPr>
        <w:tab/>
      </w:r>
      <w:r>
        <w:rPr>
          <w:rFonts w:hint="eastAsia" w:eastAsia="仿宋_GB2312" w:cs="仿宋_GB2312"/>
          <w:sz w:val="28"/>
          <w:szCs w:val="28"/>
          <w:lang w:val="en-US" w:eastAsia="zh-CN"/>
        </w:rPr>
        <w:t>21</w:t>
      </w:r>
    </w:p>
    <w:p>
      <w:pPr>
        <w:pStyle w:val="14"/>
        <w:adjustRightInd w:val="0"/>
        <w:snapToGrid w:val="0"/>
        <w:spacing w:line="560" w:lineRule="exact"/>
        <w:ind w:left="0" w:leftChars="0" w:firstLine="640" w:firstLineChars="200"/>
        <w:jc w:val="left"/>
        <w:rPr>
          <w:rFonts w:eastAsia="仿宋_GB2312" w:cs="仿宋_GB2312"/>
          <w:sz w:val="32"/>
          <w:szCs w:val="32"/>
        </w:rPr>
      </w:pPr>
    </w:p>
    <w:p>
      <w:pPr>
        <w:pStyle w:val="2"/>
        <w:rPr>
          <w:rFonts w:eastAsia="仿宋_GB2312" w:cs="仿宋_GB2312"/>
          <w:b/>
          <w:sz w:val="32"/>
          <w:szCs w:val="32"/>
        </w:rPr>
      </w:pPr>
    </w:p>
    <w:p>
      <w:pPr>
        <w:pStyle w:val="3"/>
        <w:ind w:left="420" w:firstLine="643"/>
        <w:rPr>
          <w:rFonts w:ascii="Times New Roman" w:eastAsia="仿宋_GB2312" w:cs="仿宋_GB2312"/>
          <w:b/>
          <w:sz w:val="32"/>
        </w:rPr>
      </w:pPr>
    </w:p>
    <w:p>
      <w:pPr>
        <w:pStyle w:val="3"/>
        <w:ind w:left="420" w:firstLine="643"/>
        <w:rPr>
          <w:rFonts w:ascii="Times New Roman" w:eastAsia="仿宋_GB2312" w:cs="仿宋_GB2312"/>
          <w:b/>
          <w:sz w:val="32"/>
        </w:rPr>
      </w:pPr>
    </w:p>
    <w:p>
      <w:pPr>
        <w:pStyle w:val="5"/>
        <w:rPr>
          <w:rFonts w:eastAsia="方正小标宋简体" w:cs="方正小标宋简体"/>
          <w:b w:val="0"/>
        </w:rPr>
      </w:pPr>
    </w:p>
    <w:p>
      <w:pPr>
        <w:rPr>
          <w:rFonts w:eastAsia="方正小标宋简体" w:cs="方正小标宋简体"/>
        </w:rPr>
      </w:pPr>
    </w:p>
    <w:p>
      <w:pPr>
        <w:pStyle w:val="2"/>
        <w:rPr>
          <w:rFonts w:eastAsia="方正小标宋简体" w:cs="方正小标宋简体"/>
        </w:rPr>
      </w:pPr>
    </w:p>
    <w:p>
      <w:pPr>
        <w:pStyle w:val="3"/>
        <w:ind w:left="420"/>
        <w:rPr>
          <w:rFonts w:ascii="Times New Roman" w:eastAsia="方正小标宋简体" w:cs="方正小标宋简体"/>
        </w:rPr>
      </w:pPr>
    </w:p>
    <w:p>
      <w:pPr>
        <w:pStyle w:val="3"/>
        <w:ind w:left="420"/>
        <w:rPr>
          <w:rFonts w:ascii="Times New Roman" w:eastAsia="方正小标宋简体" w:cs="方正小标宋简体"/>
        </w:rPr>
      </w:pPr>
    </w:p>
    <w:p>
      <w:pPr>
        <w:pStyle w:val="3"/>
        <w:ind w:left="420"/>
        <w:rPr>
          <w:rFonts w:ascii="Times New Roman" w:eastAsia="方正小标宋简体" w:cs="方正小标宋简体"/>
        </w:rPr>
      </w:pPr>
    </w:p>
    <w:p>
      <w:pPr>
        <w:pStyle w:val="5"/>
        <w:jc w:val="center"/>
        <w:rPr>
          <w:rFonts w:eastAsia="黑体"/>
          <w:sz w:val="32"/>
          <w:szCs w:val="32"/>
        </w:rPr>
      </w:pPr>
      <w:r>
        <w:rPr>
          <w:rFonts w:hint="eastAsia" w:eastAsia="方正小标宋简体" w:cs="方正小标宋简体"/>
          <w:b w:val="0"/>
        </w:rPr>
        <w:t xml:space="preserve">第一部分  </w:t>
      </w:r>
      <w:r>
        <w:rPr>
          <w:rFonts w:hint="eastAsia" w:eastAsia="方正小标宋简体" w:cs="方正小标宋简体"/>
          <w:b w:val="0"/>
          <w:lang w:val="en-US" w:eastAsia="zh-CN"/>
        </w:rPr>
        <w:t>单位</w:t>
      </w:r>
      <w:r>
        <w:rPr>
          <w:rStyle w:val="28"/>
          <w:rFonts w:hint="eastAsia" w:eastAsia="方正小标宋简体" w:cs="方正小标宋简体"/>
          <w:b w:val="0"/>
          <w:bCs w:val="0"/>
        </w:rPr>
        <w:t>概况</w:t>
      </w:r>
      <w:bookmarkEnd w:id="12"/>
      <w:bookmarkEnd w:id="13"/>
    </w:p>
    <w:p>
      <w:pPr>
        <w:pStyle w:val="6"/>
        <w:ind w:firstLine="640" w:firstLineChars="200"/>
        <w:rPr>
          <w:rFonts w:ascii="Times New Roman" w:hAnsi="Times New Roman" w:eastAsia="黑体"/>
          <w:b w:val="0"/>
        </w:rPr>
      </w:pPr>
      <w:bookmarkStart w:id="14" w:name="_Toc15377197"/>
      <w:bookmarkStart w:id="15" w:name="_Toc15396600"/>
      <w:r>
        <w:rPr>
          <w:rFonts w:hint="eastAsia" w:ascii="Times New Roman" w:hAnsi="Times New Roman" w:eastAsia="黑体"/>
          <w:b w:val="0"/>
        </w:rPr>
        <w:t>一、</w:t>
      </w:r>
      <w:bookmarkEnd w:id="14"/>
      <w:bookmarkEnd w:id="15"/>
      <w:r>
        <w:rPr>
          <w:rFonts w:hint="eastAsia" w:ascii="Times New Roman" w:hAnsi="Times New Roman" w:eastAsia="黑体"/>
          <w:b w:val="0"/>
          <w:lang w:val="en-US" w:eastAsia="zh-CN"/>
        </w:rPr>
        <w:t>主要</w:t>
      </w:r>
      <w:r>
        <w:rPr>
          <w:rFonts w:hint="eastAsia" w:ascii="Times New Roman" w:hAnsi="Times New Roman" w:eastAsia="黑体"/>
          <w:b w:val="0"/>
        </w:rPr>
        <w:t>职责</w:t>
      </w:r>
    </w:p>
    <w:p>
      <w:pPr>
        <w:spacing w:before="93" w:line="576" w:lineRule="exact"/>
        <w:ind w:firstLine="640"/>
        <w:rPr>
          <w:rFonts w:ascii="仿宋_GB2312" w:hAnsi="仿宋_GB2312" w:eastAsia="仿宋_GB2312"/>
          <w:color w:val="000000"/>
          <w:sz w:val="32"/>
        </w:rPr>
      </w:pPr>
      <w:r>
        <w:rPr>
          <w:rFonts w:hint="eastAsia" w:ascii="仿宋_GB2312" w:hAnsi="仿宋_GB2312" w:eastAsia="仿宋_GB2312"/>
          <w:color w:val="000000"/>
          <w:sz w:val="32"/>
        </w:rPr>
        <w:t>1.贯彻落实国家和省、市、区有关深化行政审批制度改革的方针政策和决策部署，负责组织推进全区深化行政审批制度改革工作，建立健全行政审批工作机制，并组织实施。</w:t>
      </w:r>
    </w:p>
    <w:p>
      <w:pPr>
        <w:spacing w:before="93" w:line="576" w:lineRule="exact"/>
        <w:ind w:firstLine="640"/>
        <w:rPr>
          <w:rFonts w:ascii="仿宋_GB2312" w:hAnsi="仿宋_GB2312" w:eastAsia="仿宋_GB2312"/>
          <w:color w:val="000000"/>
          <w:sz w:val="32"/>
        </w:rPr>
      </w:pPr>
      <w:r>
        <w:rPr>
          <w:rFonts w:hint="eastAsia" w:ascii="仿宋_GB2312" w:hAnsi="仿宋_GB2312" w:eastAsia="仿宋_GB2312"/>
          <w:color w:val="000000"/>
          <w:sz w:val="32"/>
        </w:rPr>
        <w:t>2.按照省、市、区部署和要求，推进相对集中行政许可权改革。负责行使相对集中的行政许可权，并承担相应的法律责任；负责统一组织实施行政审批涉及的现场踏勘、聘请专家进行技术论证等工作；负责与上级业务主管部门的联系、对接、协调工作，承接上级下放的行政许可事项；负责对行政许可事项流程进行规范和优化，推进行政审批标准化建设和依法规范公开运行；负责行政审批信息化建设。</w:t>
      </w:r>
    </w:p>
    <w:p>
      <w:pPr>
        <w:spacing w:before="93" w:line="576" w:lineRule="exact"/>
        <w:ind w:firstLine="640"/>
        <w:rPr>
          <w:rFonts w:ascii="仿宋_GB2312" w:hAnsi="仿宋_GB2312" w:eastAsia="仿宋_GB2312"/>
          <w:color w:val="000000"/>
          <w:sz w:val="32"/>
        </w:rPr>
      </w:pPr>
      <w:r>
        <w:rPr>
          <w:rFonts w:hint="eastAsia" w:ascii="仿宋_GB2312" w:hAnsi="仿宋_GB2312" w:eastAsia="仿宋_GB2312"/>
          <w:color w:val="000000"/>
          <w:sz w:val="32"/>
        </w:rPr>
        <w:t>3.负责贯彻落实中央、省、市、区关于政务服务工作的方针政策和决策部署。</w:t>
      </w:r>
    </w:p>
    <w:p>
      <w:pPr>
        <w:spacing w:before="93" w:line="576" w:lineRule="exact"/>
        <w:ind w:firstLine="640"/>
        <w:rPr>
          <w:rFonts w:ascii="仿宋_GB2312" w:hAnsi="仿宋_GB2312" w:eastAsia="仿宋_GB2312"/>
          <w:color w:val="000000"/>
          <w:sz w:val="32"/>
        </w:rPr>
      </w:pPr>
      <w:r>
        <w:rPr>
          <w:rFonts w:hint="eastAsia" w:ascii="仿宋_GB2312" w:hAnsi="仿宋_GB2312" w:eastAsia="仿宋_GB2312"/>
          <w:color w:val="000000"/>
          <w:sz w:val="32"/>
        </w:rPr>
        <w:t>4.负责政务服务管理工作。负责制定政务大厅各项规章制度、管理办法并组织实施；负责组织、指导、监督区级部门（单位）集中开展政务服务工作，并对进驻政务大厅的部门（单位）窗口及人员进行管理、考核；负责电子政务服务平台建设和运行管理工作。</w:t>
      </w:r>
    </w:p>
    <w:p>
      <w:pPr>
        <w:spacing w:before="93" w:line="576" w:lineRule="exact"/>
        <w:ind w:firstLine="640"/>
        <w:rPr>
          <w:rFonts w:ascii="仿宋_GB2312" w:hAnsi="仿宋_GB2312" w:eastAsia="仿宋_GB2312"/>
          <w:color w:val="000000"/>
          <w:sz w:val="32"/>
        </w:rPr>
      </w:pPr>
      <w:r>
        <w:rPr>
          <w:rFonts w:hint="eastAsia" w:ascii="仿宋_GB2312" w:hAnsi="仿宋_GB2312" w:eastAsia="仿宋_GB2312"/>
          <w:color w:val="000000"/>
          <w:sz w:val="32"/>
        </w:rPr>
        <w:t>5.负责职责范围的安全生产和职业健康、生态环境保护、审批服务便民化等工作。</w:t>
      </w:r>
    </w:p>
    <w:p>
      <w:pPr>
        <w:spacing w:before="93" w:line="576" w:lineRule="exact"/>
        <w:ind w:firstLine="640"/>
        <w:rPr>
          <w:rFonts w:ascii="仿宋_GB2312" w:hAnsi="仿宋_GB2312" w:eastAsia="仿宋_GB2312"/>
          <w:color w:val="000000"/>
          <w:sz w:val="32"/>
        </w:rPr>
      </w:pPr>
      <w:r>
        <w:rPr>
          <w:rFonts w:hint="eastAsia" w:ascii="仿宋_GB2312" w:hAnsi="仿宋_GB2312" w:eastAsia="仿宋_GB2312"/>
          <w:color w:val="000000"/>
          <w:sz w:val="32"/>
        </w:rPr>
        <w:t>6.完成区委、区政府交办的其他工作。</w:t>
      </w:r>
    </w:p>
    <w:p>
      <w:pPr>
        <w:spacing w:before="93" w:line="576" w:lineRule="exact"/>
        <w:ind w:firstLine="640"/>
        <w:rPr>
          <w:rFonts w:ascii="仿宋_GB2312" w:hAnsi="仿宋_GB2312" w:eastAsia="仿宋_GB2312"/>
          <w:color w:val="000000"/>
          <w:sz w:val="32"/>
          <w:lang w:val="zh-CN"/>
        </w:rPr>
      </w:pPr>
      <w:r>
        <w:rPr>
          <w:rFonts w:hint="eastAsia" w:ascii="仿宋_GB2312" w:hAnsi="仿宋_GB2312" w:eastAsia="仿宋_GB2312"/>
          <w:color w:val="000000"/>
          <w:sz w:val="32"/>
        </w:rPr>
        <w:t>7.职能转变。坚持以人民为中心的发展思想，以方便企业和群众办事为目标，努力调高政务服务质量和效率，积极推进政务服务“一网、一门、一次”改革。</w:t>
      </w:r>
    </w:p>
    <w:p/>
    <w:p>
      <w:pPr>
        <w:pStyle w:val="6"/>
        <w:ind w:firstLine="640" w:firstLineChars="200"/>
        <w:rPr>
          <w:rStyle w:val="29"/>
          <w:rFonts w:ascii="Times New Roman" w:hAnsi="Times New Roman"/>
          <w:b w:val="0"/>
          <w:bCs w:val="0"/>
        </w:rPr>
      </w:pPr>
      <w:bookmarkStart w:id="16" w:name="_Toc15377200"/>
      <w:bookmarkStart w:id="17" w:name="_Toc15396601"/>
      <w:r>
        <w:rPr>
          <w:rFonts w:hint="eastAsia" w:ascii="仿宋_GB2312" w:hAnsi="仿宋_GB2312" w:eastAsia="仿宋_GB2312" w:cs="仿宋_GB2312"/>
          <w:b w:val="0"/>
          <w:bCs w:val="0"/>
          <w:kern w:val="2"/>
          <w:sz w:val="32"/>
          <w:szCs w:val="32"/>
          <w:lang w:val="en-US" w:eastAsia="zh-CN" w:bidi="ar-SA"/>
        </w:rPr>
        <w:t>二</w:t>
      </w:r>
      <w:r>
        <w:rPr>
          <w:rFonts w:hint="eastAsia" w:ascii="Times New Roman" w:hAnsi="Times New Roman" w:eastAsia="黑体"/>
          <w:b w:val="0"/>
        </w:rPr>
        <w:t>、机</w:t>
      </w:r>
      <w:r>
        <w:rPr>
          <w:rStyle w:val="29"/>
          <w:rFonts w:hint="eastAsia" w:ascii="Times New Roman" w:hAnsi="Times New Roman" w:eastAsia="黑体"/>
          <w:b w:val="0"/>
          <w:bCs w:val="0"/>
        </w:rPr>
        <w:t>构设置</w:t>
      </w:r>
      <w:bookmarkEnd w:id="16"/>
      <w:bookmarkEnd w:id="17"/>
    </w:p>
    <w:p>
      <w:pPr>
        <w:spacing w:before="93"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攀枝花市东区行政审批局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属于</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级预算</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val="en-US" w:eastAsia="zh-CN"/>
        </w:rPr>
        <w:t>下属</w:t>
      </w:r>
      <w:r>
        <w:rPr>
          <w:rFonts w:hint="eastAsia" w:ascii="仿宋_GB2312" w:hAnsi="仿宋_GB2312" w:eastAsia="仿宋_GB2312" w:cs="仿宋_GB2312"/>
          <w:sz w:val="32"/>
          <w:szCs w:val="32"/>
        </w:rPr>
        <w:t>预算单位。</w:t>
      </w:r>
    </w:p>
    <w:p>
      <w:pPr>
        <w:spacing w:before="93"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年度</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决算编制范围的预算单位包括：</w:t>
      </w:r>
    </w:p>
    <w:p>
      <w:pPr>
        <w:spacing w:before="93" w:line="576" w:lineRule="exact"/>
        <w:ind w:firstLine="640"/>
        <w:rPr>
          <w:rFonts w:eastAsia="仿宋"/>
          <w:kern w:val="0"/>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攀枝花市东区行政审批局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本级</w:t>
      </w:r>
      <w:r>
        <w:rPr>
          <w:rFonts w:hint="eastAsia" w:ascii="仿宋_GB2312" w:hAnsi="仿宋_GB2312" w:eastAsia="仿宋_GB2312" w:cs="仿宋_GB2312"/>
          <w:sz w:val="32"/>
          <w:szCs w:val="32"/>
          <w:lang w:eastAsia="zh-CN"/>
        </w:rPr>
        <w:t>）</w:t>
      </w:r>
      <w:r>
        <w:rPr>
          <w:rFonts w:eastAsia="仿宋"/>
          <w:sz w:val="32"/>
          <w:szCs w:val="32"/>
        </w:rPr>
        <w:br w:type="page"/>
      </w:r>
    </w:p>
    <w:p>
      <w:pPr>
        <w:pStyle w:val="5"/>
        <w:jc w:val="center"/>
        <w:rPr>
          <w:rFonts w:eastAsia="方正小标宋简体" w:cs="方正小标宋简体"/>
          <w:b w:val="0"/>
        </w:rPr>
      </w:pPr>
      <w:bookmarkStart w:id="18" w:name="_Toc15396602"/>
      <w:bookmarkStart w:id="19" w:name="_Toc15377204"/>
      <w:r>
        <w:rPr>
          <w:rFonts w:hint="eastAsia" w:eastAsia="方正小标宋简体" w:cs="方正小标宋简体"/>
          <w:b w:val="0"/>
        </w:rPr>
        <w:t>第二部分  2024年度</w:t>
      </w:r>
      <w:r>
        <w:rPr>
          <w:rFonts w:hint="eastAsia" w:eastAsia="方正小标宋简体" w:cs="方正小标宋简体"/>
          <w:b w:val="0"/>
          <w:lang w:val="en-US" w:eastAsia="zh-CN"/>
        </w:rPr>
        <w:t>单位</w:t>
      </w:r>
      <w:r>
        <w:rPr>
          <w:rFonts w:hint="eastAsia" w:eastAsia="方正小标宋简体" w:cs="方正小标宋简体"/>
          <w:b w:val="0"/>
        </w:rPr>
        <w:t>决算情况说明</w:t>
      </w:r>
      <w:bookmarkEnd w:id="18"/>
      <w:bookmarkEnd w:id="19"/>
    </w:p>
    <w:p/>
    <w:p>
      <w:pPr>
        <w:pStyle w:val="27"/>
        <w:spacing w:line="600" w:lineRule="exact"/>
        <w:ind w:firstLine="640"/>
        <w:outlineLvl w:val="1"/>
        <w:rPr>
          <w:rStyle w:val="29"/>
          <w:rFonts w:ascii="Times New Roman" w:hAnsi="Times New Roman" w:eastAsia="黑体"/>
          <w:b w:val="0"/>
        </w:rPr>
      </w:pPr>
      <w:bookmarkStart w:id="20" w:name="_Toc15396603"/>
      <w:bookmarkStart w:id="21" w:name="_Toc15377205"/>
      <w:r>
        <w:rPr>
          <w:rFonts w:hint="eastAsia" w:eastAsia="黑体"/>
          <w:sz w:val="32"/>
          <w:szCs w:val="32"/>
        </w:rPr>
        <w:t>一、收</w:t>
      </w:r>
      <w:r>
        <w:rPr>
          <w:rStyle w:val="29"/>
          <w:rFonts w:hint="eastAsia" w:ascii="Times New Roman" w:hAnsi="Times New Roman" w:eastAsia="黑体"/>
          <w:b w:val="0"/>
        </w:rPr>
        <w:t>入支出决算总体情况说明</w:t>
      </w:r>
      <w:bookmarkEnd w:id="20"/>
      <w:bookmarkEnd w:id="21"/>
    </w:p>
    <w:p>
      <w:pPr>
        <w:pStyle w:val="27"/>
        <w:spacing w:line="600" w:lineRule="exact"/>
        <w:ind w:firstLine="640"/>
        <w:outlineLvl w:val="1"/>
        <w:rPr>
          <w:rFonts w:eastAsia="仿宋_GB2312" w:cs="仿宋_GB2312"/>
          <w:sz w:val="32"/>
          <w:szCs w:val="32"/>
        </w:rPr>
      </w:pPr>
      <w:r>
        <w:rPr>
          <w:rFonts w:hint="eastAsia" w:eastAsia="仿宋_GB2312" w:cs="仿宋_GB2312"/>
          <w:color w:val="FF0000"/>
          <w:sz w:val="32"/>
          <w:szCs w:val="32"/>
        </w:rPr>
        <w:drawing>
          <wp:anchor distT="0" distB="0" distL="114300" distR="114300" simplePos="0" relativeHeight="251648000" behindDoc="0" locked="0" layoutInCell="1" allowOverlap="1">
            <wp:simplePos x="0" y="0"/>
            <wp:positionH relativeFrom="column">
              <wp:posOffset>-76200</wp:posOffset>
            </wp:positionH>
            <wp:positionV relativeFrom="paragraph">
              <wp:posOffset>1190625</wp:posOffset>
            </wp:positionV>
            <wp:extent cx="5067300" cy="2905125"/>
            <wp:effectExtent l="4445" t="4445" r="14605" b="508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1048.14</w:t>
      </w:r>
      <w:r>
        <w:rPr>
          <w:rFonts w:hint="eastAsia" w:eastAsia="仿宋_GB2312" w:cs="仿宋_GB2312"/>
          <w:sz w:val="32"/>
          <w:szCs w:val="32"/>
        </w:rPr>
        <w:t>万元。与2023年度相比，收入、支出总计各减少149.16万元，下降12.46%。主要变动原因是人员经费和项目经费减少。</w:t>
      </w:r>
    </w:p>
    <w:p>
      <w:pPr>
        <w:rPr>
          <w:rFonts w:eastAsia="仿宋_GB2312" w:cs="仿宋_GB2312"/>
          <w:sz w:val="32"/>
          <w:szCs w:val="32"/>
        </w:rPr>
      </w:pPr>
      <w:r>
        <w:rPr>
          <w:rFonts w:hint="eastAsia" w:eastAsia="仿宋_GB2312" w:cs="仿宋_GB2312"/>
          <w:color w:val="FF0000"/>
          <w:sz w:val="32"/>
          <w:szCs w:val="32"/>
        </w:rPr>
        <w:t xml:space="preserve">      </w:t>
      </w:r>
      <w:r>
        <w:rPr>
          <w:rFonts w:hint="eastAsia" w:eastAsia="仿宋_GB2312" w:cs="仿宋_GB2312"/>
          <w:sz w:val="32"/>
          <w:szCs w:val="32"/>
        </w:rPr>
        <w:t>图1：收入、支出决算总计变动情况图）</w:t>
      </w:r>
    </w:p>
    <w:p>
      <w:pPr>
        <w:rPr>
          <w:rFonts w:eastAsia="仿宋_GB2312" w:cs="仿宋_GB2312"/>
          <w:sz w:val="32"/>
          <w:szCs w:val="32"/>
        </w:rPr>
      </w:pPr>
    </w:p>
    <w:p>
      <w:pPr>
        <w:pStyle w:val="27"/>
        <w:spacing w:line="600" w:lineRule="exact"/>
        <w:ind w:firstLine="640"/>
        <w:outlineLvl w:val="1"/>
        <w:rPr>
          <w:rFonts w:eastAsia="黑体"/>
          <w:sz w:val="32"/>
          <w:szCs w:val="32"/>
        </w:rPr>
      </w:pPr>
      <w:bookmarkStart w:id="22" w:name="_Toc15396604"/>
      <w:bookmarkStart w:id="23" w:name="_Toc15377206"/>
      <w:r>
        <w:rPr>
          <w:rFonts w:hint="eastAsia" w:eastAsia="黑体"/>
          <w:sz w:val="32"/>
          <w:szCs w:val="32"/>
        </w:rPr>
        <w:t>二、收入决算情况说明</w:t>
      </w:r>
      <w:bookmarkEnd w:id="22"/>
      <w:bookmarkEnd w:id="23"/>
    </w:p>
    <w:p>
      <w:pPr>
        <w:spacing w:line="600" w:lineRule="exact"/>
        <w:ind w:firstLine="640" w:firstLineChars="200"/>
        <w:outlineLvl w:val="1"/>
        <w:rPr>
          <w:rFonts w:ascii="仿宋" w:hAnsi="仿宋" w:eastAsia="仿宋"/>
          <w:sz w:val="32"/>
          <w:szCs w:val="32"/>
        </w:rPr>
      </w:pPr>
      <w:r>
        <w:rPr>
          <w:rFonts w:hint="eastAsia" w:ascii="仿宋_GB2312" w:hAnsi="仿宋_GB2312" w:eastAsia="仿宋_GB2312" w:cs="仿宋_GB2312"/>
          <w:sz w:val="32"/>
          <w:szCs w:val="32"/>
        </w:rPr>
        <w:t>2024年度本年收入合计1048.14万元，其中：一般公共预算财政拨款收入1048.14万元，占100%</w:t>
      </w:r>
      <w:r>
        <w:rPr>
          <w:rFonts w:hint="eastAsia" w:ascii="仿宋" w:hAnsi="仿宋" w:eastAsia="仿宋"/>
          <w:sz w:val="32"/>
          <w:szCs w:val="32"/>
        </w:rPr>
        <w:t>；政府性基金预算财政拨款收入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；国有资本经营预算财政拨款收入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；上级补助收入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；附属单位上缴收入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；其他收入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_GB2312" w:hAnsi="仿宋_GB2312" w:eastAsia="仿宋_GB2312" w:cs="仿宋_GB2312"/>
          <w:sz w:val="32"/>
          <w:szCs w:val="32"/>
        </w:rPr>
        <w:t>。</w:t>
      </w:r>
    </w:p>
    <w:p>
      <w:pPr>
        <w:spacing w:line="600" w:lineRule="exact"/>
        <w:ind w:firstLine="273" w:firstLineChars="130"/>
        <w:jc w:val="left"/>
        <w:outlineLvl w:val="1"/>
        <w:rPr>
          <w:rFonts w:hint="eastAsia" w:ascii="仿宋_GB2312" w:hAnsi="仿宋_GB2312" w:eastAsia="仿宋_GB2312" w:cs="仿宋_GB2312"/>
          <w:sz w:val="32"/>
          <w:szCs w:val="32"/>
        </w:rPr>
      </w:pPr>
      <w:r>
        <w:rPr>
          <w:rFonts w:hint="eastAsia"/>
        </w:rPr>
        <w:drawing>
          <wp:anchor distT="0" distB="0" distL="114300" distR="114300" simplePos="0" relativeHeight="251649024" behindDoc="0" locked="0" layoutInCell="1" allowOverlap="1">
            <wp:simplePos x="0" y="0"/>
            <wp:positionH relativeFrom="column">
              <wp:posOffset>219075</wp:posOffset>
            </wp:positionH>
            <wp:positionV relativeFrom="paragraph">
              <wp:posOffset>201930</wp:posOffset>
            </wp:positionV>
            <wp:extent cx="4848225" cy="2228850"/>
            <wp:effectExtent l="5080" t="4445" r="4445" b="1460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ind w:firstLine="800" w:firstLineChars="250"/>
        <w:rPr>
          <w:rFonts w:eastAsia="仿宋_GB2312" w:cs="仿宋_GB2312"/>
          <w:sz w:val="32"/>
          <w:szCs w:val="32"/>
        </w:rPr>
      </w:pPr>
      <w:r>
        <w:rPr>
          <w:rFonts w:hint="eastAsia" w:eastAsia="仿宋_GB2312" w:cs="仿宋_GB2312"/>
          <w:sz w:val="32"/>
          <w:szCs w:val="32"/>
        </w:rPr>
        <w:t>（图2：收入决算结构图）</w:t>
      </w:r>
    </w:p>
    <w:p>
      <w:pPr>
        <w:pStyle w:val="27"/>
        <w:spacing w:line="600" w:lineRule="exact"/>
        <w:ind w:firstLine="640"/>
        <w:outlineLvl w:val="1"/>
        <w:rPr>
          <w:rStyle w:val="29"/>
          <w:rFonts w:ascii="Times New Roman" w:hAnsi="Times New Roman" w:eastAsia="黑体"/>
          <w:b w:val="0"/>
        </w:rPr>
      </w:pPr>
      <w:bookmarkStart w:id="24" w:name="_Toc15396605"/>
      <w:bookmarkStart w:id="25" w:name="_Toc15377207"/>
      <w:r>
        <w:rPr>
          <w:rFonts w:hint="eastAsia" w:eastAsia="黑体"/>
          <w:sz w:val="32"/>
          <w:szCs w:val="32"/>
        </w:rPr>
        <w:t>三、支</w:t>
      </w:r>
      <w:r>
        <w:rPr>
          <w:rStyle w:val="29"/>
          <w:rFonts w:hint="eastAsia" w:ascii="Times New Roman" w:hAnsi="Times New Roman" w:eastAsia="黑体"/>
          <w:b w:val="0"/>
        </w:rPr>
        <w:t>出决算情况说明</w:t>
      </w:r>
      <w:bookmarkEnd w:id="24"/>
      <w:bookmarkEnd w:id="25"/>
    </w:p>
    <w:p>
      <w:pPr>
        <w:pStyle w:val="27"/>
        <w:spacing w:line="600" w:lineRule="exact"/>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2024年度本年支出合计1048.14万元，其中：基本支出859.87万元，占82.04%；项目支出188.27万元，占17.96%</w:t>
      </w:r>
      <w:r>
        <w:rPr>
          <w:rFonts w:hint="eastAsia" w:ascii="仿宋" w:hAnsi="仿宋" w:eastAsia="仿宋"/>
          <w:sz w:val="32"/>
          <w:szCs w:val="32"/>
        </w:rPr>
        <w:t>；上缴上级支出</w:t>
      </w:r>
      <w:r>
        <w:rPr>
          <w:rFonts w:ascii="仿宋" w:hAnsi="仿宋" w:eastAsia="仿宋"/>
          <w:sz w:val="32"/>
          <w:szCs w:val="32"/>
        </w:rPr>
        <w:t>0</w:t>
      </w:r>
      <w:r>
        <w:rPr>
          <w:rFonts w:hint="eastAsia" w:ascii="仿宋" w:hAnsi="仿宋" w:eastAsia="仿宋"/>
          <w:sz w:val="32"/>
          <w:szCs w:val="32"/>
        </w:rPr>
        <w:t>万元，占0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；对附属单位补助支出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_GB2312" w:hAnsi="仿宋_GB2312" w:eastAsia="仿宋_GB2312" w:cs="仿宋_GB2312"/>
          <w:sz w:val="32"/>
          <w:szCs w:val="32"/>
        </w:rPr>
        <w:t>。</w:t>
      </w:r>
    </w:p>
    <w:p>
      <w:pPr>
        <w:ind w:firstLine="525" w:firstLineChars="250"/>
        <w:rPr>
          <w:rFonts w:eastAsia="仿宋_GB2312" w:cs="仿宋_GB2312"/>
          <w:sz w:val="32"/>
          <w:szCs w:val="32"/>
        </w:rPr>
      </w:pPr>
      <w:r>
        <w:rPr>
          <w:rFonts w:hint="eastAsia"/>
        </w:rPr>
        <w:drawing>
          <wp:anchor distT="0" distB="0" distL="114300" distR="114300" simplePos="0" relativeHeight="251658240" behindDoc="0" locked="0" layoutInCell="1" allowOverlap="1">
            <wp:simplePos x="0" y="0"/>
            <wp:positionH relativeFrom="column">
              <wp:posOffset>28575</wp:posOffset>
            </wp:positionH>
            <wp:positionV relativeFrom="paragraph">
              <wp:posOffset>165100</wp:posOffset>
            </wp:positionV>
            <wp:extent cx="4867275" cy="2495550"/>
            <wp:effectExtent l="4445" t="4445" r="5080" b="1460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eastAsia="仿宋_GB2312" w:cs="仿宋_GB2312"/>
          <w:sz w:val="32"/>
          <w:szCs w:val="32"/>
        </w:rPr>
        <w:t>（图3：支出决算结构图）</w:t>
      </w:r>
    </w:p>
    <w:p>
      <w:pPr>
        <w:spacing w:line="600" w:lineRule="exact"/>
        <w:ind w:firstLine="640" w:firstLineChars="200"/>
        <w:outlineLvl w:val="1"/>
        <w:rPr>
          <w:rStyle w:val="29"/>
          <w:rFonts w:ascii="Times New Roman" w:hAnsi="Times New Roman" w:eastAsia="黑体"/>
          <w:b w:val="0"/>
        </w:rPr>
      </w:pPr>
      <w:bookmarkStart w:id="26" w:name="_Toc15377208"/>
      <w:bookmarkStart w:id="27" w:name="_Toc15396606"/>
      <w:r>
        <w:rPr>
          <w:rFonts w:hint="eastAsia" w:eastAsia="黑体"/>
          <w:sz w:val="32"/>
          <w:szCs w:val="32"/>
        </w:rPr>
        <w:t>四、财</w:t>
      </w:r>
      <w:r>
        <w:rPr>
          <w:rStyle w:val="29"/>
          <w:rFonts w:hint="eastAsia" w:ascii="Times New Roman" w:hAnsi="Times New Roman" w:eastAsia="黑体"/>
          <w:b w:val="0"/>
        </w:rPr>
        <w:t>政拨款收入支出决算总体情况说明</w:t>
      </w:r>
      <w:bookmarkEnd w:id="26"/>
      <w:bookmarkEnd w:id="27"/>
    </w:p>
    <w:p>
      <w:pPr>
        <w:pStyle w:val="27"/>
        <w:spacing w:line="600" w:lineRule="exact"/>
        <w:ind w:firstLine="640"/>
        <w:outlineLvl w:val="1"/>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1048.14</w:t>
      </w:r>
      <w:r>
        <w:rPr>
          <w:rFonts w:hint="eastAsia" w:eastAsia="仿宋_GB2312" w:cs="仿宋_GB2312"/>
          <w:sz w:val="32"/>
          <w:szCs w:val="32"/>
        </w:rPr>
        <w:t>万元。与2023年度相比，财政拨款收入、支出总计各减少149.16万元，下降12.46%。主要变动原因是人员经费和项目经费减少。</w:t>
      </w:r>
    </w:p>
    <w:p>
      <w:pPr>
        <w:spacing w:line="600" w:lineRule="exact"/>
        <w:ind w:firstLine="640" w:firstLineChars="200"/>
        <w:rPr>
          <w:rFonts w:eastAsia="仿宋_GB2312" w:cs="仿宋_GB2312"/>
          <w:sz w:val="32"/>
          <w:szCs w:val="32"/>
        </w:rPr>
      </w:pPr>
      <w:r>
        <w:rPr>
          <w:rFonts w:hint="eastAsia" w:eastAsia="仿宋_GB2312" w:cs="仿宋_GB2312"/>
          <w:color w:val="FF0000"/>
          <w:sz w:val="32"/>
          <w:szCs w:val="32"/>
        </w:rPr>
        <w:drawing>
          <wp:anchor distT="0" distB="0" distL="114300" distR="114300" simplePos="0" relativeHeight="251661312" behindDoc="0" locked="0" layoutInCell="1" allowOverlap="1">
            <wp:simplePos x="0" y="0"/>
            <wp:positionH relativeFrom="column">
              <wp:posOffset>95250</wp:posOffset>
            </wp:positionH>
            <wp:positionV relativeFrom="paragraph">
              <wp:posOffset>129540</wp:posOffset>
            </wp:positionV>
            <wp:extent cx="5162550" cy="3486150"/>
            <wp:effectExtent l="4445" t="4445" r="14605" b="1460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eastAsia="仿宋_GB2312" w:cs="仿宋_GB2312"/>
          <w:sz w:val="32"/>
          <w:szCs w:val="32"/>
        </w:rPr>
        <w:t>（图4：财政拨款收、支决算总计变动情况）</w:t>
      </w:r>
    </w:p>
    <w:p>
      <w:pPr>
        <w:spacing w:line="600" w:lineRule="exact"/>
        <w:ind w:firstLine="640"/>
        <w:rPr>
          <w:rFonts w:eastAsia="仿宋_GB2312" w:cs="仿宋_GB2312"/>
          <w:sz w:val="32"/>
          <w:szCs w:val="32"/>
        </w:rPr>
      </w:pPr>
    </w:p>
    <w:p>
      <w:pPr>
        <w:spacing w:line="600" w:lineRule="exact"/>
        <w:ind w:firstLine="640" w:firstLineChars="200"/>
        <w:outlineLvl w:val="1"/>
        <w:rPr>
          <w:rStyle w:val="29"/>
          <w:rFonts w:ascii="Times New Roman" w:hAnsi="Times New Roman" w:eastAsia="黑体"/>
          <w:b w:val="0"/>
        </w:rPr>
      </w:pPr>
      <w:bookmarkStart w:id="28" w:name="_Toc15396607"/>
      <w:bookmarkStart w:id="29" w:name="_Toc15377209"/>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8"/>
      <w:bookmarkEnd w:id="29"/>
    </w:p>
    <w:p>
      <w:pPr>
        <w:spacing w:line="600" w:lineRule="exact"/>
        <w:ind w:firstLine="640" w:firstLineChars="200"/>
        <w:outlineLvl w:val="2"/>
        <w:rPr>
          <w:rFonts w:eastAsia="楷体_GB2312" w:cs="楷体_GB2312"/>
          <w:b/>
          <w:sz w:val="32"/>
          <w:szCs w:val="32"/>
        </w:rPr>
      </w:pPr>
      <w:bookmarkStart w:id="30" w:name="_Toc15377210"/>
      <w:r>
        <w:rPr>
          <w:rFonts w:hint="eastAsia" w:eastAsia="楷体_GB2312" w:cs="楷体_GB2312"/>
          <w:b/>
          <w:sz w:val="32"/>
          <w:szCs w:val="32"/>
        </w:rPr>
        <w:t>（一）一般公共预算财政拨款支出决算总体情况</w:t>
      </w:r>
      <w:bookmarkEnd w:id="30"/>
    </w:p>
    <w:p>
      <w:pPr>
        <w:pStyle w:val="27"/>
        <w:spacing w:line="600" w:lineRule="exact"/>
        <w:ind w:firstLine="640"/>
        <w:outlineLvl w:val="1"/>
        <w:rPr>
          <w:rFonts w:eastAsia="仿宋_GB2312" w:cs="仿宋_GB2312"/>
          <w:sz w:val="32"/>
          <w:szCs w:val="32"/>
        </w:rPr>
      </w:pPr>
      <w:r>
        <w:rPr>
          <w:rFonts w:hint="eastAsia" w:ascii="仿宋_GB2312" w:hAnsi="仿宋_GB2312" w:eastAsia="仿宋_GB2312" w:cs="仿宋_GB2312"/>
          <w:sz w:val="32"/>
          <w:szCs w:val="32"/>
        </w:rPr>
        <w:t>2024年度一般公共预算财政拨款支出1048.14万元，占本年支出合计的100%。与2023年度相比，一般公共预算财政拨款支出减少149.16万元，下降12.46%。</w:t>
      </w:r>
      <w:r>
        <w:rPr>
          <w:rFonts w:hint="eastAsia" w:eastAsia="仿宋_GB2312" w:cs="仿宋_GB2312"/>
          <w:sz w:val="32"/>
          <w:szCs w:val="32"/>
        </w:rPr>
        <w:t>主要变动原因</w:t>
      </w:r>
      <w:r>
        <w:rPr>
          <w:rFonts w:hint="eastAsia"/>
        </w:rPr>
        <w:drawing>
          <wp:anchor distT="0" distB="0" distL="114300" distR="114300" simplePos="0" relativeHeight="251667456" behindDoc="0" locked="0" layoutInCell="1" allowOverlap="1">
            <wp:simplePos x="0" y="0"/>
            <wp:positionH relativeFrom="column">
              <wp:posOffset>0</wp:posOffset>
            </wp:positionH>
            <wp:positionV relativeFrom="paragraph">
              <wp:posOffset>411480</wp:posOffset>
            </wp:positionV>
            <wp:extent cx="4867275" cy="2400300"/>
            <wp:effectExtent l="4445" t="4445" r="5080" b="1460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eastAsia="仿宋_GB2312" w:cs="仿宋_GB2312"/>
          <w:sz w:val="32"/>
          <w:szCs w:val="32"/>
        </w:rPr>
        <w:t>是人员经费和项目经费减少。</w:t>
      </w:r>
    </w:p>
    <w:p>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w:t>
      </w:r>
    </w:p>
    <w:p>
      <w:pPr>
        <w:spacing w:line="600" w:lineRule="exact"/>
        <w:ind w:firstLine="640" w:firstLineChars="200"/>
        <w:outlineLvl w:val="2"/>
        <w:rPr>
          <w:rFonts w:eastAsia="楷体_GB2312" w:cs="楷体_GB2312"/>
          <w:b/>
          <w:sz w:val="32"/>
          <w:szCs w:val="32"/>
        </w:rPr>
      </w:pPr>
      <w:bookmarkStart w:id="31" w:name="_Toc15377211"/>
      <w:r>
        <w:rPr>
          <w:rFonts w:hint="eastAsia" w:eastAsia="楷体_GB2312" w:cs="楷体_GB2312"/>
          <w:b/>
          <w:sz w:val="32"/>
          <w:szCs w:val="32"/>
        </w:rPr>
        <w:t>（二）一般公共预算财政拨款支出决算结构情况</w:t>
      </w:r>
      <w:bookmarkEnd w:id="31"/>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1048.14万元</w:t>
      </w:r>
      <w:r>
        <w:rPr>
          <w:rFonts w:hint="eastAsia" w:eastAsia="仿宋_GB2312" w:cs="仿宋_GB2312"/>
          <w:sz w:val="32"/>
          <w:szCs w:val="32"/>
        </w:rPr>
        <w:t>，主要用于以下方面：一般公共服务支出818.2</w:t>
      </w:r>
      <w:r>
        <w:rPr>
          <w:rFonts w:eastAsia="仿宋_GB2312" w:cs="仿宋_GB2312"/>
          <w:sz w:val="32"/>
          <w:szCs w:val="32"/>
        </w:rPr>
        <w:t>0</w:t>
      </w:r>
      <w:r>
        <w:rPr>
          <w:rFonts w:hint="eastAsia" w:eastAsia="仿宋_GB2312" w:cs="仿宋_GB2312"/>
          <w:sz w:val="32"/>
          <w:szCs w:val="32"/>
        </w:rPr>
        <w:t>万元，占78.06%；社会保障和就业支出115.52万元，占11.02%；卫生健康支出58.6万元，占5.59%；住房保障支出55.82万元，占5.33%。</w:t>
      </w:r>
    </w:p>
    <w:p>
      <w:pPr>
        <w:spacing w:line="600" w:lineRule="exact"/>
        <w:rPr>
          <w:rFonts w:eastAsia="仿宋_GB2312" w:cs="仿宋_GB2312"/>
          <w:sz w:val="32"/>
          <w:szCs w:val="32"/>
        </w:rPr>
      </w:pPr>
      <w:r>
        <w:rPr>
          <w:rFonts w:eastAsia="仿宋_GB2312" w:cs="仿宋_GB2312"/>
          <w:sz w:val="32"/>
          <w:szCs w:val="32"/>
        </w:rPr>
        <w:drawing>
          <wp:anchor distT="0" distB="0" distL="114300" distR="114300" simplePos="0" relativeHeight="251668480" behindDoc="0" locked="0" layoutInCell="1" allowOverlap="1">
            <wp:simplePos x="0" y="0"/>
            <wp:positionH relativeFrom="column">
              <wp:posOffset>171450</wp:posOffset>
            </wp:positionH>
            <wp:positionV relativeFrom="paragraph">
              <wp:posOffset>76200</wp:posOffset>
            </wp:positionV>
            <wp:extent cx="5124450" cy="2514600"/>
            <wp:effectExtent l="4445" t="4445" r="14605" b="1460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w:t>
      </w:r>
    </w:p>
    <w:p>
      <w:pPr>
        <w:spacing w:line="600" w:lineRule="exact"/>
        <w:ind w:firstLine="640" w:firstLineChars="200"/>
        <w:outlineLvl w:val="2"/>
        <w:rPr>
          <w:rFonts w:eastAsia="楷体_GB2312" w:cs="楷体_GB2312"/>
          <w:b/>
          <w:sz w:val="32"/>
          <w:szCs w:val="32"/>
        </w:rPr>
      </w:pPr>
      <w:bookmarkStart w:id="32" w:name="_Toc15377212"/>
      <w:r>
        <w:rPr>
          <w:rFonts w:hint="eastAsia" w:eastAsia="楷体_GB2312" w:cs="楷体_GB2312"/>
          <w:b/>
          <w:sz w:val="32"/>
          <w:szCs w:val="32"/>
        </w:rPr>
        <w:t>（三）一般公共预算财政拨款支出决算具体情况</w:t>
      </w:r>
      <w:bookmarkEnd w:id="32"/>
    </w:p>
    <w:p>
      <w:pPr>
        <w:spacing w:line="600" w:lineRule="exact"/>
        <w:ind w:firstLine="640"/>
        <w:rPr>
          <w:rFonts w:eastAsia="仿宋_GB2312" w:cs="仿宋_GB2312"/>
          <w:sz w:val="32"/>
          <w:szCs w:val="32"/>
        </w:rPr>
      </w:pPr>
      <w:bookmarkStart w:id="33" w:name="_Toc15377444"/>
      <w:bookmarkStart w:id="34" w:name="_Toc15377213"/>
      <w:bookmarkStart w:id="35"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1048.14</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完成预算100%。其中：</w:t>
      </w:r>
      <w:bookmarkEnd w:id="33"/>
      <w:bookmarkEnd w:id="34"/>
      <w:bookmarkEnd w:id="35"/>
    </w:p>
    <w:p>
      <w:pPr>
        <w:spacing w:line="600" w:lineRule="exact"/>
        <w:ind w:firstLine="640"/>
        <w:rPr>
          <w:rFonts w:eastAsia="仿宋_GB2312" w:cs="仿宋_GB2312"/>
          <w:sz w:val="32"/>
          <w:szCs w:val="32"/>
        </w:rPr>
      </w:pPr>
      <w:r>
        <w:rPr>
          <w:rFonts w:hint="eastAsia" w:eastAsia="仿宋_GB2312" w:cs="仿宋_GB2312"/>
          <w:sz w:val="32"/>
          <w:szCs w:val="32"/>
        </w:rPr>
        <w:t>1.一般公共服务支出（类）政府办公厅（室）及相关机构事务（款）行政运行（项）:支出决算为292.62万元，完成预算100%。</w:t>
      </w:r>
    </w:p>
    <w:p>
      <w:pPr>
        <w:spacing w:line="600" w:lineRule="exact"/>
        <w:ind w:firstLine="640"/>
        <w:rPr>
          <w:rFonts w:eastAsia="仿宋_GB2312" w:cs="仿宋_GB2312"/>
          <w:sz w:val="32"/>
          <w:szCs w:val="32"/>
        </w:rPr>
      </w:pPr>
      <w:r>
        <w:rPr>
          <w:rFonts w:hint="eastAsia" w:eastAsia="仿宋_GB2312" w:cs="仿宋_GB2312"/>
          <w:sz w:val="32"/>
          <w:szCs w:val="32"/>
        </w:rPr>
        <w:t>一般公共服务支出（类）政府办公厅（室）及相关机构事务（款）政务公开审批（项）: 支出决算为165.26万元，完成预算100%。</w:t>
      </w:r>
    </w:p>
    <w:p>
      <w:pPr>
        <w:spacing w:line="600" w:lineRule="exact"/>
        <w:ind w:firstLine="640" w:firstLineChars="200"/>
        <w:rPr>
          <w:rFonts w:eastAsia="仿宋_GB2312" w:cs="仿宋_GB2312"/>
          <w:sz w:val="32"/>
          <w:szCs w:val="32"/>
        </w:rPr>
      </w:pPr>
      <w:r>
        <w:rPr>
          <w:rFonts w:hint="eastAsia" w:eastAsia="仿宋_GB2312" w:cs="仿宋_GB2312"/>
          <w:sz w:val="32"/>
          <w:szCs w:val="32"/>
        </w:rPr>
        <w:t xml:space="preserve">一般公共服务支出（类）政府办公厅（室）及相关机构事务（款）事业运行（项）: </w:t>
      </w:r>
      <w:r>
        <w:rPr>
          <w:rFonts w:hint="eastAsia" w:ascii="仿宋" w:hAnsi="仿宋" w:eastAsia="仿宋"/>
          <w:sz w:val="32"/>
        </w:rPr>
        <w:t>支出决算为</w:t>
      </w:r>
      <w:r>
        <w:rPr>
          <w:rFonts w:ascii="仿宋" w:hAnsi="仿宋" w:eastAsia="仿宋"/>
          <w:sz w:val="32"/>
        </w:rPr>
        <w:t>33</w:t>
      </w:r>
      <w:r>
        <w:rPr>
          <w:rFonts w:hint="eastAsia" w:ascii="仿宋" w:hAnsi="仿宋" w:eastAsia="仿宋"/>
          <w:sz w:val="32"/>
        </w:rPr>
        <w:t>7.32万元，完成预算100%。</w:t>
      </w:r>
    </w:p>
    <w:p>
      <w:pPr>
        <w:spacing w:line="600" w:lineRule="exact"/>
        <w:ind w:firstLine="640"/>
        <w:rPr>
          <w:rFonts w:eastAsia="仿宋_GB2312" w:cs="仿宋_GB2312"/>
          <w:sz w:val="32"/>
          <w:szCs w:val="32"/>
        </w:rPr>
      </w:pPr>
      <w:r>
        <w:rPr>
          <w:rFonts w:hint="eastAsia" w:eastAsia="仿宋_GB2312" w:cs="仿宋_GB2312"/>
          <w:sz w:val="32"/>
          <w:szCs w:val="32"/>
        </w:rPr>
        <w:t>一般公共服务支出（类）政府办公厅（室）及相关机构事务（款）其他政府办公厅（室）及相关机构事务支出（项）：支出决算为22.15万元，完成预算100%。</w:t>
      </w:r>
    </w:p>
    <w:p>
      <w:pPr>
        <w:spacing w:line="600" w:lineRule="exact"/>
        <w:ind w:firstLine="640"/>
        <w:rPr>
          <w:rFonts w:eastAsia="仿宋_GB2312" w:cs="仿宋_GB2312"/>
          <w:sz w:val="32"/>
          <w:szCs w:val="32"/>
        </w:rPr>
      </w:pPr>
      <w:r>
        <w:rPr>
          <w:rFonts w:hint="eastAsia" w:eastAsia="仿宋_GB2312" w:cs="仿宋_GB2312"/>
          <w:sz w:val="32"/>
          <w:szCs w:val="32"/>
        </w:rPr>
        <w:t>一般公共服务支出（类）党委办公厅（室）及相关机构事务（款）专项业务（项）：支出决算为0.85万元，完成预算100%。</w:t>
      </w:r>
    </w:p>
    <w:p>
      <w:pPr>
        <w:spacing w:line="600" w:lineRule="exact"/>
        <w:ind w:firstLine="640"/>
        <w:rPr>
          <w:rFonts w:eastAsia="仿宋_GB2312" w:cs="仿宋_GB2312"/>
          <w:sz w:val="32"/>
          <w:szCs w:val="32"/>
        </w:rPr>
      </w:pPr>
      <w:r>
        <w:rPr>
          <w:rFonts w:hint="eastAsia" w:eastAsia="仿宋_GB2312" w:cs="仿宋_GB2312"/>
          <w:sz w:val="32"/>
          <w:szCs w:val="32"/>
        </w:rPr>
        <w:t>2.社会保障和就业（类）行政事业单位养老支出（款）行政单位离退休（项）: 支出决算为5.08万元，完成预算100%。</w:t>
      </w:r>
    </w:p>
    <w:p>
      <w:pPr>
        <w:spacing w:line="600" w:lineRule="exact"/>
        <w:ind w:firstLine="640"/>
        <w:rPr>
          <w:rFonts w:eastAsia="仿宋_GB2312" w:cs="仿宋_GB2312"/>
          <w:sz w:val="32"/>
          <w:szCs w:val="32"/>
        </w:rPr>
      </w:pPr>
      <w:r>
        <w:rPr>
          <w:rFonts w:hint="eastAsia" w:eastAsia="仿宋_GB2312" w:cs="仿宋_GB2312"/>
          <w:sz w:val="32"/>
          <w:szCs w:val="32"/>
        </w:rPr>
        <w:t>社会保障和就业支出（类）行政事业单位养老支出（款）事业单位离退休（项）: 支出决算为1.89万元，完成预算100%。</w:t>
      </w:r>
    </w:p>
    <w:p>
      <w:pPr>
        <w:spacing w:line="600" w:lineRule="exact"/>
        <w:ind w:firstLine="640"/>
        <w:rPr>
          <w:rFonts w:eastAsia="仿宋_GB2312" w:cs="仿宋_GB2312"/>
          <w:sz w:val="32"/>
          <w:szCs w:val="32"/>
        </w:rPr>
      </w:pPr>
      <w:r>
        <w:rPr>
          <w:rFonts w:hint="eastAsia" w:eastAsia="仿宋_GB2312" w:cs="仿宋_GB2312"/>
          <w:sz w:val="32"/>
          <w:szCs w:val="32"/>
        </w:rPr>
        <w:t>社会保障和就业支出（类）行政事业单位养老支出（款）机关事业单位基本养老保险缴费支出（项）: 支出决算为71.59万元，完成预算100%。</w:t>
      </w:r>
    </w:p>
    <w:p>
      <w:pPr>
        <w:spacing w:line="600" w:lineRule="exact"/>
        <w:ind w:firstLine="640"/>
        <w:rPr>
          <w:rFonts w:eastAsia="仿宋_GB2312" w:cs="仿宋_GB2312"/>
          <w:sz w:val="32"/>
          <w:szCs w:val="32"/>
        </w:rPr>
      </w:pPr>
      <w:r>
        <w:rPr>
          <w:rFonts w:hint="eastAsia" w:eastAsia="仿宋_GB2312" w:cs="仿宋_GB2312"/>
          <w:sz w:val="32"/>
          <w:szCs w:val="32"/>
        </w:rPr>
        <w:t>社会保障和就业支出（类）行政事业单位养老支出（款）机关事业单位职业年金缴费支出（项）: 支出决算为36.96万元，完成预算100%。</w:t>
      </w:r>
    </w:p>
    <w:p>
      <w:pPr>
        <w:spacing w:line="600" w:lineRule="exact"/>
        <w:ind w:firstLine="640"/>
        <w:rPr>
          <w:rFonts w:eastAsia="仿宋_GB2312" w:cs="仿宋_GB2312"/>
          <w:sz w:val="32"/>
          <w:szCs w:val="32"/>
        </w:rPr>
      </w:pPr>
      <w:r>
        <w:rPr>
          <w:rFonts w:hint="eastAsia" w:eastAsia="仿宋_GB2312" w:cs="仿宋_GB2312"/>
          <w:sz w:val="32"/>
          <w:szCs w:val="32"/>
        </w:rPr>
        <w:t>3.卫生健康（类）行政事业单位医疗（款）行政单位医疗（项）:支出决算为15.2万元，完成预算100%。</w:t>
      </w:r>
    </w:p>
    <w:p>
      <w:pPr>
        <w:spacing w:line="600" w:lineRule="exact"/>
        <w:ind w:firstLine="640"/>
        <w:rPr>
          <w:rFonts w:eastAsia="仿宋_GB2312" w:cs="仿宋_GB2312"/>
          <w:sz w:val="32"/>
          <w:szCs w:val="32"/>
        </w:rPr>
      </w:pPr>
      <w:r>
        <w:rPr>
          <w:rFonts w:hint="eastAsia" w:eastAsia="仿宋_GB2312" w:cs="仿宋_GB2312"/>
          <w:sz w:val="32"/>
          <w:szCs w:val="32"/>
        </w:rPr>
        <w:t>卫生健康支出（类）行政事业单位医疗（款）事业单位医疗（项）: 支出决算为23.45万元，完成预算100%。</w:t>
      </w:r>
    </w:p>
    <w:p>
      <w:pPr>
        <w:spacing w:line="600" w:lineRule="exact"/>
        <w:ind w:firstLine="640"/>
        <w:rPr>
          <w:rFonts w:eastAsia="仿宋_GB2312" w:cs="仿宋_GB2312"/>
          <w:sz w:val="32"/>
          <w:szCs w:val="32"/>
        </w:rPr>
      </w:pPr>
      <w:r>
        <w:rPr>
          <w:rFonts w:hint="eastAsia" w:eastAsia="仿宋_GB2312" w:cs="仿宋_GB2312"/>
          <w:sz w:val="32"/>
          <w:szCs w:val="32"/>
        </w:rPr>
        <w:t>卫生健康支出（类）行政事业单位医疗（款）公务员医疗补助（项）: 支出决算为19.95万元，完成预算100%。</w:t>
      </w:r>
    </w:p>
    <w:p>
      <w:pPr>
        <w:spacing w:line="600" w:lineRule="exact"/>
        <w:ind w:firstLine="640"/>
        <w:rPr>
          <w:rFonts w:eastAsia="仿宋_GB2312" w:cs="仿宋_GB2312"/>
          <w:sz w:val="32"/>
          <w:szCs w:val="32"/>
        </w:rPr>
      </w:pPr>
      <w:r>
        <w:rPr>
          <w:rFonts w:hint="eastAsia" w:eastAsia="仿宋_GB2312" w:cs="仿宋_GB2312"/>
          <w:sz w:val="32"/>
          <w:szCs w:val="32"/>
        </w:rPr>
        <w:t>4.住房保障支出（类）住房改革支出（款）住房公积金（项）:支出决算为55.82万元，完成预算100%。</w:t>
      </w:r>
    </w:p>
    <w:p>
      <w:pPr>
        <w:tabs>
          <w:tab w:val="right" w:pos="8306"/>
        </w:tabs>
        <w:spacing w:line="600" w:lineRule="exact"/>
        <w:ind w:firstLine="640"/>
        <w:outlineLvl w:val="1"/>
        <w:rPr>
          <w:rStyle w:val="29"/>
          <w:rFonts w:ascii="Times New Roman" w:hAnsi="Times New Roman"/>
        </w:rPr>
      </w:pPr>
      <w:bookmarkStart w:id="36" w:name="_Toc15396608"/>
      <w:bookmarkStart w:id="37" w:name="_Toc15377214"/>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36"/>
      <w:bookmarkEnd w:id="37"/>
      <w:r>
        <w:rPr>
          <w:rStyle w:val="29"/>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859.87万</w:t>
      </w:r>
      <w:r>
        <w:rPr>
          <w:rFonts w:hint="eastAsia" w:eastAsia="仿宋_GB2312" w:cs="仿宋_GB2312"/>
          <w:sz w:val="32"/>
          <w:szCs w:val="32"/>
        </w:rPr>
        <w:t>元，其中：</w:t>
      </w:r>
    </w:p>
    <w:p>
      <w:pPr>
        <w:ind w:firstLine="640" w:firstLineChars="20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814.07万</w:t>
      </w:r>
      <w:r>
        <w:rPr>
          <w:rFonts w:hint="eastAsia" w:eastAsia="仿宋_GB2312" w:cs="仿宋_GB2312"/>
          <w:sz w:val="32"/>
          <w:szCs w:val="32"/>
        </w:rPr>
        <w:t>元，主要包括：基本工资166.38万元、津贴补贴72.57万元、奖金65.82万元、绩效工资185.69万元、机关事业单位基本养老保险缴费71.59万元、职业年金缴费36.96万元、职工基本医疗保险缴费38.65万元、公务员医疗补助缴费19.95万元、其他社会保障缴费2.47万元、住房公积金55.82万元、其他工资福利支出91.46万元、生活补助6.05万元、医疗费补助0.66万元、离休费0万元、退休费0万元、退职（役）费0万元、抚恤金</w:t>
      </w:r>
      <w:r>
        <w:rPr>
          <w:rFonts w:eastAsia="仿宋_GB2312" w:cs="仿宋_GB2312"/>
          <w:sz w:val="32"/>
          <w:szCs w:val="32"/>
        </w:rPr>
        <w:t>0</w:t>
      </w:r>
      <w:r>
        <w:rPr>
          <w:rFonts w:hint="eastAsia" w:eastAsia="仿宋_GB2312" w:cs="仿宋_GB2312"/>
          <w:sz w:val="32"/>
          <w:szCs w:val="32"/>
        </w:rPr>
        <w:t>万元、救济费0万元、助学金0万元、奖励金0万元、个人农业生产补贴0万元、代缴社会保险0万元、其他对个人和家庭的补助支出0万元等。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4</w:t>
      </w:r>
      <w:r>
        <w:rPr>
          <w:rFonts w:hint="eastAsia" w:eastAsia="仿宋_GB2312" w:cs="仿宋_GB2312"/>
          <w:sz w:val="32"/>
          <w:szCs w:val="32"/>
        </w:rPr>
        <w:t>5.81万元，主要包括：办公费9.43万元、印刷费0万元、咨询费0万元、手续费0万元、水费0.05万元、电费2.87万元、邮电费1.68万元、取暖费0万元、物业管理费0万元、差旅费3.25万元、因公出国（境）费用0万元、维修（护）费0.24万元、、租赁费</w:t>
      </w:r>
      <w:r>
        <w:rPr>
          <w:rFonts w:eastAsia="仿宋_GB2312" w:cs="仿宋_GB2312"/>
          <w:sz w:val="32"/>
          <w:szCs w:val="32"/>
        </w:rPr>
        <w:t>0</w:t>
      </w:r>
      <w:r>
        <w:rPr>
          <w:rFonts w:hint="eastAsia" w:eastAsia="仿宋_GB2312" w:cs="仿宋_GB2312"/>
          <w:sz w:val="32"/>
          <w:szCs w:val="32"/>
        </w:rPr>
        <w:t>万元、会议费0.62万元、培训费</w:t>
      </w:r>
      <w:r>
        <w:rPr>
          <w:rFonts w:eastAsia="仿宋_GB2312" w:cs="仿宋_GB2312"/>
          <w:sz w:val="32"/>
          <w:szCs w:val="32"/>
        </w:rPr>
        <w:t>0</w:t>
      </w:r>
      <w:r>
        <w:rPr>
          <w:rFonts w:hint="eastAsia" w:eastAsia="仿宋_GB2312" w:cs="仿宋_GB2312"/>
          <w:sz w:val="32"/>
          <w:szCs w:val="32"/>
        </w:rPr>
        <w:t>万元、公务接待费0.8万元、、专用材料费0万元， 被装购置费0万元、专用燃料费0万元，劳务费1.7万元、委托业务费1.87万元、工会经费10.86万元、福利费</w:t>
      </w:r>
      <w:r>
        <w:rPr>
          <w:rFonts w:eastAsia="仿宋_GB2312" w:cs="仿宋_GB2312"/>
          <w:sz w:val="32"/>
          <w:szCs w:val="32"/>
        </w:rPr>
        <w:t>0</w:t>
      </w:r>
      <w:r>
        <w:rPr>
          <w:rFonts w:hint="eastAsia" w:eastAsia="仿宋_GB2312" w:cs="仿宋_GB2312"/>
          <w:sz w:val="32"/>
          <w:szCs w:val="32"/>
        </w:rPr>
        <w:t>万元、公务用车运行维护费0.68万元、其他交通费11.41万元、税金及附加费用0万元、其他商品和服务支出0.35万元、国内债务付息0万元、国外债务付息0万元、国内债务发行费用0万元、国外债务发行费用0万元、房屋建筑物构建0万元、办公设备购置0万元、专用设备购置0万元、基础设施建设0万元、大型修缮0万元、信息网络及软件购置更新0万元、物资储备0万元、土地补偿0万元、安置补助0万元、地上附着物和青苗补偿0万元、拆迁补偿0万元、公务用车购置0万元、其他交通工具购置0万元、文物和陈列品购置0万元、无形资产购置0万元、其他资本性支出0万元、资本金注入0万元、政府投资基金股权投资0万元、费用补贴0万元、利息补贴0万元、其他对企业补助0万元、赠与0万元、国家赔偿费用支出0万元、对民间非营利组织和群众性自治组织补贴0万元、其他支出0万元。</w:t>
      </w:r>
    </w:p>
    <w:p>
      <w:pPr>
        <w:spacing w:line="600" w:lineRule="exact"/>
        <w:ind w:firstLine="640"/>
        <w:outlineLvl w:val="1"/>
        <w:rPr>
          <w:rStyle w:val="29"/>
          <w:rFonts w:ascii="Times New Roman" w:hAnsi="Times New Roman" w:eastAsia="黑体"/>
          <w:b w:val="0"/>
        </w:rPr>
      </w:pPr>
      <w:bookmarkStart w:id="38" w:name="_Toc15377215"/>
      <w:bookmarkStart w:id="39" w:name="_Toc15396609"/>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8"/>
      <w:bookmarkEnd w:id="39"/>
    </w:p>
    <w:p>
      <w:pPr>
        <w:spacing w:line="600" w:lineRule="exact"/>
        <w:ind w:firstLine="640" w:firstLineChars="200"/>
        <w:outlineLvl w:val="2"/>
        <w:rPr>
          <w:rFonts w:eastAsia="楷体_GB2312" w:cs="楷体_GB2312"/>
          <w:b/>
          <w:sz w:val="32"/>
          <w:szCs w:val="32"/>
        </w:rPr>
      </w:pPr>
      <w:bookmarkStart w:id="40" w:name="_Toc15377216"/>
      <w:r>
        <w:rPr>
          <w:rFonts w:hint="eastAsia" w:eastAsia="楷体_GB2312" w:cs="楷体_GB2312"/>
          <w:b/>
          <w:sz w:val="32"/>
          <w:szCs w:val="32"/>
        </w:rPr>
        <w:t>（一）“三公”经费财政拨款支出决算总体情况说明</w:t>
      </w:r>
      <w:bookmarkEnd w:id="40"/>
    </w:p>
    <w:p>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1.48万元，完成预算100%，</w:t>
      </w:r>
      <w:r>
        <w:rPr>
          <w:rFonts w:hint="eastAsia" w:eastAsia="仿宋_GB2312" w:cs="仿宋_GB2312"/>
          <w:sz w:val="32"/>
          <w:szCs w:val="32"/>
        </w:rPr>
        <w:t>较上年度增加0.09万元，增长6.47%。决算数小于预算数</w:t>
      </w:r>
      <w:r>
        <w:rPr>
          <w:rFonts w:hint="eastAsia" w:ascii="仿宋_GB2312" w:hAnsi="仿宋_GB2312" w:eastAsia="仿宋_GB2312"/>
          <w:sz w:val="32"/>
          <w:lang w:val="zh-CN"/>
        </w:rPr>
        <w:t>的主要原因是</w:t>
      </w:r>
      <w:r>
        <w:rPr>
          <w:rFonts w:hint="eastAsia" w:ascii="仿宋" w:hAnsi="仿宋" w:eastAsia="仿宋"/>
          <w:sz w:val="32"/>
        </w:rPr>
        <w:t>厉行节约。较上年度增长的</w:t>
      </w:r>
      <w:r>
        <w:rPr>
          <w:rFonts w:hint="eastAsia" w:ascii="仿宋_GB2312" w:eastAsia="仿宋_GB2312"/>
          <w:sz w:val="32"/>
          <w:szCs w:val="32"/>
        </w:rPr>
        <w:t>主要原因是本年</w:t>
      </w:r>
      <w:r>
        <w:rPr>
          <w:rFonts w:ascii="仿宋_GB2312" w:eastAsia="仿宋_GB2312"/>
          <w:sz w:val="32"/>
          <w:szCs w:val="32"/>
        </w:rPr>
        <w:t>接待</w:t>
      </w:r>
      <w:r>
        <w:rPr>
          <w:rFonts w:hint="eastAsia" w:ascii="仿宋_GB2312" w:eastAsia="仿宋_GB2312"/>
          <w:sz w:val="32"/>
          <w:szCs w:val="32"/>
          <w:lang w:val="en-US" w:eastAsia="zh-CN"/>
        </w:rPr>
        <w:t>费和接待</w:t>
      </w:r>
      <w:r>
        <w:rPr>
          <w:rFonts w:ascii="仿宋_GB2312" w:eastAsia="仿宋_GB2312"/>
          <w:sz w:val="32"/>
          <w:szCs w:val="32"/>
        </w:rPr>
        <w:t>人</w:t>
      </w:r>
      <w:r>
        <w:rPr>
          <w:rFonts w:hint="eastAsia" w:ascii="仿宋_GB2312" w:eastAsia="仿宋_GB2312"/>
          <w:sz w:val="32"/>
          <w:szCs w:val="32"/>
        </w:rPr>
        <w:t>次</w:t>
      </w:r>
      <w:r>
        <w:rPr>
          <w:rFonts w:ascii="仿宋_GB2312" w:eastAsia="仿宋_GB2312"/>
          <w:sz w:val="32"/>
          <w:szCs w:val="32"/>
        </w:rPr>
        <w:t>增加</w:t>
      </w:r>
      <w:r>
        <w:rPr>
          <w:rFonts w:hint="eastAsia" w:ascii="仿宋" w:hAnsi="仿宋" w:eastAsia="仿宋"/>
          <w:sz w:val="32"/>
          <w:szCs w:val="32"/>
        </w:rPr>
        <w:t>。</w:t>
      </w:r>
    </w:p>
    <w:p>
      <w:pPr>
        <w:spacing w:line="600" w:lineRule="exact"/>
        <w:ind w:firstLine="640" w:firstLineChars="200"/>
        <w:outlineLvl w:val="2"/>
        <w:rPr>
          <w:rFonts w:eastAsia="楷体_GB2312" w:cs="楷体_GB2312"/>
          <w:b/>
          <w:sz w:val="32"/>
          <w:szCs w:val="32"/>
        </w:rPr>
      </w:pPr>
      <w:bookmarkStart w:id="41" w:name="_Toc15377217"/>
      <w:r>
        <w:rPr>
          <w:rFonts w:hint="eastAsia" w:eastAsia="楷体_GB2312" w:cs="楷体_GB2312"/>
          <w:b/>
          <w:sz w:val="32"/>
          <w:szCs w:val="32"/>
        </w:rPr>
        <w:t>（二）“三公”经费财政拨款支出决算具体情况说明</w:t>
      </w:r>
      <w:bookmarkEnd w:id="41"/>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2024年度“三公”经费财政拨款支出决算中，因公出国（境）费支出决算0万元，占0%；公务用车购置及运行维护费支出决算0.68万元，占45.95%；公务接待费支出决算0.8万元，占54.05%。具体情况如下：</w:t>
      </w:r>
    </w:p>
    <w:p>
      <w:pPr>
        <w:pStyle w:val="3"/>
        <w:spacing w:line="360" w:lineRule="auto"/>
        <w:ind w:left="0" w:leftChars="0" w:firstLine="0" w:firstLineChars="0"/>
      </w:pPr>
      <w:r>
        <w:rPr>
          <w:rFonts w:hint="eastAsia"/>
        </w:rPr>
        <w:drawing>
          <wp:inline distT="0" distB="0" distL="0" distR="0">
            <wp:extent cx="4757420" cy="2579370"/>
            <wp:effectExtent l="4445" t="4445" r="19685" b="698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w:t>
      </w:r>
    </w:p>
    <w:p>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w:t>
      </w:r>
    </w:p>
    <w:p>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0.68万</w:t>
      </w:r>
      <w:r>
        <w:rPr>
          <w:rFonts w:hint="eastAsia" w:eastAsia="仿宋_GB2312" w:cs="仿宋_GB2312"/>
          <w:b/>
          <w:bCs/>
          <w:sz w:val="32"/>
          <w:szCs w:val="32"/>
        </w:rPr>
        <w:t>元，完成预算37.8%。</w:t>
      </w:r>
      <w:r>
        <w:rPr>
          <w:rFonts w:hint="eastAsia" w:eastAsia="仿宋_GB2312" w:cs="仿宋_GB2312"/>
          <w:sz w:val="32"/>
          <w:szCs w:val="32"/>
        </w:rPr>
        <w:t>公务用车购置及运行维护费支出决算比2023年度减少0.11万元，下降13.92%。主要原因是公务用车维修费减少。</w:t>
      </w:r>
    </w:p>
    <w:p>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万元。全年按规定更新购置公务用车0辆，其中：轿车0辆、金额0万元，越野车0辆、金额0万元，载客汽车0辆、金额0万元。截至2024年12月31日，单位共有公务用车1辆，其中：轿车0辆、越野车0辆、载客汽车0辆。</w:t>
      </w:r>
    </w:p>
    <w:p>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出0.68</w:t>
      </w:r>
      <w:r>
        <w:rPr>
          <w:rFonts w:hint="eastAsia" w:eastAsia="仿宋_GB2312" w:cs="仿宋_GB2312"/>
          <w:sz w:val="32"/>
          <w:szCs w:val="32"/>
        </w:rPr>
        <w:t>万元。主要用于现场踏勘所需的公务用车燃料费、维修费、过路过桥费、保险费等支出。</w:t>
      </w:r>
    </w:p>
    <w:p>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0.8万</w:t>
      </w:r>
      <w:r>
        <w:rPr>
          <w:rFonts w:hint="eastAsia" w:eastAsia="仿宋_GB2312" w:cs="仿宋_GB2312"/>
          <w:b/>
          <w:bCs/>
          <w:sz w:val="32"/>
          <w:szCs w:val="32"/>
        </w:rPr>
        <w:t>元，完成预算93.57%。</w:t>
      </w:r>
      <w:r>
        <w:rPr>
          <w:rFonts w:hint="eastAsia" w:eastAsia="仿宋_GB2312" w:cs="仿宋_GB2312"/>
          <w:sz w:val="32"/>
          <w:szCs w:val="32"/>
        </w:rPr>
        <w:t>公务接待费支出决算比2023年度增加0.2万元，增长33.33%。主要原因是</w:t>
      </w:r>
      <w:r>
        <w:rPr>
          <w:rFonts w:hint="eastAsia" w:ascii="仿宋_GB2312" w:eastAsia="仿宋_GB2312"/>
          <w:sz w:val="32"/>
          <w:szCs w:val="32"/>
        </w:rPr>
        <w:t>本年</w:t>
      </w:r>
      <w:r>
        <w:rPr>
          <w:rFonts w:ascii="仿宋_GB2312" w:eastAsia="仿宋_GB2312"/>
          <w:sz w:val="32"/>
          <w:szCs w:val="32"/>
        </w:rPr>
        <w:t>接待人</w:t>
      </w:r>
      <w:r>
        <w:rPr>
          <w:rFonts w:hint="eastAsia" w:ascii="仿宋_GB2312" w:eastAsia="仿宋_GB2312"/>
          <w:sz w:val="32"/>
          <w:szCs w:val="32"/>
        </w:rPr>
        <w:t>次</w:t>
      </w:r>
      <w:r>
        <w:rPr>
          <w:rFonts w:ascii="仿宋_GB2312" w:eastAsia="仿宋_GB2312"/>
          <w:sz w:val="32"/>
          <w:szCs w:val="32"/>
        </w:rPr>
        <w:t>增加</w:t>
      </w:r>
      <w:r>
        <w:rPr>
          <w:rFonts w:hint="eastAsia" w:eastAsia="仿宋_GB2312" w:cs="仿宋_GB2312"/>
          <w:sz w:val="32"/>
          <w:szCs w:val="32"/>
        </w:rPr>
        <w:t>。其中：</w:t>
      </w:r>
    </w:p>
    <w:p>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出0.8万</w:t>
      </w:r>
      <w:r>
        <w:rPr>
          <w:rFonts w:hint="eastAsia" w:eastAsia="仿宋_GB2312" w:cs="仿宋_GB2312"/>
          <w:sz w:val="32"/>
          <w:szCs w:val="32"/>
        </w:rPr>
        <w:t>元，主要用于</w:t>
      </w:r>
      <w:r>
        <w:rPr>
          <w:rFonts w:hint="eastAsia" w:ascii="仿宋_GB2312" w:eastAsia="仿宋_GB2312"/>
          <w:sz w:val="32"/>
          <w:szCs w:val="32"/>
        </w:rPr>
        <w:t>接待执行公务、开展业务活动开支的交通费、住宿费、用餐费等。</w:t>
      </w:r>
      <w:r>
        <w:rPr>
          <w:rFonts w:hint="eastAsia" w:eastAsia="仿宋_GB2312" w:cs="仿宋_GB2312"/>
          <w:sz w:val="32"/>
          <w:szCs w:val="32"/>
        </w:rPr>
        <w:t>国内公务接</w:t>
      </w:r>
      <w:r>
        <w:rPr>
          <w:rFonts w:hint="eastAsia" w:ascii="仿宋_GB2312" w:hAnsi="仿宋_GB2312" w:eastAsia="仿宋_GB2312" w:cs="仿宋_GB2312"/>
          <w:sz w:val="32"/>
          <w:szCs w:val="32"/>
        </w:rPr>
        <w:t>待3批次，78</w:t>
      </w:r>
      <w:r>
        <w:rPr>
          <w:rFonts w:hint="eastAsia" w:eastAsia="仿宋_GB2312" w:cs="仿宋_GB2312"/>
          <w:sz w:val="32"/>
          <w:szCs w:val="32"/>
        </w:rPr>
        <w:t>人次，共计支出0.8万元，具体内容包括：</w:t>
      </w:r>
      <w:r>
        <w:rPr>
          <w:rFonts w:ascii="仿宋_GB2312" w:eastAsia="仿宋_GB2312"/>
          <w:sz w:val="32"/>
          <w:szCs w:val="32"/>
        </w:rPr>
        <w:t>接待</w:t>
      </w:r>
      <w:r>
        <w:rPr>
          <w:rFonts w:hint="eastAsia" w:ascii="仿宋_GB2312" w:eastAsia="仿宋_GB2312"/>
          <w:sz w:val="32"/>
          <w:szCs w:val="32"/>
        </w:rPr>
        <w:t>全省政务服务“三化”建设暨园区政务服务中心建设现场推进培训会0.57万元、调研中钛徐家沟铁矿地下开采项目情况及星悦地下空间开发项目情况等重点项目</w:t>
      </w:r>
      <w:r>
        <w:rPr>
          <w:rFonts w:ascii="仿宋_GB2312" w:eastAsia="仿宋_GB2312"/>
          <w:sz w:val="32"/>
          <w:szCs w:val="32"/>
        </w:rPr>
        <w:t>接待费</w:t>
      </w:r>
      <w:r>
        <w:rPr>
          <w:rFonts w:hint="eastAsia" w:ascii="仿宋_GB2312" w:eastAsia="仿宋_GB2312"/>
          <w:sz w:val="32"/>
          <w:szCs w:val="32"/>
        </w:rPr>
        <w:t>0.23万元</w:t>
      </w:r>
      <w:r>
        <w:rPr>
          <w:rFonts w:ascii="仿宋_GB2312" w:eastAsia="仿宋_GB2312"/>
          <w:sz w:val="32"/>
          <w:szCs w:val="32"/>
        </w:rPr>
        <w:t>。</w:t>
      </w:r>
    </w:p>
    <w:p>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出0万元。外事接待0批次，0人次（不包括陪同人员），共计支出0万</w:t>
      </w:r>
      <w:r>
        <w:rPr>
          <w:rFonts w:hint="eastAsia" w:eastAsia="仿宋_GB2312" w:cs="仿宋_GB2312"/>
          <w:sz w:val="32"/>
          <w:szCs w:val="32"/>
        </w:rPr>
        <w:t>元。</w:t>
      </w:r>
      <w:bookmarkStart w:id="42" w:name="_Toc15396610"/>
      <w:bookmarkStart w:id="43" w:name="_Toc15377218"/>
    </w:p>
    <w:p>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42"/>
      <w:bookmarkEnd w:id="43"/>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w:t>
      </w:r>
    </w:p>
    <w:p>
      <w:pPr>
        <w:spacing w:line="600" w:lineRule="exact"/>
        <w:ind w:left="630"/>
        <w:outlineLvl w:val="1"/>
        <w:rPr>
          <w:rStyle w:val="29"/>
          <w:rFonts w:ascii="Times New Roman" w:hAnsi="Times New Roman" w:eastAsia="黑体"/>
          <w:b w:val="0"/>
        </w:rPr>
      </w:pPr>
      <w:bookmarkStart w:id="44" w:name="_Toc15377219"/>
      <w:bookmarkStart w:id="45" w:name="_Toc15396611"/>
      <w:r>
        <w:rPr>
          <w:rStyle w:val="29"/>
          <w:rFonts w:hint="eastAsia" w:ascii="Times New Roman" w:hAnsi="Times New Roman" w:eastAsia="黑体"/>
          <w:b w:val="0"/>
        </w:rPr>
        <w:t>九、国有资本经营预算支出决算情况说明</w:t>
      </w:r>
      <w:bookmarkEnd w:id="44"/>
      <w:bookmarkEnd w:id="45"/>
    </w:p>
    <w:p>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w:t>
      </w:r>
    </w:p>
    <w:p>
      <w:pPr>
        <w:spacing w:line="600" w:lineRule="exact"/>
        <w:ind w:left="630"/>
        <w:outlineLvl w:val="1"/>
        <w:rPr>
          <w:rStyle w:val="29"/>
          <w:rFonts w:ascii="Times New Roman" w:hAnsi="Times New Roman" w:eastAsia="黑体"/>
          <w:b w:val="0"/>
        </w:rPr>
      </w:pPr>
      <w:bookmarkStart w:id="46" w:name="_Toc15396612"/>
      <w:bookmarkStart w:id="47" w:name="_Toc15377221"/>
      <w:r>
        <w:rPr>
          <w:rStyle w:val="29"/>
          <w:rFonts w:hint="eastAsia" w:ascii="Times New Roman" w:hAnsi="Times New Roman" w:eastAsia="黑体"/>
          <w:b w:val="0"/>
        </w:rPr>
        <w:t>十、其他重要事项的情况说明</w:t>
      </w:r>
      <w:bookmarkEnd w:id="46"/>
      <w:bookmarkEnd w:id="47"/>
    </w:p>
    <w:p>
      <w:pPr>
        <w:spacing w:line="600" w:lineRule="exact"/>
        <w:ind w:firstLine="640" w:firstLineChars="200"/>
        <w:outlineLvl w:val="2"/>
        <w:rPr>
          <w:rFonts w:eastAsia="楷体_GB2312" w:cs="楷体_GB2312"/>
          <w:b/>
          <w:sz w:val="32"/>
          <w:szCs w:val="32"/>
        </w:rPr>
      </w:pPr>
      <w:bookmarkStart w:id="48" w:name="_Toc15377222"/>
      <w:r>
        <w:rPr>
          <w:rFonts w:hint="eastAsia" w:eastAsia="楷体_GB2312" w:cs="楷体_GB2312"/>
          <w:b/>
          <w:sz w:val="32"/>
          <w:szCs w:val="32"/>
        </w:rPr>
        <w:t>（一）机关运行经费支出情况</w:t>
      </w:r>
      <w:bookmarkEnd w:id="48"/>
    </w:p>
    <w:p>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，攀枝花市东区行政审批局机关运行经费支出45.81万</w:t>
      </w:r>
      <w:r>
        <w:rPr>
          <w:rFonts w:hint="eastAsia" w:eastAsia="仿宋_GB2312" w:cs="仿宋_GB2312"/>
          <w:sz w:val="32"/>
          <w:szCs w:val="32"/>
        </w:rPr>
        <w:t>元，比2023年度减少0.98万元，下降2.09%。主要原因是厉行节约。</w:t>
      </w:r>
    </w:p>
    <w:p>
      <w:pPr>
        <w:spacing w:line="600" w:lineRule="exact"/>
        <w:ind w:firstLine="640" w:firstLineChars="200"/>
        <w:outlineLvl w:val="2"/>
        <w:rPr>
          <w:rFonts w:eastAsia="楷体_GB2312" w:cs="楷体_GB2312"/>
          <w:b/>
          <w:sz w:val="32"/>
          <w:szCs w:val="32"/>
        </w:rPr>
      </w:pPr>
      <w:bookmarkStart w:id="49" w:name="_Toc15377223"/>
      <w:r>
        <w:rPr>
          <w:rFonts w:hint="eastAsia" w:eastAsia="楷体_GB2312" w:cs="楷体_GB2312"/>
          <w:b/>
          <w:sz w:val="32"/>
          <w:szCs w:val="32"/>
        </w:rPr>
        <w:t>（二）政府采购支出情况</w:t>
      </w:r>
      <w:bookmarkEnd w:id="49"/>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2024年度，攀枝花市东区行政审批局政府采购支出总额40.13万元，其中：政府采购货物支出0.47万元、政府采购工程支出0万元、政府采购服务支出39.66万元。主要用于</w:t>
      </w:r>
      <w:r>
        <w:rPr>
          <w:rFonts w:hint="eastAsia" w:ascii="仿宋_GB2312" w:eastAsia="仿宋_GB2312"/>
          <w:sz w:val="32"/>
          <w:szCs w:val="32"/>
        </w:rPr>
        <w:t>采购打印机和大厅工作人员食堂经费补助支出。</w:t>
      </w:r>
      <w:r>
        <w:rPr>
          <w:rFonts w:hint="eastAsia" w:ascii="仿宋_GB2312" w:hAnsi="仿宋_GB2312" w:eastAsia="仿宋_GB2312" w:cs="仿宋_GB2312"/>
          <w:sz w:val="32"/>
          <w:szCs w:val="32"/>
        </w:rPr>
        <w:t>授予中小企业合同金额40.13万元，占政府采购支出总额的100%，其中：授予小微企业合同金额40.13万元，占政府采购支出总额的100%。</w:t>
      </w:r>
    </w:p>
    <w:p>
      <w:pPr>
        <w:spacing w:line="600" w:lineRule="exact"/>
        <w:ind w:firstLine="640" w:firstLineChars="200"/>
        <w:outlineLvl w:val="2"/>
        <w:rPr>
          <w:rFonts w:eastAsia="楷体_GB2312" w:cs="楷体_GB2312"/>
          <w:b/>
          <w:sz w:val="32"/>
          <w:szCs w:val="32"/>
        </w:rPr>
      </w:pPr>
      <w:bookmarkStart w:id="50" w:name="_Toc15377224"/>
      <w:r>
        <w:rPr>
          <w:rFonts w:hint="eastAsia" w:eastAsia="楷体_GB2312" w:cs="楷体_GB2312"/>
          <w:b/>
          <w:sz w:val="32"/>
          <w:szCs w:val="32"/>
        </w:rPr>
        <w:t>（三）国有资产占有使用情况</w:t>
      </w:r>
      <w:bookmarkEnd w:id="50"/>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截至2024年12月31日，攀枝花市东区行政审批局共有车辆1辆，其中：主要负责人用车0辆、机要通信用车0辆、应急保障用车0辆、其他用车1辆，其他用车主要是用于</w:t>
      </w:r>
      <w:r>
        <w:rPr>
          <w:rFonts w:hint="eastAsia" w:ascii="仿宋_GB2312" w:hAnsi="仿宋_GB2312" w:eastAsia="仿宋_GB2312"/>
          <w:color w:val="000000"/>
          <w:sz w:val="32"/>
        </w:rPr>
        <w:t>现场踏勘</w:t>
      </w:r>
      <w:r>
        <w:rPr>
          <w:rFonts w:hint="eastAsia" w:ascii="仿宋_GB2312" w:hAnsi="仿宋_GB2312" w:eastAsia="仿宋_GB2312" w:cs="仿宋_GB2312"/>
          <w:sz w:val="32"/>
          <w:szCs w:val="32"/>
        </w:rPr>
        <w:t>。单价100万元（含）以上设备（不含车辆）0台（套）</w:t>
      </w:r>
      <w:r>
        <w:rPr>
          <w:rFonts w:hint="eastAsia" w:eastAsia="仿宋_GB2312" w:cs="仿宋_GB2312"/>
          <w:sz w:val="32"/>
          <w:szCs w:val="32"/>
        </w:rPr>
        <w:t>。</w:t>
      </w:r>
    </w:p>
    <w:p>
      <w:pPr>
        <w:spacing w:line="600" w:lineRule="exact"/>
        <w:ind w:firstLine="640"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rPr>
          <w:rFonts w:eastAsia="仿宋_GB2312" w:cs="仿宋_GB2312"/>
          <w:sz w:val="32"/>
          <w:szCs w:val="32"/>
        </w:rPr>
      </w:pPr>
      <w:r>
        <w:rPr>
          <w:rFonts w:hint="eastAsia" w:eastAsia="仿宋_GB2312" w:cs="仿宋_GB2312"/>
          <w:sz w:val="32"/>
          <w:szCs w:val="32"/>
        </w:rPr>
        <w:t>根据预算绩效管理要求，本</w:t>
      </w:r>
      <w:r>
        <w:rPr>
          <w:rFonts w:hint="eastAsia" w:eastAsia="仿宋_GB2312" w:cs="仿宋_GB2312"/>
          <w:sz w:val="32"/>
          <w:szCs w:val="32"/>
          <w:lang w:val="en-US" w:eastAsia="zh-CN"/>
        </w:rPr>
        <w:t>单位</w:t>
      </w:r>
      <w:r>
        <w:rPr>
          <w:rFonts w:hint="eastAsia" w:eastAsia="仿宋_GB2312" w:cs="仿宋_GB2312"/>
          <w:sz w:val="32"/>
          <w:szCs w:val="32"/>
        </w:rPr>
        <w:t>在2024年度预算编制阶段，组织对“企业档案扫描费”、“政府采购工作经费”、“大厅运行维护费”等6个项目开展了预算事前绩效评估，对6个项目编制了绩效目标，预算执行过程中，选取6个项目开展绩效监控。</w:t>
      </w:r>
    </w:p>
    <w:p>
      <w:pPr>
        <w:spacing w:line="600" w:lineRule="exact"/>
        <w:ind w:firstLine="640"/>
        <w:rPr>
          <w:rFonts w:eastAsia="仿宋_GB2312" w:cs="仿宋_GB2312"/>
          <w:sz w:val="32"/>
          <w:szCs w:val="32"/>
        </w:rPr>
      </w:pPr>
    </w:p>
    <w:p>
      <w:pPr>
        <w:spacing w:line="600" w:lineRule="exact"/>
        <w:jc w:val="center"/>
        <w:outlineLvl w:val="0"/>
        <w:rPr>
          <w:rFonts w:eastAsia="黑体"/>
          <w:sz w:val="44"/>
          <w:szCs w:val="44"/>
        </w:rPr>
      </w:pPr>
      <w:bookmarkStart w:id="51" w:name="_Toc15396613"/>
      <w:bookmarkStart w:id="52" w:name="_Toc15377225"/>
    </w:p>
    <w:p>
      <w:pPr>
        <w:spacing w:line="600" w:lineRule="exact"/>
        <w:jc w:val="center"/>
        <w:outlineLvl w:val="0"/>
        <w:rPr>
          <w:rFonts w:eastAsia="黑体"/>
          <w:sz w:val="44"/>
          <w:szCs w:val="44"/>
        </w:rPr>
      </w:pPr>
    </w:p>
    <w:bookmarkEnd w:id="51"/>
    <w:bookmarkEnd w:id="52"/>
    <w:p>
      <w:pPr>
        <w:pStyle w:val="3"/>
        <w:ind w:left="0" w:leftChars="0" w:firstLine="0" w:firstLineChars="0"/>
        <w:rPr>
          <w:rFonts w:eastAsia="黑体"/>
          <w:sz w:val="44"/>
          <w:szCs w:val="44"/>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9.一般公共服务支出（类）政府办公厅（室）及相关机构事务（款）行政运行（项）：反映行政单位（包括实行公务员管理的事业单位）的基本支出。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一般公共服务支出（类）政府办公厅（室）及相关机构事务（款）政务公开审批（项）：反映各级政府政务公开审批方面的支出。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一般公共服务支出（类）政府办公厅（室）及相关机构事务（款）事业运行（项）：反映事业单位的基本支出，不包括行政单位（包括实行公务员管理的事业单位后勤服务中心、医务室等附属事业单位）。</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一般公共服务支出（类）政府办公厅（室）及相关机构事务（款）其他政府办公厅（室）及相关机构事务支出（项）：反映除上述项目以外的其他政府办公厅（室）及相关机构事务支出。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一般公共服务支出（类）党委办公厅（室）及相关机构事务</w:t>
      </w:r>
      <w:r>
        <w:rPr>
          <w:rFonts w:hint="eastAsia" w:eastAsia="仿宋_GB2312" w:cs="仿宋_GB2312"/>
          <w:color w:val="auto"/>
          <w:kern w:val="2"/>
          <w:sz w:val="32"/>
          <w:szCs w:val="32"/>
          <w:highlight w:val="none"/>
          <w:lang w:val="en-US" w:eastAsia="zh-CN" w:bidi="ar-SA"/>
        </w:rPr>
        <w:t>（款）专项业务（项）：反映</w:t>
      </w:r>
      <w:r>
        <w:rPr>
          <w:rFonts w:hint="eastAsia" w:ascii="Times New Roman" w:hAnsi="Times New Roman" w:eastAsia="仿宋_GB2312" w:cs="仿宋_GB2312"/>
          <w:color w:val="auto"/>
          <w:kern w:val="2"/>
          <w:sz w:val="32"/>
          <w:szCs w:val="32"/>
          <w:highlight w:val="none"/>
          <w:lang w:val="en-US" w:eastAsia="zh-CN" w:bidi="ar-SA"/>
        </w:rPr>
        <w:t>党委办公厅（室）及相关机构事务开展专项业务活动所发生的支出。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.社会保障和就业支出（类）行政事业单位离退休（款）行政单位离退休支出（项）：反映行政单位（包括实行公务员管理的事业单位）开支的离退休经费。</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社会保障和就业支出（类）行政事业单位离退休（款）事业单位离退休支出（项）：反映事业单位开支的离退休经费。</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社会保障和就业支出（类）行政事业单位离退休（款）机关事业单位基本养老保险缴费支出（项）：反映机关事业单位实施养老保险制度由单位缴纳的基本养老保险费支出。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社会保障和就业支出（类）行政事业单位离退休（款）机关事业单位职业年金缴费支出（项）：反映机关事业单位实施养老保险制度由单位实际缴纳的职业年金支出。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.卫生健康支出（类）行政事业单位医疗（款）行政单位医疗（项）：反映区机关及参公管理事业单位用于缴纳单位基本医疗保险支出。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卫生健康支出（类）行政事业单位医疗（款）事业单位医疗（项）：指区事业单位用于缴纳单位人员基本医疗保险支出。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卫生健康支出（类）行政事业单位医疗（款）公务员医疗补助（项）：指财政部门安排的公务员医疗补助经费。</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.住房保障支出（类）住房改革支出（款）住房公积金（项）:反映行政事业单位按人力资源和社会保障部、财政部规定的基本工资和津贴补贴以及规定比例为职工缴纳的住房公积金。</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.其他支出：反映除上述项目以外其他不能划分到具体功能科目中的支出项目。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35"/>
          <w:rFonts w:hint="eastAsia" w:ascii="Times New Roman" w:hAnsi="Times New Roman" w:eastAsia="黑体"/>
          <w:b w:val="0"/>
          <w:color w:val="auto"/>
          <w:highlight w:val="none"/>
          <w:lang w:eastAsia="zh-CN"/>
        </w:rPr>
      </w:pPr>
      <w:bookmarkStart w:id="53"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4"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4"/>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5" w:name="_Toc1539661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2024年度攀枝花市东区行政审批局（本级）单位</w:t>
      </w:r>
      <w:r>
        <w:rPr>
          <w:rFonts w:hint="eastAsia" w:ascii="Times New Roman" w:hAnsi="Times New Roman" w:eastAsia="仿宋_GB2312" w:cs="仿宋_GB2312"/>
          <w:color w:val="auto"/>
          <w:kern w:val="2"/>
          <w:sz w:val="32"/>
          <w:szCs w:val="32"/>
          <w:highlight w:val="none"/>
          <w:lang w:val="en-US" w:eastAsia="zh-CN" w:bidi="ar-SA"/>
        </w:rPr>
        <w:t>预算项目支出绩效自评表</w:t>
      </w:r>
      <w:r>
        <w:rPr>
          <w:rFonts w:hint="eastAsia" w:eastAsia="仿宋_GB2312" w:cs="仿宋_GB2312"/>
          <w:color w:val="auto"/>
          <w:kern w:val="2"/>
          <w:sz w:val="32"/>
          <w:szCs w:val="32"/>
          <w:highlight w:val="none"/>
          <w:lang w:val="en-US" w:eastAsia="zh-CN" w:bidi="ar-SA"/>
        </w:rPr>
        <w:t xml:space="preserve">    </w:t>
      </w:r>
      <w:r>
        <w:rPr>
          <w:rFonts w:hint="eastAsia" w:ascii="Times New Roman" w:hAnsi="Times New Roman" w:eastAsia="仿宋_GB2312" w:cs="仿宋_GB2312"/>
          <w:color w:val="auto"/>
          <w:kern w:val="2"/>
          <w:sz w:val="32"/>
          <w:szCs w:val="32"/>
          <w:highlight w:val="none"/>
          <w:lang w:val="en-US" w:eastAsia="zh-CN" w:bidi="ar-SA"/>
        </w:rPr>
        <w:t>见附件3</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bookmarkStart w:id="69" w:name="_GoBack"/>
      <w:bookmarkEnd w:id="69"/>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5"/>
          <w:rFonts w:hint="eastAsia" w:ascii="Times New Roman" w:hAnsi="Times New Roman" w:eastAsia="黑体"/>
          <w:b w:val="0"/>
          <w:color w:val="auto"/>
          <w:highlight w:val="none"/>
        </w:rPr>
        <w:t>五部分 附表</w:t>
      </w:r>
      <w:bookmarkEnd w:id="53"/>
      <w:bookmarkEnd w:id="55"/>
      <w:bookmarkStart w:id="56"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0"/>
      <w:r>
        <w:rPr>
          <w:rFonts w:hint="eastAsia" w:ascii="Times New Roman" w:hAnsi="Times New Roman" w:eastAsia="仿宋_GB2312" w:cs="仿宋_GB2312"/>
          <w:color w:val="auto"/>
          <w:sz w:val="32"/>
          <w:szCs w:val="32"/>
          <w:highlight w:val="none"/>
        </w:rPr>
        <w:t>二、收入决算表</w:t>
      </w:r>
      <w:bookmarkEnd w:id="57"/>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1"/>
      <w:r>
        <w:rPr>
          <w:rFonts w:hint="eastAsia" w:ascii="Times New Roman" w:hAnsi="Times New Roman" w:eastAsia="仿宋_GB2312" w:cs="仿宋_GB2312"/>
          <w:color w:val="auto"/>
          <w:sz w:val="32"/>
          <w:szCs w:val="32"/>
          <w:highlight w:val="none"/>
        </w:rPr>
        <w:t>三、支出决算表</w:t>
      </w:r>
      <w:bookmarkEnd w:id="5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2"/>
      <w:r>
        <w:rPr>
          <w:rFonts w:hint="eastAsia" w:ascii="Times New Roman" w:hAnsi="Times New Roman" w:eastAsia="仿宋_GB2312" w:cs="仿宋_GB2312"/>
          <w:color w:val="auto"/>
          <w:sz w:val="32"/>
          <w:szCs w:val="32"/>
          <w:highlight w:val="none"/>
        </w:rPr>
        <w:t>四、财政拨款收入支出决算总表</w:t>
      </w:r>
      <w:bookmarkEnd w:id="5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3"/>
      <w:r>
        <w:rPr>
          <w:rFonts w:hint="eastAsia" w:ascii="Times New Roman" w:hAnsi="Times New Roman" w:eastAsia="仿宋_GB2312" w:cs="仿宋_GB2312"/>
          <w:color w:val="auto"/>
          <w:sz w:val="32"/>
          <w:szCs w:val="32"/>
          <w:highlight w:val="none"/>
        </w:rPr>
        <w:t>五、财政拨款支出决算明细表</w:t>
      </w:r>
      <w:bookmarkEnd w:id="60"/>
      <w:bookmarkStart w:id="61"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5"/>
      <w:r>
        <w:rPr>
          <w:rFonts w:hint="eastAsia" w:ascii="Times New Roman" w:hAnsi="Times New Roman" w:eastAsia="仿宋_GB2312" w:cs="仿宋_GB2312"/>
          <w:color w:val="auto"/>
          <w:sz w:val="32"/>
          <w:szCs w:val="32"/>
          <w:highlight w:val="none"/>
        </w:rPr>
        <w:t>七、一般公共预算财政拨款支出决算明细表</w:t>
      </w:r>
      <w:bookmarkEnd w:id="62"/>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6"/>
      <w:r>
        <w:rPr>
          <w:rFonts w:hint="eastAsia" w:ascii="Times New Roman" w:hAnsi="Times New Roman" w:eastAsia="仿宋_GB2312" w:cs="仿宋_GB2312"/>
          <w:color w:val="auto"/>
          <w:sz w:val="32"/>
          <w:szCs w:val="32"/>
          <w:highlight w:val="none"/>
        </w:rPr>
        <w:t>八、一般公共预算财政拨款基本支出决算表</w:t>
      </w:r>
      <w:bookmarkEnd w:id="63"/>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7"/>
      <w:r>
        <w:rPr>
          <w:rFonts w:hint="eastAsia" w:ascii="Times New Roman" w:hAnsi="Times New Roman" w:eastAsia="仿宋_GB2312" w:cs="仿宋_GB2312"/>
          <w:color w:val="auto"/>
          <w:sz w:val="32"/>
          <w:szCs w:val="32"/>
          <w:highlight w:val="none"/>
        </w:rPr>
        <w:t>九、一般公共预算财政拨款项目支出决算表</w:t>
      </w:r>
      <w:bookmarkEnd w:id="6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8"/>
      <w:r>
        <w:rPr>
          <w:rFonts w:hint="eastAsia" w:ascii="Times New Roman" w:hAnsi="Times New Roman" w:eastAsia="仿宋_GB2312" w:cs="仿宋_GB2312"/>
          <w:color w:val="auto"/>
          <w:sz w:val="32"/>
          <w:szCs w:val="32"/>
          <w:highlight w:val="none"/>
        </w:rPr>
        <w:t>十、</w:t>
      </w:r>
      <w:bookmarkEnd w:id="65"/>
      <w:r>
        <w:rPr>
          <w:rFonts w:hint="eastAsia" w:ascii="Times New Roman" w:hAnsi="Times New Roman" w:eastAsia="仿宋_GB2312" w:cs="仿宋_GB2312"/>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9"/>
      <w:r>
        <w:rPr>
          <w:rFonts w:hint="eastAsia" w:ascii="Times New Roman" w:hAnsi="Times New Roman" w:eastAsia="仿宋_GB2312" w:cs="仿宋_GB2312"/>
          <w:color w:val="auto"/>
          <w:sz w:val="32"/>
          <w:szCs w:val="32"/>
          <w:highlight w:val="none"/>
        </w:rPr>
        <w:t>十一、</w:t>
      </w:r>
      <w:bookmarkEnd w:id="6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30"/>
      <w:r>
        <w:rPr>
          <w:rFonts w:hint="eastAsia" w:ascii="Times New Roman" w:hAnsi="Times New Roman" w:eastAsia="仿宋_GB2312" w:cs="仿宋_GB2312"/>
          <w:color w:val="auto"/>
          <w:sz w:val="32"/>
          <w:szCs w:val="32"/>
          <w:highlight w:val="none"/>
        </w:rPr>
        <w:t>十二、</w:t>
      </w:r>
      <w:bookmarkEnd w:id="67"/>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8" w:name="_Toc15396631"/>
      <w:r>
        <w:rPr>
          <w:rFonts w:hint="eastAsia" w:ascii="Times New Roman" w:hAnsi="Times New Roman" w:eastAsia="仿宋_GB2312" w:cs="仿宋_GB2312"/>
          <w:color w:val="auto"/>
          <w:sz w:val="32"/>
          <w:szCs w:val="32"/>
          <w:highlight w:val="none"/>
        </w:rPr>
        <w:t>十三、</w:t>
      </w:r>
      <w:bookmarkEnd w:id="68"/>
      <w:r>
        <w:rPr>
          <w:rFonts w:hint="eastAsia" w:ascii="Times New Roman" w:hAnsi="Times New Roman" w:eastAsia="仿宋_GB2312" w:cs="仿宋_GB2312"/>
          <w:color w:val="auto"/>
          <w:sz w:val="32"/>
          <w:szCs w:val="32"/>
          <w:highlight w:val="none"/>
          <w:lang w:eastAsia="zh-CN"/>
        </w:rPr>
        <w:t>财政拨款“三公”经费支出决算表</w:t>
      </w:r>
    </w:p>
    <w:p>
      <w:pPr>
        <w:pStyle w:val="3"/>
        <w:rPr>
          <w:rFonts w:eastAsia="黑体"/>
          <w:sz w:val="44"/>
          <w:szCs w:val="44"/>
        </w:rPr>
      </w:pPr>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altName w:val="Arial Unicode MS"/>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5FBB"/>
    <w:rsid w:val="00136F59"/>
    <w:rsid w:val="00142216"/>
    <w:rsid w:val="00144D6A"/>
    <w:rsid w:val="0014729F"/>
    <w:rsid w:val="00157BAB"/>
    <w:rsid w:val="001654D1"/>
    <w:rsid w:val="00170048"/>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3751"/>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5797"/>
    <w:rsid w:val="004464F4"/>
    <w:rsid w:val="00471401"/>
    <w:rsid w:val="00473F31"/>
    <w:rsid w:val="0048263A"/>
    <w:rsid w:val="00487E5D"/>
    <w:rsid w:val="00491A7B"/>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E5D1E"/>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97381"/>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0750C"/>
    <w:rsid w:val="00B10517"/>
    <w:rsid w:val="00B14E76"/>
    <w:rsid w:val="00B161B8"/>
    <w:rsid w:val="00B2048C"/>
    <w:rsid w:val="00B30ADA"/>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65A2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19D1"/>
    <w:rsid w:val="00E472B1"/>
    <w:rsid w:val="00E50624"/>
    <w:rsid w:val="00E54633"/>
    <w:rsid w:val="00E568DF"/>
    <w:rsid w:val="00E62C73"/>
    <w:rsid w:val="00E64269"/>
    <w:rsid w:val="00E82267"/>
    <w:rsid w:val="00E853CE"/>
    <w:rsid w:val="00E867B6"/>
    <w:rsid w:val="00EA010F"/>
    <w:rsid w:val="00ED1B63"/>
    <w:rsid w:val="00ED3C1F"/>
    <w:rsid w:val="00ED4085"/>
    <w:rsid w:val="00ED420E"/>
    <w:rsid w:val="00ED6FBE"/>
    <w:rsid w:val="00EE2F57"/>
    <w:rsid w:val="00EE6C69"/>
    <w:rsid w:val="00EF4C34"/>
    <w:rsid w:val="00EF77C6"/>
    <w:rsid w:val="00F05438"/>
    <w:rsid w:val="00F1361C"/>
    <w:rsid w:val="00F156F0"/>
    <w:rsid w:val="00F160C7"/>
    <w:rsid w:val="00F2408F"/>
    <w:rsid w:val="00F240E9"/>
    <w:rsid w:val="00F36D8F"/>
    <w:rsid w:val="00F417B1"/>
    <w:rsid w:val="00F432AB"/>
    <w:rsid w:val="00F45853"/>
    <w:rsid w:val="00F602DF"/>
    <w:rsid w:val="00F754A1"/>
    <w:rsid w:val="00F76EE0"/>
    <w:rsid w:val="00F778AB"/>
    <w:rsid w:val="00F81FD9"/>
    <w:rsid w:val="00F841AA"/>
    <w:rsid w:val="00F84A94"/>
    <w:rsid w:val="00F87E96"/>
    <w:rsid w:val="00FA23E8"/>
    <w:rsid w:val="00FD3CC1"/>
    <w:rsid w:val="00FF1E02"/>
    <w:rsid w:val="00FF30B4"/>
    <w:rsid w:val="012A5EC2"/>
    <w:rsid w:val="015975B8"/>
    <w:rsid w:val="01826A17"/>
    <w:rsid w:val="018D707D"/>
    <w:rsid w:val="01BE01FA"/>
    <w:rsid w:val="020B3C99"/>
    <w:rsid w:val="025141BB"/>
    <w:rsid w:val="02596E91"/>
    <w:rsid w:val="025D344C"/>
    <w:rsid w:val="029B7164"/>
    <w:rsid w:val="02FEBE30"/>
    <w:rsid w:val="04384DA3"/>
    <w:rsid w:val="04916F1E"/>
    <w:rsid w:val="04B74A05"/>
    <w:rsid w:val="05365FBB"/>
    <w:rsid w:val="05556F2B"/>
    <w:rsid w:val="05A63FD4"/>
    <w:rsid w:val="05B0027B"/>
    <w:rsid w:val="061E35DE"/>
    <w:rsid w:val="062204CB"/>
    <w:rsid w:val="064102AF"/>
    <w:rsid w:val="06695153"/>
    <w:rsid w:val="066E0107"/>
    <w:rsid w:val="068A2EF6"/>
    <w:rsid w:val="06F5474B"/>
    <w:rsid w:val="07277B3F"/>
    <w:rsid w:val="072A4841"/>
    <w:rsid w:val="074314E3"/>
    <w:rsid w:val="07595D13"/>
    <w:rsid w:val="07996F6E"/>
    <w:rsid w:val="07DFD8BA"/>
    <w:rsid w:val="08222D3A"/>
    <w:rsid w:val="089F1EC1"/>
    <w:rsid w:val="08A84395"/>
    <w:rsid w:val="090D07F9"/>
    <w:rsid w:val="091B6E43"/>
    <w:rsid w:val="09867E8F"/>
    <w:rsid w:val="0A1059DE"/>
    <w:rsid w:val="0A1C3CC7"/>
    <w:rsid w:val="0A2032A3"/>
    <w:rsid w:val="0A572181"/>
    <w:rsid w:val="0A5758A4"/>
    <w:rsid w:val="0ABC6327"/>
    <w:rsid w:val="0B087551"/>
    <w:rsid w:val="0B7578A8"/>
    <w:rsid w:val="0BCC1D05"/>
    <w:rsid w:val="0C05604B"/>
    <w:rsid w:val="0C7954E0"/>
    <w:rsid w:val="0C8702B7"/>
    <w:rsid w:val="0CA8290A"/>
    <w:rsid w:val="0D35B1ED"/>
    <w:rsid w:val="0D395154"/>
    <w:rsid w:val="0D441E1B"/>
    <w:rsid w:val="0D934F1D"/>
    <w:rsid w:val="0D9404BE"/>
    <w:rsid w:val="0D9D3792"/>
    <w:rsid w:val="0DD97303"/>
    <w:rsid w:val="0E254B6B"/>
    <w:rsid w:val="0E2B79C8"/>
    <w:rsid w:val="0E8C1BD6"/>
    <w:rsid w:val="0EAA6D54"/>
    <w:rsid w:val="0EE57F94"/>
    <w:rsid w:val="0F98263C"/>
    <w:rsid w:val="0FE16FA7"/>
    <w:rsid w:val="101860EC"/>
    <w:rsid w:val="101F47CC"/>
    <w:rsid w:val="10621CE7"/>
    <w:rsid w:val="10B564E0"/>
    <w:rsid w:val="10C055FF"/>
    <w:rsid w:val="10DA4E29"/>
    <w:rsid w:val="11694EBD"/>
    <w:rsid w:val="11772AA4"/>
    <w:rsid w:val="118107EC"/>
    <w:rsid w:val="11C856DC"/>
    <w:rsid w:val="12E24EE2"/>
    <w:rsid w:val="13241FA6"/>
    <w:rsid w:val="137D3606"/>
    <w:rsid w:val="13BA086F"/>
    <w:rsid w:val="13D50BC4"/>
    <w:rsid w:val="14595476"/>
    <w:rsid w:val="145F35AD"/>
    <w:rsid w:val="14B17F78"/>
    <w:rsid w:val="15630323"/>
    <w:rsid w:val="15D501E9"/>
    <w:rsid w:val="165E0673"/>
    <w:rsid w:val="16B831D5"/>
    <w:rsid w:val="16BB723D"/>
    <w:rsid w:val="16C70DB0"/>
    <w:rsid w:val="17A82010"/>
    <w:rsid w:val="17E50567"/>
    <w:rsid w:val="186504BB"/>
    <w:rsid w:val="1868362C"/>
    <w:rsid w:val="186A7DB3"/>
    <w:rsid w:val="18B14192"/>
    <w:rsid w:val="18DD00CE"/>
    <w:rsid w:val="18FC791F"/>
    <w:rsid w:val="199E3C4C"/>
    <w:rsid w:val="19A445FC"/>
    <w:rsid w:val="19F07509"/>
    <w:rsid w:val="1A1D53A8"/>
    <w:rsid w:val="1A2515A9"/>
    <w:rsid w:val="1AF270BF"/>
    <w:rsid w:val="1B1343E0"/>
    <w:rsid w:val="1B4B334C"/>
    <w:rsid w:val="1BE8440E"/>
    <w:rsid w:val="1BF65D90"/>
    <w:rsid w:val="1C052D57"/>
    <w:rsid w:val="1C21570C"/>
    <w:rsid w:val="1C242B9E"/>
    <w:rsid w:val="1CF630F4"/>
    <w:rsid w:val="1D155CEE"/>
    <w:rsid w:val="1D1638FE"/>
    <w:rsid w:val="1D450A90"/>
    <w:rsid w:val="1D5E5424"/>
    <w:rsid w:val="1DD26FBB"/>
    <w:rsid w:val="1DD67FB7"/>
    <w:rsid w:val="1E1B7ED4"/>
    <w:rsid w:val="1E312DEB"/>
    <w:rsid w:val="1E536460"/>
    <w:rsid w:val="1E5B19B0"/>
    <w:rsid w:val="1E5C240A"/>
    <w:rsid w:val="1E740ACF"/>
    <w:rsid w:val="1EBB2521"/>
    <w:rsid w:val="1ED35A9E"/>
    <w:rsid w:val="1FA70A44"/>
    <w:rsid w:val="1FF35744"/>
    <w:rsid w:val="1FF6BC77"/>
    <w:rsid w:val="20E62127"/>
    <w:rsid w:val="210571A8"/>
    <w:rsid w:val="2186353C"/>
    <w:rsid w:val="21DA540C"/>
    <w:rsid w:val="223E44B9"/>
    <w:rsid w:val="225D715B"/>
    <w:rsid w:val="22BE0E88"/>
    <w:rsid w:val="22BE688F"/>
    <w:rsid w:val="22C0345C"/>
    <w:rsid w:val="2348049A"/>
    <w:rsid w:val="23860B96"/>
    <w:rsid w:val="240371BF"/>
    <w:rsid w:val="244F3473"/>
    <w:rsid w:val="24640161"/>
    <w:rsid w:val="24657369"/>
    <w:rsid w:val="2486573F"/>
    <w:rsid w:val="249B4FE4"/>
    <w:rsid w:val="24C97D99"/>
    <w:rsid w:val="24F56008"/>
    <w:rsid w:val="25546590"/>
    <w:rsid w:val="25A718F0"/>
    <w:rsid w:val="25BB59F6"/>
    <w:rsid w:val="260F557C"/>
    <w:rsid w:val="26183EC9"/>
    <w:rsid w:val="263A23EB"/>
    <w:rsid w:val="26970054"/>
    <w:rsid w:val="276718B4"/>
    <w:rsid w:val="27985FD1"/>
    <w:rsid w:val="281408E2"/>
    <w:rsid w:val="286F5AAA"/>
    <w:rsid w:val="28D8068A"/>
    <w:rsid w:val="29026853"/>
    <w:rsid w:val="294167B4"/>
    <w:rsid w:val="29697B44"/>
    <w:rsid w:val="296A58D4"/>
    <w:rsid w:val="29937700"/>
    <w:rsid w:val="29FD04D3"/>
    <w:rsid w:val="2A027314"/>
    <w:rsid w:val="2A7A3E8A"/>
    <w:rsid w:val="2AEC429E"/>
    <w:rsid w:val="2B484080"/>
    <w:rsid w:val="2BFF7BC6"/>
    <w:rsid w:val="2C8A61B5"/>
    <w:rsid w:val="2CEA7DFA"/>
    <w:rsid w:val="2DF04E50"/>
    <w:rsid w:val="2E586DFA"/>
    <w:rsid w:val="2EC326B9"/>
    <w:rsid w:val="2F040D46"/>
    <w:rsid w:val="2F6B035B"/>
    <w:rsid w:val="2F96071B"/>
    <w:rsid w:val="2FAE5751"/>
    <w:rsid w:val="2FB1A395"/>
    <w:rsid w:val="2FD9A7D8"/>
    <w:rsid w:val="2FDBF714"/>
    <w:rsid w:val="304341B4"/>
    <w:rsid w:val="309C1FC2"/>
    <w:rsid w:val="30AB6865"/>
    <w:rsid w:val="3146124B"/>
    <w:rsid w:val="3165408D"/>
    <w:rsid w:val="31694411"/>
    <w:rsid w:val="319F7F4E"/>
    <w:rsid w:val="32261220"/>
    <w:rsid w:val="32AB5B40"/>
    <w:rsid w:val="32BD1EF1"/>
    <w:rsid w:val="32D4210D"/>
    <w:rsid w:val="3304709D"/>
    <w:rsid w:val="33A773CB"/>
    <w:rsid w:val="34137989"/>
    <w:rsid w:val="346A1D25"/>
    <w:rsid w:val="34744B28"/>
    <w:rsid w:val="34897E2A"/>
    <w:rsid w:val="348F4CFD"/>
    <w:rsid w:val="349D6851"/>
    <w:rsid w:val="34C67F11"/>
    <w:rsid w:val="34E239F0"/>
    <w:rsid w:val="3604182A"/>
    <w:rsid w:val="365F23F0"/>
    <w:rsid w:val="36AA5135"/>
    <w:rsid w:val="36B85C87"/>
    <w:rsid w:val="36BE0DA7"/>
    <w:rsid w:val="3726545E"/>
    <w:rsid w:val="373613D7"/>
    <w:rsid w:val="374B7581"/>
    <w:rsid w:val="376B6AA6"/>
    <w:rsid w:val="376D39B2"/>
    <w:rsid w:val="3780694E"/>
    <w:rsid w:val="37BF4EEF"/>
    <w:rsid w:val="37D87513"/>
    <w:rsid w:val="37E16F03"/>
    <w:rsid w:val="37F53A3B"/>
    <w:rsid w:val="385A2AF6"/>
    <w:rsid w:val="38812B3F"/>
    <w:rsid w:val="389B6C89"/>
    <w:rsid w:val="38D469F0"/>
    <w:rsid w:val="38F032DE"/>
    <w:rsid w:val="38F32C55"/>
    <w:rsid w:val="39570CF1"/>
    <w:rsid w:val="39627CCD"/>
    <w:rsid w:val="397BAF1F"/>
    <w:rsid w:val="3A5E4D0C"/>
    <w:rsid w:val="3AB79AF3"/>
    <w:rsid w:val="3AD63C91"/>
    <w:rsid w:val="3AE834C0"/>
    <w:rsid w:val="3B7EF35A"/>
    <w:rsid w:val="3B9FDB6C"/>
    <w:rsid w:val="3BBE1B74"/>
    <w:rsid w:val="3BC207E9"/>
    <w:rsid w:val="3BD9682B"/>
    <w:rsid w:val="3BF5BC2F"/>
    <w:rsid w:val="3CEBA265"/>
    <w:rsid w:val="3D1E328E"/>
    <w:rsid w:val="3D98207C"/>
    <w:rsid w:val="3DEE7CF3"/>
    <w:rsid w:val="3E4875D4"/>
    <w:rsid w:val="3E6F552C"/>
    <w:rsid w:val="3E740A63"/>
    <w:rsid w:val="3E78745D"/>
    <w:rsid w:val="3E986106"/>
    <w:rsid w:val="3EC55606"/>
    <w:rsid w:val="3EE17838"/>
    <w:rsid w:val="3F55381A"/>
    <w:rsid w:val="3F573903"/>
    <w:rsid w:val="3F7F7599"/>
    <w:rsid w:val="3F9656A6"/>
    <w:rsid w:val="3FF4CAE0"/>
    <w:rsid w:val="3FF7B227"/>
    <w:rsid w:val="40276675"/>
    <w:rsid w:val="411936A3"/>
    <w:rsid w:val="412F2E45"/>
    <w:rsid w:val="415C55FA"/>
    <w:rsid w:val="417375AB"/>
    <w:rsid w:val="4187359F"/>
    <w:rsid w:val="41D3614B"/>
    <w:rsid w:val="420C59C5"/>
    <w:rsid w:val="423A11E9"/>
    <w:rsid w:val="42504259"/>
    <w:rsid w:val="436521D0"/>
    <w:rsid w:val="43BF3B0E"/>
    <w:rsid w:val="44674991"/>
    <w:rsid w:val="448A6C44"/>
    <w:rsid w:val="44D608FA"/>
    <w:rsid w:val="44E268DA"/>
    <w:rsid w:val="450D13D7"/>
    <w:rsid w:val="45506656"/>
    <w:rsid w:val="455768F7"/>
    <w:rsid w:val="456A1AE2"/>
    <w:rsid w:val="45963B6D"/>
    <w:rsid w:val="45DF0427"/>
    <w:rsid w:val="46035C52"/>
    <w:rsid w:val="46104C69"/>
    <w:rsid w:val="46F52CE7"/>
    <w:rsid w:val="47755D5B"/>
    <w:rsid w:val="477B4E9C"/>
    <w:rsid w:val="478A0673"/>
    <w:rsid w:val="486A6C7A"/>
    <w:rsid w:val="488248B3"/>
    <w:rsid w:val="49430E0E"/>
    <w:rsid w:val="49E96794"/>
    <w:rsid w:val="4A2740D2"/>
    <w:rsid w:val="4A627F82"/>
    <w:rsid w:val="4A80379B"/>
    <w:rsid w:val="4AEF771C"/>
    <w:rsid w:val="4B0E749A"/>
    <w:rsid w:val="4B2477C4"/>
    <w:rsid w:val="4B4F25DA"/>
    <w:rsid w:val="4BE068DB"/>
    <w:rsid w:val="4C007B61"/>
    <w:rsid w:val="4C8F098F"/>
    <w:rsid w:val="4CF7668D"/>
    <w:rsid w:val="4D0E3BD7"/>
    <w:rsid w:val="4D577224"/>
    <w:rsid w:val="4DBF1CEB"/>
    <w:rsid w:val="4DF0007C"/>
    <w:rsid w:val="4E0A36BC"/>
    <w:rsid w:val="4EAB630A"/>
    <w:rsid w:val="4ECE2238"/>
    <w:rsid w:val="4F321AF7"/>
    <w:rsid w:val="4F550DFC"/>
    <w:rsid w:val="4F833267"/>
    <w:rsid w:val="4FE9BD67"/>
    <w:rsid w:val="4FFB052F"/>
    <w:rsid w:val="501D623F"/>
    <w:rsid w:val="50584D50"/>
    <w:rsid w:val="50C95D89"/>
    <w:rsid w:val="513940FA"/>
    <w:rsid w:val="51AC7119"/>
    <w:rsid w:val="52185176"/>
    <w:rsid w:val="5240300E"/>
    <w:rsid w:val="52F602C9"/>
    <w:rsid w:val="532053D8"/>
    <w:rsid w:val="537E6D0A"/>
    <w:rsid w:val="53F74C96"/>
    <w:rsid w:val="541A1706"/>
    <w:rsid w:val="54575152"/>
    <w:rsid w:val="54787E2C"/>
    <w:rsid w:val="54C413C2"/>
    <w:rsid w:val="55170BA8"/>
    <w:rsid w:val="551E4270"/>
    <w:rsid w:val="55230D29"/>
    <w:rsid w:val="553218C9"/>
    <w:rsid w:val="56066DB2"/>
    <w:rsid w:val="56544590"/>
    <w:rsid w:val="567E1AA5"/>
    <w:rsid w:val="56BF0CB4"/>
    <w:rsid w:val="56E47B74"/>
    <w:rsid w:val="56FB2433"/>
    <w:rsid w:val="57175D52"/>
    <w:rsid w:val="57A6290D"/>
    <w:rsid w:val="57AA573B"/>
    <w:rsid w:val="57BD3DD4"/>
    <w:rsid w:val="582A61C3"/>
    <w:rsid w:val="591B7F28"/>
    <w:rsid w:val="596073DA"/>
    <w:rsid w:val="59852746"/>
    <w:rsid w:val="599B516B"/>
    <w:rsid w:val="59A34571"/>
    <w:rsid w:val="59D575D7"/>
    <w:rsid w:val="5AF92295"/>
    <w:rsid w:val="5B250254"/>
    <w:rsid w:val="5B321E18"/>
    <w:rsid w:val="5B6264FD"/>
    <w:rsid w:val="5BA211BF"/>
    <w:rsid w:val="5BD11A0E"/>
    <w:rsid w:val="5BDD79E6"/>
    <w:rsid w:val="5BF561CA"/>
    <w:rsid w:val="5BFF5DFC"/>
    <w:rsid w:val="5CD71FC4"/>
    <w:rsid w:val="5D1F11B5"/>
    <w:rsid w:val="5D55434C"/>
    <w:rsid w:val="5D695134"/>
    <w:rsid w:val="5DAE1B18"/>
    <w:rsid w:val="5DE7D9E5"/>
    <w:rsid w:val="5E2B50BA"/>
    <w:rsid w:val="5EB03E06"/>
    <w:rsid w:val="5ECEC941"/>
    <w:rsid w:val="5F0C0534"/>
    <w:rsid w:val="5F501DC0"/>
    <w:rsid w:val="5F5F74A4"/>
    <w:rsid w:val="5F647BCE"/>
    <w:rsid w:val="5FBF9FF3"/>
    <w:rsid w:val="5FCD4E2C"/>
    <w:rsid w:val="5FEA708A"/>
    <w:rsid w:val="5FEF394A"/>
    <w:rsid w:val="5FF67715"/>
    <w:rsid w:val="60010598"/>
    <w:rsid w:val="601C2674"/>
    <w:rsid w:val="6022102B"/>
    <w:rsid w:val="60727165"/>
    <w:rsid w:val="60784A1E"/>
    <w:rsid w:val="61676DD8"/>
    <w:rsid w:val="61A43DF1"/>
    <w:rsid w:val="61AD7E80"/>
    <w:rsid w:val="61ED0B1E"/>
    <w:rsid w:val="62030EE7"/>
    <w:rsid w:val="62BF3928"/>
    <w:rsid w:val="63B3701E"/>
    <w:rsid w:val="63B96CD8"/>
    <w:rsid w:val="63BB5C49"/>
    <w:rsid w:val="63F34020"/>
    <w:rsid w:val="642832A8"/>
    <w:rsid w:val="647F5392"/>
    <w:rsid w:val="657E5CA9"/>
    <w:rsid w:val="659D3440"/>
    <w:rsid w:val="659F52A4"/>
    <w:rsid w:val="65E66580"/>
    <w:rsid w:val="65FB0A5C"/>
    <w:rsid w:val="66453C32"/>
    <w:rsid w:val="664B1D71"/>
    <w:rsid w:val="664B4E8E"/>
    <w:rsid w:val="66600101"/>
    <w:rsid w:val="666A54D5"/>
    <w:rsid w:val="667B0514"/>
    <w:rsid w:val="67041A55"/>
    <w:rsid w:val="67277B67"/>
    <w:rsid w:val="672E08EA"/>
    <w:rsid w:val="673E3DF7"/>
    <w:rsid w:val="67AA3209"/>
    <w:rsid w:val="67C220AD"/>
    <w:rsid w:val="67E81264"/>
    <w:rsid w:val="681117D1"/>
    <w:rsid w:val="687439AD"/>
    <w:rsid w:val="68B4697C"/>
    <w:rsid w:val="69843F12"/>
    <w:rsid w:val="698D0931"/>
    <w:rsid w:val="6A234E3B"/>
    <w:rsid w:val="6A7FE5F3"/>
    <w:rsid w:val="6B053271"/>
    <w:rsid w:val="6B435FE8"/>
    <w:rsid w:val="6B607436"/>
    <w:rsid w:val="6B831E50"/>
    <w:rsid w:val="6B990A41"/>
    <w:rsid w:val="6BDD78B3"/>
    <w:rsid w:val="6C4A05C8"/>
    <w:rsid w:val="6C6F2F90"/>
    <w:rsid w:val="6C8742B8"/>
    <w:rsid w:val="6D9A5401"/>
    <w:rsid w:val="6DBF5E93"/>
    <w:rsid w:val="6DFF077E"/>
    <w:rsid w:val="6E3F3555"/>
    <w:rsid w:val="6E484C84"/>
    <w:rsid w:val="6E714EF0"/>
    <w:rsid w:val="6E7E3605"/>
    <w:rsid w:val="6E7FDCC7"/>
    <w:rsid w:val="6EB72648"/>
    <w:rsid w:val="6EC10E9A"/>
    <w:rsid w:val="6ED6A62E"/>
    <w:rsid w:val="6EE00B15"/>
    <w:rsid w:val="6F6FB3EB"/>
    <w:rsid w:val="6F8731EA"/>
    <w:rsid w:val="6FCE6052"/>
    <w:rsid w:val="6FD57C00"/>
    <w:rsid w:val="6FEFFFD8"/>
    <w:rsid w:val="6FF5CC65"/>
    <w:rsid w:val="6FFB47EC"/>
    <w:rsid w:val="6FFF034A"/>
    <w:rsid w:val="702C4C34"/>
    <w:rsid w:val="703647E4"/>
    <w:rsid w:val="70484440"/>
    <w:rsid w:val="708754D0"/>
    <w:rsid w:val="71177808"/>
    <w:rsid w:val="712A28F1"/>
    <w:rsid w:val="715A6AF7"/>
    <w:rsid w:val="715C0E4B"/>
    <w:rsid w:val="71992E7C"/>
    <w:rsid w:val="71CB5639"/>
    <w:rsid w:val="72233669"/>
    <w:rsid w:val="72561353"/>
    <w:rsid w:val="72734D90"/>
    <w:rsid w:val="72CD6C28"/>
    <w:rsid w:val="72F32F0E"/>
    <w:rsid w:val="73160E6D"/>
    <w:rsid w:val="7332FE48"/>
    <w:rsid w:val="739F0767"/>
    <w:rsid w:val="73AB61DA"/>
    <w:rsid w:val="73AD73D5"/>
    <w:rsid w:val="73B6EB34"/>
    <w:rsid w:val="73FA497D"/>
    <w:rsid w:val="743849F3"/>
    <w:rsid w:val="744731E5"/>
    <w:rsid w:val="747E016C"/>
    <w:rsid w:val="748B7EC2"/>
    <w:rsid w:val="74BBD01D"/>
    <w:rsid w:val="74CA23AE"/>
    <w:rsid w:val="74DD361D"/>
    <w:rsid w:val="74ED5379"/>
    <w:rsid w:val="74F828C7"/>
    <w:rsid w:val="753426F0"/>
    <w:rsid w:val="75426AB1"/>
    <w:rsid w:val="75DEEEC2"/>
    <w:rsid w:val="75E32345"/>
    <w:rsid w:val="766907A1"/>
    <w:rsid w:val="768F5812"/>
    <w:rsid w:val="76E3355F"/>
    <w:rsid w:val="76F70F87"/>
    <w:rsid w:val="76FF5125"/>
    <w:rsid w:val="776F6FFA"/>
    <w:rsid w:val="778769C8"/>
    <w:rsid w:val="77A75DCA"/>
    <w:rsid w:val="77D66561"/>
    <w:rsid w:val="77DC22F5"/>
    <w:rsid w:val="782536D8"/>
    <w:rsid w:val="783E271A"/>
    <w:rsid w:val="78616DE9"/>
    <w:rsid w:val="787E760D"/>
    <w:rsid w:val="78E875D7"/>
    <w:rsid w:val="79086DAD"/>
    <w:rsid w:val="793850DA"/>
    <w:rsid w:val="795817EB"/>
    <w:rsid w:val="79871B25"/>
    <w:rsid w:val="79883186"/>
    <w:rsid w:val="79B80C67"/>
    <w:rsid w:val="79D7FD79"/>
    <w:rsid w:val="79EE5BA4"/>
    <w:rsid w:val="7A894339"/>
    <w:rsid w:val="7ABB340E"/>
    <w:rsid w:val="7AD14D6A"/>
    <w:rsid w:val="7AD284E8"/>
    <w:rsid w:val="7AFF7572"/>
    <w:rsid w:val="7B6C7DFB"/>
    <w:rsid w:val="7BA819CA"/>
    <w:rsid w:val="7BBFBED0"/>
    <w:rsid w:val="7BC3E394"/>
    <w:rsid w:val="7C1F3737"/>
    <w:rsid w:val="7C48656A"/>
    <w:rsid w:val="7C7D10F0"/>
    <w:rsid w:val="7CA90900"/>
    <w:rsid w:val="7CB85696"/>
    <w:rsid w:val="7CBFC87B"/>
    <w:rsid w:val="7CFE0F48"/>
    <w:rsid w:val="7D272ABC"/>
    <w:rsid w:val="7D5363D5"/>
    <w:rsid w:val="7D7EC23E"/>
    <w:rsid w:val="7D9147A5"/>
    <w:rsid w:val="7D9D138C"/>
    <w:rsid w:val="7E123BA4"/>
    <w:rsid w:val="7E416846"/>
    <w:rsid w:val="7E8ADEBF"/>
    <w:rsid w:val="7E8B2912"/>
    <w:rsid w:val="7EB06F54"/>
    <w:rsid w:val="7EEB6646"/>
    <w:rsid w:val="7EEF11D3"/>
    <w:rsid w:val="7EF3224A"/>
    <w:rsid w:val="7EFE4840"/>
    <w:rsid w:val="7F0971A6"/>
    <w:rsid w:val="7F1D62E7"/>
    <w:rsid w:val="7F2F1F16"/>
    <w:rsid w:val="7F3F679B"/>
    <w:rsid w:val="7F4FC4EF"/>
    <w:rsid w:val="7F5E4D54"/>
    <w:rsid w:val="7F6E0135"/>
    <w:rsid w:val="7F79F205"/>
    <w:rsid w:val="7FA30C79"/>
    <w:rsid w:val="7FA79C44"/>
    <w:rsid w:val="7FAF8ABF"/>
    <w:rsid w:val="7FB7269E"/>
    <w:rsid w:val="7FBB213C"/>
    <w:rsid w:val="7FC96657"/>
    <w:rsid w:val="7FDA9588"/>
    <w:rsid w:val="7FDE6A77"/>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5"/>
    <w:semiHidden/>
    <w:qFormat/>
    <w:uiPriority w:val="99"/>
    <w:rPr>
      <w:rFonts w:ascii="Times New Roman" w:hAnsi="Times New Roman"/>
      <w:sz w:val="18"/>
      <w:szCs w:val="18"/>
    </w:rPr>
  </w:style>
  <w:style w:type="character" w:customStyle="1" w:styleId="21">
    <w:name w:val="页眉 字符"/>
    <w:link w:val="12"/>
    <w:semiHidden/>
    <w:qFormat/>
    <w:locked/>
    <w:uiPriority w:val="99"/>
    <w:rPr>
      <w:sz w:val="18"/>
    </w:rPr>
  </w:style>
  <w:style w:type="character" w:customStyle="1" w:styleId="22">
    <w:name w:val="Footer Char"/>
    <w:basedOn w:val="15"/>
    <w:semiHidden/>
    <w:qFormat/>
    <w:uiPriority w:val="99"/>
    <w:rPr>
      <w:rFonts w:ascii="Times New Roman" w:hAnsi="Times New Roman"/>
      <w:sz w:val="18"/>
      <w:szCs w:val="18"/>
    </w:rPr>
  </w:style>
  <w:style w:type="character" w:customStyle="1" w:styleId="23">
    <w:name w:val="页脚 字符"/>
    <w:link w:val="11"/>
    <w:qFormat/>
    <w:locked/>
    <w:uiPriority w:val="99"/>
    <w:rPr>
      <w:sz w:val="18"/>
    </w:rPr>
  </w:style>
  <w:style w:type="character" w:customStyle="1" w:styleId="24">
    <w:name w:val="Body Text Char"/>
    <w:basedOn w:val="15"/>
    <w:semiHidden/>
    <w:qFormat/>
    <w:uiPriority w:val="99"/>
    <w:rPr>
      <w:rFonts w:ascii="Times New Roman" w:hAnsi="Times New Roman"/>
      <w:szCs w:val="24"/>
    </w:rPr>
  </w:style>
  <w:style w:type="character" w:customStyle="1" w:styleId="25">
    <w:name w:val="正文文本 字符"/>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5"/>
    <w:link w:val="5"/>
    <w:qFormat/>
    <w:uiPriority w:val="9"/>
    <w:rPr>
      <w:rFonts w:ascii="Times New Roman" w:hAnsi="Times New Roman"/>
      <w:b/>
      <w:bCs/>
      <w:kern w:val="44"/>
      <w:sz w:val="44"/>
      <w:szCs w:val="44"/>
    </w:rPr>
  </w:style>
  <w:style w:type="character" w:customStyle="1" w:styleId="29">
    <w:name w:val="标题 2 字符"/>
    <w:basedOn w:val="15"/>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5"/>
    <w:link w:val="10"/>
    <w:semiHidden/>
    <w:qFormat/>
    <w:uiPriority w:val="99"/>
    <w:rPr>
      <w:rFonts w:ascii="Times New Roman" w:hAnsi="Times New Roman"/>
      <w:kern w:val="2"/>
      <w:sz w:val="18"/>
      <w:szCs w:val="18"/>
    </w:rPr>
  </w:style>
  <w:style w:type="character" w:customStyle="1" w:styleId="32">
    <w:name w:val="标题 3 字符"/>
    <w:basedOn w:val="15"/>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character" w:customStyle="1" w:styleId="35">
    <w:name w:val="标题 1 Char"/>
    <w:basedOn w:val="15"/>
    <w:link w:val="5"/>
    <w:qFormat/>
    <w:uiPriority w:val="9"/>
    <w:rPr>
      <w:rFonts w:ascii="Times New Roman" w:hAnsi="Times New Roman"/>
      <w:b/>
      <w:bCs/>
      <w:kern w:val="44"/>
      <w:sz w:val="44"/>
      <w:szCs w:val="44"/>
    </w:rPr>
  </w:style>
  <w:style w:type="paragraph" w:customStyle="1" w:styleId="36">
    <w:name w:val="UserStyle_0"/>
    <w:basedOn w:val="1"/>
    <w:qFormat/>
    <w:uiPriority w:val="0"/>
    <w:pPr>
      <w:jc w:val="both"/>
      <w:textAlignment w:val="baseline"/>
    </w:pPr>
    <w:rPr>
      <w:color w:val="000000"/>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cap="all" spc="120" normalizeH="0" baseline="0">
                <a:solidFill>
                  <a:schemeClr val="tx1">
                    <a:lumMod val="65000"/>
                    <a:lumOff val="35000"/>
                  </a:schemeClr>
                </a:solidFill>
                <a:latin typeface="+mn-lt"/>
                <a:ea typeface="+mn-ea"/>
                <a:cs typeface="+mn-cs"/>
              </a:defRPr>
            </a:pPr>
            <a:r>
              <a:t>收入、支出决算总计</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dLbl>
              <c:idx val="0"/>
              <c:layout/>
              <c:tx>
                <c:rich>
                  <a:bodyPr rot="0" spcFirstLastPara="1" vertOverflow="clip" horzOverflow="clip" vert="horz" wrap="square" lIns="38100" tIns="19050" rIns="38100" bIns="19050" anchor="ctr" anchorCtr="1">
                    <a:spAutoFit/>
                  </a:bodyPr>
                  <a:lstStyle/>
                  <a:p>
                    <a:pPr defTabSz="914400">
                      <a:defRPr lang="zh-CN" sz="800" b="0" i="0" u="none" strike="noStrike" kern="1200" baseline="0">
                        <a:solidFill>
                          <a:schemeClr val="tx1">
                            <a:lumMod val="50000"/>
                            <a:lumOff val="50000"/>
                          </a:schemeClr>
                        </a:solidFill>
                        <a:latin typeface="+mn-lt"/>
                        <a:ea typeface="+mn-ea"/>
                        <a:cs typeface="+mn-cs"/>
                      </a:defRPr>
                    </a:pPr>
                    <a:r>
                      <a:t>1048.14万元</a:t>
                    </a:r>
                  </a:p>
                </c:rich>
              </c:tx>
              <c:numFmt formatCode="General" sourceLinked="1"/>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c:f>
              <c:strCache>
                <c:ptCount val="1"/>
                <c:pt idx="0">
                  <c:v>收、支决算总计</c:v>
                </c:pt>
              </c:strCache>
            </c:strRef>
          </c:cat>
          <c:val>
            <c:numRef>
              <c:f>Sheet1!$B$2</c:f>
              <c:numCache>
                <c:formatCode>General</c:formatCode>
                <c:ptCount val="1"/>
                <c:pt idx="0">
                  <c:v>1048.14</c:v>
                </c:pt>
              </c:numCache>
            </c:numRef>
          </c:val>
        </c:ser>
        <c:ser>
          <c:idx val="1"/>
          <c:order val="1"/>
          <c:tx>
            <c:strRef>
              <c:f>Sheet1!$C$1</c:f>
              <c:strCache>
                <c:ptCount val="1"/>
                <c:pt idx="0">
                  <c:v>2023年</c:v>
                </c:pt>
              </c:strCache>
            </c:strRef>
          </c:tx>
          <c:spPr>
            <a:solidFill>
              <a:schemeClr val="accent2"/>
            </a:solidFill>
            <a:ln>
              <a:noFill/>
            </a:ln>
            <a:effectLst/>
          </c:spPr>
          <c:invertIfNegative val="0"/>
          <c:dLbls>
            <c:dLbl>
              <c:idx val="0"/>
              <c:layout/>
              <c:tx>
                <c:rich>
                  <a:bodyPr rot="0" spcFirstLastPara="1" vertOverflow="clip" horzOverflow="clip" vert="horz" wrap="square" lIns="38100" tIns="19050" rIns="38100" bIns="19050" anchor="ctr" anchorCtr="1">
                    <a:spAutoFit/>
                  </a:bodyPr>
                  <a:lstStyle/>
                  <a:p>
                    <a:pPr defTabSz="914400">
                      <a:defRPr lang="zh-CN" sz="800" b="0" i="0" u="none" strike="noStrike" kern="1200" baseline="0">
                        <a:solidFill>
                          <a:schemeClr val="tx1">
                            <a:lumMod val="50000"/>
                            <a:lumOff val="50000"/>
                          </a:schemeClr>
                        </a:solidFill>
                        <a:latin typeface="+mn-lt"/>
                        <a:ea typeface="+mn-ea"/>
                        <a:cs typeface="+mn-cs"/>
                      </a:defRPr>
                    </a:pPr>
                    <a:r>
                      <a:t>1197.3万元</a:t>
                    </a:r>
                  </a:p>
                </c:rich>
              </c:tx>
              <c:numFmt formatCode="General" sourceLinked="1"/>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c:f>
              <c:strCache>
                <c:ptCount val="1"/>
                <c:pt idx="0">
                  <c:v>收、支决算总计</c:v>
                </c:pt>
              </c:strCache>
            </c:strRef>
          </c:cat>
          <c:val>
            <c:numRef>
              <c:f>Sheet1!$C$2</c:f>
              <c:numCache>
                <c:formatCode>General</c:formatCode>
                <c:ptCount val="1"/>
                <c:pt idx="0">
                  <c:v>1197.3</c:v>
                </c:pt>
              </c:numCache>
            </c:numRef>
          </c:val>
        </c:ser>
        <c:dLbls>
          <c:showLegendKey val="0"/>
          <c:showVal val="1"/>
          <c:showCatName val="0"/>
          <c:showSerName val="0"/>
          <c:showPercent val="0"/>
          <c:showBubbleSize val="0"/>
        </c:dLbls>
        <c:gapWidth val="444"/>
        <c:overlap val="-90"/>
        <c:axId val="313847152"/>
        <c:axId val="316143312"/>
      </c:barChart>
      <c:catAx>
        <c:axId val="3138471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316143312"/>
        <c:crosses val="autoZero"/>
        <c:auto val="1"/>
        <c:lblAlgn val="ctr"/>
        <c:lblOffset val="100"/>
        <c:noMultiLvlLbl val="0"/>
      </c:catAx>
      <c:valAx>
        <c:axId val="316143312"/>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3847152"/>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spc="0" normalizeH="0" baseline="0">
              <a:solidFill>
                <a:schemeClr val="dk1">
                  <a:lumMod val="50000"/>
                  <a:lumOff val="50000"/>
                </a:schemeClr>
              </a:solidFill>
              <a:latin typeface="+mj-lt"/>
              <a:ea typeface="+mj-ea"/>
              <a:cs typeface="+mj-cs"/>
            </a:defRPr>
          </a:pPr>
        </a:p>
      </c:txPr>
    </c:title>
    <c:autoTitleDeleted val="0"/>
    <c:plotArea>
      <c:layout/>
      <c:pieChart>
        <c:varyColors val="1"/>
        <c:ser>
          <c:idx val="0"/>
          <c:order val="0"/>
          <c:tx>
            <c:strRef>
              <c:f>Sheet1!$B$1</c:f>
              <c:strCache>
                <c:ptCount val="1"/>
                <c:pt idx="0">
                  <c:v>收入决算</c:v>
                </c:pt>
              </c:strCache>
            </c:strRef>
          </c:tx>
          <c:spPr/>
          <c:explosion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Lbls>
            <c:dLbl>
              <c:idx val="0"/>
              <c:layout>
                <c:manualLayout>
                  <c:x val="-0.0019651721797986"/>
                  <c:y val="-0.37131054130916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dk1">
                            <a:lumMod val="75000"/>
                            <a:lumOff val="25000"/>
                          </a:schemeClr>
                        </a:solidFill>
                        <a:latin typeface="+mn-lt"/>
                        <a:ea typeface="+mn-ea"/>
                        <a:cs typeface="+mn-cs"/>
                      </a:defRPr>
                    </a:pPr>
                    <a:r>
                      <a:t>一般公共预算财政拨款收入100%</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1048.14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alpha val="50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cap="all" baseline="0">
                <a:solidFill>
                  <a:schemeClr val="tx1">
                    <a:lumMod val="65000"/>
                    <a:lumOff val="35000"/>
                  </a:schemeClr>
                </a:solidFill>
                <a:latin typeface="+mn-lt"/>
                <a:ea typeface="+mn-ea"/>
                <a:cs typeface="+mn-cs"/>
              </a:defRPr>
            </a:pPr>
            <a:r>
              <a:t>支出决算</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r>
                      <a:t>项目支出82.04%</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r>
                      <a:t>基本支出17.</a:t>
                    </a:r>
                    <a:r>
                      <a:rPr lang="en-US" altLang="zh-CN"/>
                      <a:t>9</a:t>
                    </a:r>
                    <a:r>
                      <a:t>6%</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859.87</c:v>
                </c:pt>
                <c:pt idx="1">
                  <c:v>188.27</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cap="all" spc="120" normalizeH="0" baseline="0">
                <a:solidFill>
                  <a:schemeClr val="tx1">
                    <a:lumMod val="65000"/>
                    <a:lumOff val="35000"/>
                  </a:schemeClr>
                </a:solidFill>
                <a:latin typeface="+mn-lt"/>
                <a:ea typeface="+mn-ea"/>
                <a:cs typeface="+mn-cs"/>
              </a:defRPr>
            </a:pPr>
            <a:r>
              <a:t>财政拨款收、支决算总计</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dLbl>
              <c:idx val="0"/>
              <c:layout/>
              <c:tx>
                <c:rich>
                  <a:bodyPr rot="0" spcFirstLastPara="1" vertOverflow="clip" horzOverflow="clip" vert="horz" wrap="square" lIns="38100" tIns="19050" rIns="38100" bIns="19050" anchor="ctr" anchorCtr="1">
                    <a:spAutoFit/>
                  </a:bodyPr>
                  <a:lstStyle/>
                  <a:p>
                    <a:pPr defTabSz="914400">
                      <a:defRPr lang="zh-CN" sz="800" b="0" i="0" u="none" strike="noStrike" kern="1200" baseline="0">
                        <a:solidFill>
                          <a:schemeClr val="tx1">
                            <a:lumMod val="50000"/>
                            <a:lumOff val="50000"/>
                          </a:schemeClr>
                        </a:solidFill>
                        <a:latin typeface="+mn-lt"/>
                        <a:ea typeface="+mn-ea"/>
                        <a:cs typeface="+mn-cs"/>
                      </a:defRPr>
                    </a:pPr>
                    <a:r>
                      <a:t>1048.14万元</a:t>
                    </a:r>
                  </a:p>
                </c:rich>
              </c:tx>
              <c:numFmt formatCode="General" sourceLinked="1"/>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c:f>
              <c:strCache>
                <c:ptCount val="1"/>
                <c:pt idx="0">
                  <c:v>收、支决算总计</c:v>
                </c:pt>
              </c:strCache>
            </c:strRef>
          </c:cat>
          <c:val>
            <c:numRef>
              <c:f>Sheet1!$B$2</c:f>
              <c:numCache>
                <c:formatCode>General</c:formatCode>
                <c:ptCount val="1"/>
                <c:pt idx="0">
                  <c:v>1048.14</c:v>
                </c:pt>
              </c:numCache>
            </c:numRef>
          </c:val>
        </c:ser>
        <c:ser>
          <c:idx val="1"/>
          <c:order val="1"/>
          <c:tx>
            <c:strRef>
              <c:f>Sheet1!$C$1</c:f>
              <c:strCache>
                <c:ptCount val="1"/>
                <c:pt idx="0">
                  <c:v>2023年</c:v>
                </c:pt>
              </c:strCache>
            </c:strRef>
          </c:tx>
          <c:spPr>
            <a:solidFill>
              <a:schemeClr val="accent2"/>
            </a:solidFill>
            <a:ln>
              <a:noFill/>
            </a:ln>
            <a:effectLst/>
          </c:spPr>
          <c:invertIfNegative val="0"/>
          <c:dLbls>
            <c:dLbl>
              <c:idx val="0"/>
              <c:layout/>
              <c:tx>
                <c:rich>
                  <a:bodyPr rot="0" spcFirstLastPara="1" vertOverflow="clip" horzOverflow="clip" vert="horz" wrap="square" lIns="38100" tIns="19050" rIns="38100" bIns="19050" anchor="ctr" anchorCtr="1">
                    <a:spAutoFit/>
                  </a:bodyPr>
                  <a:lstStyle/>
                  <a:p>
                    <a:pPr defTabSz="914400">
                      <a:defRPr lang="zh-CN" sz="800" b="0" i="0" u="none" strike="noStrike" kern="1200" baseline="0">
                        <a:solidFill>
                          <a:schemeClr val="tx1">
                            <a:lumMod val="50000"/>
                            <a:lumOff val="50000"/>
                          </a:schemeClr>
                        </a:solidFill>
                        <a:latin typeface="+mn-lt"/>
                        <a:ea typeface="+mn-ea"/>
                        <a:cs typeface="+mn-cs"/>
                      </a:defRPr>
                    </a:pPr>
                    <a:r>
                      <a:t>1197.3万元</a:t>
                    </a:r>
                  </a:p>
                </c:rich>
              </c:tx>
              <c:numFmt formatCode="General" sourceLinked="1"/>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c:f>
              <c:strCache>
                <c:ptCount val="1"/>
                <c:pt idx="0">
                  <c:v>收、支决算总计</c:v>
                </c:pt>
              </c:strCache>
            </c:strRef>
          </c:cat>
          <c:val>
            <c:numRef>
              <c:f>Sheet1!$C$2</c:f>
              <c:numCache>
                <c:formatCode>General</c:formatCode>
                <c:ptCount val="1"/>
                <c:pt idx="0">
                  <c:v>1197.3</c:v>
                </c:pt>
              </c:numCache>
            </c:numRef>
          </c:val>
        </c:ser>
        <c:dLbls>
          <c:showLegendKey val="0"/>
          <c:showVal val="1"/>
          <c:showCatName val="0"/>
          <c:showSerName val="0"/>
          <c:showPercent val="0"/>
          <c:showBubbleSize val="0"/>
        </c:dLbls>
        <c:gapWidth val="444"/>
        <c:overlap val="-90"/>
        <c:axId val="313847152"/>
        <c:axId val="316143312"/>
      </c:barChart>
      <c:catAx>
        <c:axId val="3138471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316143312"/>
        <c:crosses val="autoZero"/>
        <c:auto val="1"/>
        <c:lblAlgn val="ctr"/>
        <c:lblOffset val="100"/>
        <c:noMultiLvlLbl val="0"/>
      </c:catAx>
      <c:valAx>
        <c:axId val="316143312"/>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3847152"/>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cap="all" spc="120" normalizeH="0" baseline="0">
                <a:solidFill>
                  <a:schemeClr val="tx1">
                    <a:lumMod val="65000"/>
                    <a:lumOff val="35000"/>
                  </a:schemeClr>
                </a:solidFill>
                <a:latin typeface="+mn-lt"/>
                <a:ea typeface="+mn-ea"/>
                <a:cs typeface="+mn-cs"/>
              </a:defRPr>
            </a:pPr>
            <a:r>
              <a:t>一般公共预算财政拨款支出决算</a:t>
            </a:r>
          </a:p>
        </c:rich>
      </c:tx>
      <c:layout>
        <c:manualLayout>
          <c:xMode val="edge"/>
          <c:yMode val="edge"/>
          <c:x val="0.188586563929689"/>
          <c:y val="0.0330237358101135"/>
        </c:manualLayout>
      </c:layout>
      <c:overlay val="0"/>
      <c:spPr>
        <a:noFill/>
        <a:ln>
          <a:noFill/>
        </a:ln>
        <a:effectLst/>
      </c:spPr>
    </c:title>
    <c:autoTitleDeleted val="0"/>
    <c:plotArea>
      <c:layout>
        <c:manualLayout>
          <c:layoutTarget val="inner"/>
          <c:xMode val="edge"/>
          <c:yMode val="edge"/>
          <c:x val="0.0365296803652968"/>
          <c:y val="0.22962962962963"/>
          <c:w val="0.942596216568819"/>
          <c:h val="0.52281298171062"/>
        </c:manualLayout>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dLbl>
              <c:idx val="0"/>
              <c:layout/>
              <c:tx>
                <c:rich>
                  <a:bodyPr rot="0" spcFirstLastPara="1" vertOverflow="clip" horzOverflow="clip" vert="horz" wrap="square" lIns="38100" tIns="19050" rIns="38100" bIns="19050" anchor="ctr" anchorCtr="1">
                    <a:spAutoFit/>
                  </a:bodyPr>
                  <a:lstStyle/>
                  <a:p>
                    <a:pPr defTabSz="914400">
                      <a:defRPr lang="zh-CN" sz="800" b="0" i="0" u="none" strike="noStrike" kern="1200" baseline="0">
                        <a:solidFill>
                          <a:schemeClr val="tx1">
                            <a:lumMod val="50000"/>
                            <a:lumOff val="50000"/>
                          </a:schemeClr>
                        </a:solidFill>
                        <a:latin typeface="+mn-lt"/>
                        <a:ea typeface="+mn-ea"/>
                        <a:cs typeface="+mn-cs"/>
                      </a:defRPr>
                    </a:pPr>
                    <a:r>
                      <a:t>1048.14万元</a:t>
                    </a:r>
                  </a:p>
                </c:rich>
              </c:tx>
              <c:numFmt formatCode="General" sourceLinked="1"/>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c:f>
              <c:strCache>
                <c:ptCount val="1"/>
                <c:pt idx="0">
                  <c:v>一般公共预算财政拨款支出决算</c:v>
                </c:pt>
              </c:strCache>
            </c:strRef>
          </c:cat>
          <c:val>
            <c:numRef>
              <c:f>Sheet1!$B$2</c:f>
              <c:numCache>
                <c:formatCode>General</c:formatCode>
                <c:ptCount val="1"/>
                <c:pt idx="0">
                  <c:v>1048.14</c:v>
                </c:pt>
              </c:numCache>
            </c:numRef>
          </c:val>
        </c:ser>
        <c:ser>
          <c:idx val="1"/>
          <c:order val="1"/>
          <c:tx>
            <c:strRef>
              <c:f>Sheet1!$C$1</c:f>
              <c:strCache>
                <c:ptCount val="1"/>
                <c:pt idx="0">
                  <c:v>2023年</c:v>
                </c:pt>
              </c:strCache>
            </c:strRef>
          </c:tx>
          <c:spPr>
            <a:solidFill>
              <a:schemeClr val="accent2"/>
            </a:solidFill>
            <a:ln>
              <a:noFill/>
            </a:ln>
            <a:effectLst/>
          </c:spPr>
          <c:invertIfNegative val="0"/>
          <c:dLbls>
            <c:dLbl>
              <c:idx val="0"/>
              <c:layout/>
              <c:tx>
                <c:rich>
                  <a:bodyPr rot="0" spcFirstLastPara="1" vertOverflow="clip" horzOverflow="clip" vert="horz" wrap="square" lIns="38100" tIns="19050" rIns="38100" bIns="19050" anchor="ctr" anchorCtr="1">
                    <a:spAutoFit/>
                  </a:bodyPr>
                  <a:lstStyle/>
                  <a:p>
                    <a:pPr defTabSz="914400">
                      <a:defRPr lang="zh-CN" sz="800" b="0" i="0" u="none" strike="noStrike" kern="1200" baseline="0">
                        <a:solidFill>
                          <a:schemeClr val="tx1">
                            <a:lumMod val="50000"/>
                            <a:lumOff val="50000"/>
                          </a:schemeClr>
                        </a:solidFill>
                        <a:latin typeface="+mn-lt"/>
                        <a:ea typeface="+mn-ea"/>
                        <a:cs typeface="+mn-cs"/>
                      </a:defRPr>
                    </a:pPr>
                    <a:r>
                      <a:t>1197.3万元</a:t>
                    </a:r>
                  </a:p>
                </c:rich>
              </c:tx>
              <c:numFmt formatCode="General" sourceLinked="1"/>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c:f>
              <c:strCache>
                <c:ptCount val="1"/>
                <c:pt idx="0">
                  <c:v>一般公共预算财政拨款支出决算</c:v>
                </c:pt>
              </c:strCache>
            </c:strRef>
          </c:cat>
          <c:val>
            <c:numRef>
              <c:f>Sheet1!$C$2</c:f>
              <c:numCache>
                <c:formatCode>General</c:formatCode>
                <c:ptCount val="1"/>
                <c:pt idx="0">
                  <c:v>1197.3</c:v>
                </c:pt>
              </c:numCache>
            </c:numRef>
          </c:val>
        </c:ser>
        <c:dLbls>
          <c:showLegendKey val="0"/>
          <c:showVal val="1"/>
          <c:showCatName val="0"/>
          <c:showSerName val="0"/>
          <c:showPercent val="0"/>
          <c:showBubbleSize val="0"/>
        </c:dLbls>
        <c:gapWidth val="444"/>
        <c:overlap val="-90"/>
        <c:axId val="315043120"/>
        <c:axId val="315042704"/>
      </c:barChart>
      <c:catAx>
        <c:axId val="3150431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315042704"/>
        <c:crosses val="autoZero"/>
        <c:auto val="1"/>
        <c:lblAlgn val="ctr"/>
        <c:lblOffset val="100"/>
        <c:noMultiLvlLbl val="0"/>
      </c:catAx>
      <c:valAx>
        <c:axId val="31504270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5043120"/>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17174721189591"/>
          <c:y val="0.0303030303030303"/>
        </c:manualLayout>
      </c:layout>
      <c:overlay val="0"/>
      <c:spPr>
        <a:noFill/>
        <a:ln>
          <a:noFill/>
        </a:ln>
        <a:effectLst/>
      </c:spPr>
      <c:txPr>
        <a:bodyPr rot="0" spcFirstLastPara="0" vertOverflow="ellipsis" vert="horz" wrap="square" anchor="ctr" anchorCtr="1"/>
        <a:lstStyle/>
        <a:p>
          <a:pPr>
            <a:defRPr lang="zh-CN" sz="1600" b="1" i="0" u="none" strike="noStrike" kern="1200" spc="0" normalizeH="0" baseline="0">
              <a:solidFill>
                <a:schemeClr val="dk1">
                  <a:lumMod val="50000"/>
                  <a:lumOff val="50000"/>
                </a:schemeClr>
              </a:solidFill>
              <a:latin typeface="+mj-lt"/>
              <a:ea typeface="+mj-ea"/>
              <a:cs typeface="+mj-cs"/>
            </a:defRPr>
          </a:pPr>
        </a:p>
      </c:tx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r>
                      <a:t>一般公共服务支出78.06%</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r>
                      <a:t>社会保障和就业支出11.02%</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r>
                      <a:t>卫生健康支出5.59%</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r>
                      <a:t>住房保障支出5.33%</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818.2</c:v>
                </c:pt>
                <c:pt idx="1">
                  <c:v>115.52</c:v>
                </c:pt>
                <c:pt idx="2">
                  <c:v>58.6</c:v>
                </c:pt>
                <c:pt idx="3">
                  <c:v>55.82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alpha val="50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dPt>
          <c:dLbls>
            <c:dLbl>
              <c:idx val="0"/>
              <c:layout>
                <c:manualLayout>
                  <c:x val="-0.0108360215381842"/>
                  <c:y val="0.0953178534564118"/>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因公出国（境）费支出0.00%</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manualLayout>
                      <c:w val="0.168673248254274"/>
                      <c:h val="0.129205366357069"/>
                    </c:manualLayout>
                  </c15:layout>
                </c:ext>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公务用车购置及运行维护费支出45.95%</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公务接待费支出54.05%</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公务接待费支出决算</c:v>
                </c:pt>
              </c:strCache>
            </c:strRef>
          </c:cat>
          <c:val>
            <c:numRef>
              <c:f>Sheet1!$B$2:$B$4</c:f>
              <c:numCache>
                <c:formatCode>General</c:formatCode>
                <c:ptCount val="3"/>
                <c:pt idx="0">
                  <c:v>0</c:v>
                </c:pt>
                <c:pt idx="1">
                  <c:v>0.68</c:v>
                </c:pt>
                <c:pt idx="2">
                  <c:v>0.8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865</Words>
  <Characters>4932</Characters>
  <Lines>41</Lines>
  <Paragraphs>11</Paragraphs>
  <TotalTime>24</TotalTime>
  <ScaleCrop>false</ScaleCrop>
  <LinksUpToDate>false</LinksUpToDate>
  <CharactersWithSpaces>5786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2025-10-24T01:54:00Z</dcterms:created>
  <dc:creator>曹颖</dc:creator>
  <cp:lastModifiedBy>罗敏</cp:lastModifiedBy>
  <cp:lastPrinted>2025-10-21T09:33:00Z</cp:lastPrinted>
  <dcterms:modified xsi:type="dcterms:W3CDTF">2025-10-28T03:09:38Z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04787F2533EB45DC91BCDE4AB213247F</vt:lpwstr>
  </property>
</Properties>
</file>