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5377425"/>
      <w:bookmarkStart w:id="1" w:name="_Toc15378441"/>
      <w:bookmarkStart w:id="2" w:name="_Toc15377193"/>
      <w:bookmarkStart w:id="3" w:name="_Toc15396475"/>
      <w:bookmarkStart w:id="4" w:name="_Toc15396597"/>
      <w:bookmarkStart w:id="5" w:name="_Toc15306267"/>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bookmarkEnd w:id="0"/>
    <w:bookmarkEnd w:id="1"/>
    <w:bookmarkEnd w:id="2"/>
    <w:bookmarkEnd w:id="3"/>
    <w:bookmarkEnd w:id="4"/>
    <w:p>
      <w:pPr>
        <w:pStyle w:val="8"/>
        <w:spacing w:before="93"/>
        <w:jc w:val="center"/>
        <w:rPr>
          <w:rFonts w:hint="eastAsia" w:ascii="Times New Roman" w:eastAsia="方正小标宋简体"/>
          <w:kern w:val="2"/>
          <w:sz w:val="44"/>
          <w:szCs w:val="44"/>
        </w:rPr>
      </w:pPr>
      <w:bookmarkStart w:id="6" w:name="_Toc15396476"/>
      <w:bookmarkStart w:id="7" w:name="_Toc15378442"/>
      <w:bookmarkStart w:id="8" w:name="_Toc15377426"/>
      <w:bookmarkStart w:id="9" w:name="_Toc15396598"/>
      <w:bookmarkStart w:id="10" w:name="_Toc15377194"/>
      <w:r>
        <w:rPr>
          <w:rFonts w:hint="eastAsia" w:ascii="Times New Roman" w:eastAsia="方正小标宋简体"/>
          <w:kern w:val="2"/>
          <w:sz w:val="44"/>
          <w:szCs w:val="44"/>
        </w:rPr>
        <w:t>2024年度</w:t>
      </w:r>
      <w:bookmarkEnd w:id="5"/>
      <w:bookmarkStart w:id="11" w:name="_Toc15306268"/>
    </w:p>
    <w:p>
      <w:pPr>
        <w:pStyle w:val="8"/>
        <w:spacing w:before="93"/>
        <w:jc w:val="center"/>
        <w:rPr>
          <w:rFonts w:hint="eastAsia" w:ascii="Times New Roman" w:eastAsia="方正小标宋简体"/>
          <w:kern w:val="2"/>
          <w:sz w:val="44"/>
          <w:szCs w:val="44"/>
        </w:rPr>
      </w:pPr>
      <w:r>
        <w:rPr>
          <w:rFonts w:hint="eastAsia" w:ascii="Times New Roman" w:eastAsia="方正小标宋简体"/>
          <w:kern w:val="2"/>
          <w:sz w:val="44"/>
          <w:szCs w:val="44"/>
        </w:rPr>
        <w:t>攀枝花市东区行政审批局</w:t>
      </w:r>
    </w:p>
    <w:p>
      <w:pPr>
        <w:pStyle w:val="8"/>
        <w:spacing w:before="93"/>
        <w:jc w:val="center"/>
        <w:rPr>
          <w:rFonts w:hint="eastAsia" w:ascii="黑体" w:hAnsi="黑体" w:eastAsia="黑体"/>
          <w:sz w:val="48"/>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eastAsia="方正小标宋简体"/>
          <w:kern w:val="2"/>
          <w:sz w:val="44"/>
          <w:szCs w:val="44"/>
          <w:lang w:val="en-US" w:eastAsia="zh-CN"/>
        </w:rPr>
        <w:t>部门</w:t>
      </w:r>
      <w:r>
        <w:rPr>
          <w:rFonts w:hint="eastAsia" w:ascii="Times New Roman" w:eastAsia="方正小标宋简体"/>
          <w:kern w:val="2"/>
          <w:sz w:val="44"/>
          <w:szCs w:val="44"/>
        </w:rPr>
        <w:t>决算</w:t>
      </w:r>
      <w:bookmarkEnd w:id="6"/>
      <w:bookmarkEnd w:id="7"/>
      <w:bookmarkEnd w:id="8"/>
      <w:bookmarkEnd w:id="9"/>
      <w:bookmarkEnd w:id="10"/>
      <w:bookmarkEnd w:id="11"/>
      <w:bookmarkStart w:id="12" w:name="_Toc15396599"/>
      <w:bookmarkStart w:id="13" w:name="_Toc15377196"/>
      <w:r>
        <w:rPr>
          <w:rFonts w:hint="eastAsia" w:ascii="Times New Roman" w:eastAsia="方正小标宋简体"/>
          <w:kern w:val="2"/>
          <w:sz w:val="44"/>
          <w:szCs w:val="44"/>
          <w:lang w:val="en-US" w:eastAsia="zh-CN"/>
        </w:rPr>
        <w:t>公开编制说明</w:t>
      </w:r>
    </w:p>
    <w:p>
      <w:pPr>
        <w:jc w:val="center"/>
        <w:rPr>
          <w:rFonts w:ascii="黑体" w:hAnsi="黑体" w:eastAsia="黑体"/>
          <w:sz w:val="48"/>
          <w:lang w:val="zh-CN"/>
        </w:rPr>
      </w:pPr>
      <w:r>
        <w:rPr>
          <w:rFonts w:hint="eastAsia" w:ascii="黑体" w:hAnsi="黑体" w:eastAsia="黑体"/>
          <w:sz w:val="48"/>
          <w:lang w:val="zh-CN"/>
        </w:rPr>
        <w:t>目录</w:t>
      </w:r>
    </w:p>
    <w:p>
      <w:pPr>
        <w:jc w:val="center"/>
        <w:rPr>
          <w:rFonts w:ascii="黑体" w:hAnsi="黑体" w:eastAsia="黑体"/>
          <w:sz w:val="28"/>
          <w:szCs w:val="28"/>
          <w:lang w:val="zh-CN"/>
        </w:rPr>
      </w:pPr>
    </w:p>
    <w:p>
      <w:pPr>
        <w:pStyle w:val="13"/>
        <w:rPr>
          <w:rFonts w:ascii="Times New Roman" w:hAnsi="Times New Roman" w:eastAsia="仿宋_GB2312" w:cs="仿宋_GB2312"/>
          <w:lang w:val="zh-CN"/>
        </w:rPr>
      </w:pPr>
      <w:r>
        <w:rPr>
          <w:rFonts w:hint="eastAsia" w:ascii="Times New Roman" w:hAnsi="Times New Roman" w:eastAsia="仿宋_GB2312" w:cs="仿宋_GB2312"/>
          <w:lang w:val="zh-CN"/>
        </w:rPr>
        <w:t>公开时间：202</w:t>
      </w:r>
      <w:r>
        <w:rPr>
          <w:rFonts w:hint="eastAsia" w:ascii="Times New Roman" w:hAnsi="Times New Roman" w:eastAsia="仿宋_GB2312" w:cs="仿宋_GB2312"/>
        </w:rPr>
        <w:t>5</w:t>
      </w:r>
      <w:r>
        <w:rPr>
          <w:rFonts w:hint="eastAsia" w:ascii="Times New Roman" w:hAnsi="Times New Roman" w:eastAsia="仿宋_GB2312" w:cs="仿宋_GB2312"/>
          <w:lang w:val="zh-CN"/>
        </w:rPr>
        <w:t>年</w:t>
      </w:r>
      <w:r>
        <w:rPr>
          <w:rFonts w:hint="eastAsia" w:ascii="Times New Roman" w:hAnsi="Times New Roman" w:eastAsia="仿宋_GB2312" w:cs="仿宋_GB2312"/>
        </w:rPr>
        <w:t>10</w:t>
      </w:r>
      <w:r>
        <w:rPr>
          <w:rFonts w:hint="eastAsia" w:ascii="Times New Roman" w:hAnsi="Times New Roman" w:eastAsia="仿宋_GB2312" w:cs="仿宋_GB2312"/>
          <w:lang w:val="zh-CN"/>
        </w:rPr>
        <w:t xml:space="preserve"> 月 </w:t>
      </w:r>
      <w:r>
        <w:rPr>
          <w:rFonts w:hint="eastAsia" w:ascii="Times New Roman" w:hAnsi="Times New Roman" w:eastAsia="仿宋_GB2312" w:cs="仿宋_GB2312"/>
        </w:rPr>
        <w:t>2</w:t>
      </w:r>
      <w:r>
        <w:rPr>
          <w:rFonts w:hint="eastAsia" w:ascii="Times New Roman" w:hAnsi="Times New Roman" w:eastAsia="仿宋_GB2312" w:cs="仿宋_GB2312"/>
          <w:lang w:val="en-US" w:eastAsia="zh-CN"/>
        </w:rPr>
        <w:t>8</w:t>
      </w:r>
      <w:r>
        <w:rPr>
          <w:rFonts w:hint="eastAsia" w:ascii="Times New Roman" w:hAnsi="Times New Roman" w:eastAsia="仿宋_GB2312" w:cs="仿宋_GB2312"/>
          <w:lang w:val="zh-CN"/>
        </w:rPr>
        <w:t xml:space="preserve"> 日</w:t>
      </w:r>
    </w:p>
    <w:p>
      <w:pPr>
        <w:pStyle w:val="14"/>
        <w:adjustRightInd w:val="0"/>
        <w:snapToGrid w:val="0"/>
        <w:spacing w:line="560" w:lineRule="exact"/>
        <w:ind w:left="0" w:leftChars="0"/>
        <w:jc w:val="left"/>
        <w:rPr>
          <w:rFonts w:eastAsia="仿宋_GB2312" w:cs="仿宋_GB2312"/>
          <w:sz w:val="28"/>
          <w:szCs w:val="28"/>
        </w:rPr>
      </w:pPr>
    </w:p>
    <w:p>
      <w:pPr>
        <w:pStyle w:val="14"/>
        <w:adjustRightInd w:val="0"/>
        <w:snapToGrid w:val="0"/>
        <w:spacing w:line="560" w:lineRule="exact"/>
        <w:ind w:left="0" w:leftChars="0" w:firstLine="560" w:firstLineChars="200"/>
        <w:jc w:val="left"/>
        <w:rPr>
          <w:rFonts w:hint="eastAsia" w:eastAsia="仿宋_GB2312" w:cs="仿宋_GB2312"/>
          <w:sz w:val="28"/>
          <w:szCs w:val="28"/>
          <w:lang w:val="en-US" w:eastAsia="zh-CN"/>
        </w:rPr>
      </w:pPr>
      <w:r>
        <w:rPr>
          <w:rFonts w:hint="eastAsia" w:eastAsia="黑体" w:cs="黑体"/>
          <w:sz w:val="28"/>
          <w:szCs w:val="28"/>
          <w:lang w:val="zh-CN"/>
        </w:rPr>
        <w:t>第一部分部门概况</w:t>
      </w:r>
      <w:r>
        <w:rPr>
          <w:rFonts w:hint="eastAsia" w:eastAsia="仿宋_GB2312" w:cs="仿宋_GB2312"/>
          <w:sz w:val="28"/>
          <w:szCs w:val="28"/>
        </w:rPr>
        <w:tab/>
      </w:r>
      <w:r>
        <w:rPr>
          <w:rFonts w:hint="eastAsia" w:eastAsia="仿宋_GB2312" w:cs="仿宋_GB2312"/>
          <w:sz w:val="28"/>
          <w:szCs w:val="28"/>
          <w:lang w:val="en-US" w:eastAsia="zh-CN"/>
        </w:rPr>
        <w:t>3</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一、部门职责</w:t>
      </w:r>
      <w:r>
        <w:rPr>
          <w:rFonts w:hint="eastAsia" w:eastAsia="仿宋_GB2312" w:cs="仿宋_GB2312"/>
          <w:sz w:val="28"/>
          <w:szCs w:val="28"/>
        </w:rPr>
        <w:tab/>
      </w:r>
      <w:r>
        <w:rPr>
          <w:rFonts w:hint="eastAsia" w:eastAsia="仿宋_GB2312" w:cs="仿宋_GB2312"/>
          <w:sz w:val="28"/>
          <w:szCs w:val="28"/>
          <w:lang w:val="en-US" w:eastAsia="zh-CN"/>
        </w:rPr>
        <w:t>3</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二、机构设置</w:t>
      </w:r>
      <w:r>
        <w:rPr>
          <w:rFonts w:hint="eastAsia" w:eastAsia="仿宋_GB2312" w:cs="仿宋_GB2312"/>
          <w:sz w:val="28"/>
          <w:szCs w:val="28"/>
        </w:rPr>
        <w:tab/>
      </w:r>
      <w:r>
        <w:rPr>
          <w:rFonts w:hint="eastAsia" w:eastAsia="仿宋_GB2312" w:cs="仿宋_GB2312"/>
          <w:sz w:val="28"/>
          <w:szCs w:val="28"/>
          <w:lang w:val="en-US" w:eastAsia="zh-CN"/>
        </w:rPr>
        <w:t>4</w:t>
      </w:r>
    </w:p>
    <w:p>
      <w:pPr>
        <w:pStyle w:val="14"/>
        <w:adjustRightInd w:val="0"/>
        <w:snapToGrid w:val="0"/>
        <w:spacing w:line="560" w:lineRule="exact"/>
        <w:ind w:left="0" w:leftChars="0" w:firstLine="560" w:firstLineChars="200"/>
        <w:jc w:val="left"/>
        <w:rPr>
          <w:rFonts w:hint="eastAsia" w:eastAsia="仿宋_GB2312" w:cs="仿宋_GB2312"/>
          <w:sz w:val="28"/>
          <w:szCs w:val="28"/>
          <w:lang w:val="en-US" w:eastAsia="zh-CN"/>
        </w:rPr>
      </w:pPr>
      <w:r>
        <w:rPr>
          <w:rFonts w:hint="eastAsia" w:eastAsia="黑体" w:cs="黑体"/>
          <w:sz w:val="28"/>
          <w:szCs w:val="28"/>
          <w:lang w:val="zh-CN"/>
        </w:rPr>
        <w:t>第二部分 202</w:t>
      </w:r>
      <w:r>
        <w:rPr>
          <w:rFonts w:hint="eastAsia" w:eastAsia="黑体" w:cs="黑体"/>
          <w:sz w:val="28"/>
          <w:szCs w:val="28"/>
        </w:rPr>
        <w:t>3</w:t>
      </w:r>
      <w:r>
        <w:rPr>
          <w:rFonts w:hint="eastAsia" w:eastAsia="黑体" w:cs="黑体"/>
          <w:sz w:val="28"/>
          <w:szCs w:val="28"/>
          <w:lang w:val="zh-CN"/>
        </w:rPr>
        <w:t>年度部门决算情况说明</w:t>
      </w:r>
      <w:r>
        <w:rPr>
          <w:rFonts w:hint="eastAsia" w:eastAsia="仿宋_GB2312" w:cs="仿宋_GB2312"/>
          <w:sz w:val="28"/>
          <w:szCs w:val="28"/>
        </w:rPr>
        <w:tab/>
      </w:r>
      <w:r>
        <w:rPr>
          <w:rFonts w:hint="eastAsia" w:eastAsia="仿宋_GB2312" w:cs="仿宋_GB2312"/>
          <w:sz w:val="28"/>
          <w:szCs w:val="28"/>
          <w:lang w:val="en-US" w:eastAsia="zh-CN"/>
        </w:rPr>
        <w:t>5</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一、收入支出决算总体情况说明</w:t>
      </w:r>
      <w:r>
        <w:rPr>
          <w:rFonts w:hint="eastAsia" w:eastAsia="仿宋_GB2312" w:cs="仿宋_GB2312"/>
          <w:sz w:val="28"/>
          <w:szCs w:val="28"/>
        </w:rPr>
        <w:tab/>
      </w:r>
      <w:r>
        <w:rPr>
          <w:rFonts w:hint="eastAsia" w:eastAsia="仿宋_GB2312" w:cs="仿宋_GB2312"/>
          <w:sz w:val="28"/>
          <w:szCs w:val="28"/>
          <w:lang w:val="en-US" w:eastAsia="zh-CN"/>
        </w:rPr>
        <w:t>5</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二、收入决算情况说明</w:t>
      </w:r>
      <w:r>
        <w:rPr>
          <w:rFonts w:hint="eastAsia" w:eastAsia="仿宋_GB2312" w:cs="仿宋_GB2312"/>
          <w:sz w:val="28"/>
          <w:szCs w:val="28"/>
        </w:rPr>
        <w:tab/>
      </w:r>
      <w:r>
        <w:rPr>
          <w:rFonts w:hint="eastAsia" w:eastAsia="仿宋_GB2312" w:cs="仿宋_GB2312"/>
          <w:sz w:val="28"/>
          <w:szCs w:val="28"/>
          <w:lang w:val="en-US" w:eastAsia="zh-CN"/>
        </w:rPr>
        <w:t>5</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三、支出决算情况说明</w:t>
      </w:r>
      <w:r>
        <w:rPr>
          <w:rFonts w:hint="eastAsia" w:eastAsia="仿宋_GB2312" w:cs="仿宋_GB2312"/>
          <w:sz w:val="28"/>
          <w:szCs w:val="28"/>
        </w:rPr>
        <w:tab/>
      </w:r>
      <w:r>
        <w:rPr>
          <w:rFonts w:hint="eastAsia" w:eastAsia="仿宋_GB2312" w:cs="仿宋_GB2312"/>
          <w:sz w:val="28"/>
          <w:szCs w:val="28"/>
          <w:lang w:val="en-US" w:eastAsia="zh-CN"/>
        </w:rPr>
        <w:t>6</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四、财政拨款收入支出决算总体情况说明</w:t>
      </w:r>
      <w:r>
        <w:rPr>
          <w:rFonts w:hint="eastAsia" w:eastAsia="仿宋_GB2312" w:cs="仿宋_GB2312"/>
          <w:sz w:val="28"/>
          <w:szCs w:val="28"/>
        </w:rPr>
        <w:tab/>
      </w:r>
      <w:r>
        <w:rPr>
          <w:rFonts w:hint="eastAsia" w:eastAsia="仿宋_GB2312" w:cs="仿宋_GB2312"/>
          <w:sz w:val="28"/>
          <w:szCs w:val="28"/>
          <w:lang w:val="en-US" w:eastAsia="zh-CN"/>
        </w:rPr>
        <w:t>7</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五、一般公共预算财政拨款支出决算情况说明</w:t>
      </w:r>
      <w:r>
        <w:rPr>
          <w:rFonts w:hint="eastAsia" w:eastAsia="仿宋_GB2312" w:cs="仿宋_GB2312"/>
          <w:sz w:val="28"/>
          <w:szCs w:val="28"/>
        </w:rPr>
        <w:tab/>
      </w:r>
      <w:r>
        <w:rPr>
          <w:rFonts w:hint="eastAsia" w:eastAsia="仿宋_GB2312" w:cs="仿宋_GB2312"/>
          <w:sz w:val="28"/>
          <w:szCs w:val="28"/>
          <w:lang w:val="en-US" w:eastAsia="zh-CN"/>
        </w:rPr>
        <w:t>7</w:t>
      </w:r>
    </w:p>
    <w:p>
      <w:pPr>
        <w:pStyle w:val="14"/>
        <w:adjustRightInd w:val="0"/>
        <w:snapToGrid w:val="0"/>
        <w:spacing w:line="560" w:lineRule="exact"/>
        <w:ind w:left="0" w:leftChars="0" w:firstLine="1120" w:firstLineChars="400"/>
        <w:jc w:val="left"/>
        <w:rPr>
          <w:rFonts w:hint="eastAsia" w:eastAsia="仿宋_GB2312" w:cs="仿宋_GB2312"/>
          <w:sz w:val="28"/>
          <w:szCs w:val="28"/>
          <w:lang w:val="en-US" w:eastAsia="zh-CN"/>
        </w:rPr>
      </w:pPr>
      <w:r>
        <w:rPr>
          <w:rFonts w:hint="eastAsia" w:eastAsia="仿宋_GB2312" w:cs="仿宋_GB2312"/>
          <w:sz w:val="28"/>
          <w:szCs w:val="28"/>
          <w:lang w:val="zh-CN"/>
        </w:rPr>
        <w:t>六、一般公共预算财政拨款基本支出决算情况说明</w:t>
      </w:r>
      <w:r>
        <w:rPr>
          <w:rFonts w:hint="eastAsia" w:eastAsia="仿宋_GB2312" w:cs="仿宋_GB2312"/>
          <w:sz w:val="28"/>
          <w:szCs w:val="28"/>
        </w:rPr>
        <w:tab/>
      </w:r>
      <w:r>
        <w:rPr>
          <w:rFonts w:hint="eastAsia" w:eastAsia="仿宋_GB2312" w:cs="仿宋_GB2312"/>
          <w:sz w:val="28"/>
          <w:szCs w:val="28"/>
        </w:rPr>
        <w:t>1</w:t>
      </w:r>
      <w:r>
        <w:rPr>
          <w:rFonts w:hint="eastAsia" w:eastAsia="仿宋_GB2312" w:cs="仿宋_GB2312"/>
          <w:sz w:val="28"/>
          <w:szCs w:val="28"/>
          <w:lang w:val="en-US" w:eastAsia="zh-CN"/>
        </w:rPr>
        <w:t>0</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七、财政拨款“三公”经费支出决算情况说明</w:t>
      </w:r>
      <w:r>
        <w:rPr>
          <w:rFonts w:hint="eastAsia" w:eastAsia="仿宋_GB2312" w:cs="仿宋_GB2312"/>
          <w:sz w:val="28"/>
          <w:szCs w:val="28"/>
        </w:rPr>
        <w:tab/>
      </w:r>
      <w:r>
        <w:rPr>
          <w:rFonts w:hint="eastAsia" w:eastAsia="仿宋_GB2312" w:cs="仿宋_GB2312"/>
          <w:sz w:val="28"/>
          <w:szCs w:val="28"/>
        </w:rPr>
        <w:t>12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八、政府性基金预算支出决算情况说明</w:t>
      </w:r>
      <w:r>
        <w:rPr>
          <w:rFonts w:hint="eastAsia" w:eastAsia="仿宋_GB2312" w:cs="仿宋_GB2312"/>
          <w:sz w:val="28"/>
          <w:szCs w:val="28"/>
        </w:rPr>
        <w:tab/>
      </w:r>
      <w:r>
        <w:rPr>
          <w:rFonts w:hint="eastAsia" w:eastAsia="仿宋_GB2312" w:cs="仿宋_GB2312"/>
          <w:sz w:val="28"/>
          <w:szCs w:val="28"/>
        </w:rPr>
        <w:t>14</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九、国有资本经营预算支出决算情况说明</w:t>
      </w:r>
      <w:r>
        <w:rPr>
          <w:rFonts w:hint="eastAsia" w:eastAsia="仿宋_GB2312" w:cs="仿宋_GB2312"/>
          <w:sz w:val="28"/>
          <w:szCs w:val="28"/>
        </w:rPr>
        <w:tab/>
      </w:r>
      <w:r>
        <w:rPr>
          <w:rFonts w:hint="eastAsia" w:eastAsia="仿宋_GB2312" w:cs="仿宋_GB2312"/>
          <w:sz w:val="28"/>
          <w:szCs w:val="28"/>
        </w:rPr>
        <w:t>14</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rPr>
        <w:t>十、其他重要事项的情况说明</w:t>
      </w:r>
      <w:r>
        <w:rPr>
          <w:rFonts w:hint="eastAsia" w:eastAsia="仿宋_GB2312" w:cs="仿宋_GB2312"/>
          <w:sz w:val="28"/>
          <w:szCs w:val="28"/>
        </w:rPr>
        <w:tab/>
      </w:r>
      <w:r>
        <w:rPr>
          <w:rFonts w:hint="eastAsia" w:eastAsia="仿宋_GB2312" w:cs="仿宋_GB2312"/>
          <w:sz w:val="28"/>
          <w:szCs w:val="28"/>
        </w:rPr>
        <w:t>14</w:t>
      </w:r>
    </w:p>
    <w:p>
      <w:pPr>
        <w:pStyle w:val="14"/>
        <w:adjustRightInd w:val="0"/>
        <w:snapToGrid w:val="0"/>
        <w:spacing w:line="560" w:lineRule="exact"/>
        <w:ind w:left="0" w:leftChars="0" w:firstLine="560" w:firstLineChars="200"/>
        <w:jc w:val="left"/>
        <w:rPr>
          <w:rFonts w:hint="eastAsia" w:eastAsia="仿宋_GB2312" w:cs="仿宋_GB2312"/>
          <w:sz w:val="28"/>
          <w:szCs w:val="28"/>
          <w:lang w:val="en-US" w:eastAsia="zh-CN"/>
        </w:rPr>
      </w:pPr>
      <w:r>
        <w:rPr>
          <w:rFonts w:hint="eastAsia" w:eastAsia="黑体" w:cs="黑体"/>
          <w:sz w:val="28"/>
          <w:szCs w:val="28"/>
          <w:lang w:val="zh-CN"/>
        </w:rPr>
        <w:t>第三部分名词解释</w:t>
      </w:r>
      <w:r>
        <w:rPr>
          <w:rFonts w:hint="eastAsia" w:eastAsia="仿宋_GB2312" w:cs="仿宋_GB2312"/>
          <w:sz w:val="28"/>
          <w:szCs w:val="28"/>
        </w:rPr>
        <w:tab/>
      </w:r>
      <w:r>
        <w:rPr>
          <w:rFonts w:hint="eastAsia" w:eastAsia="仿宋_GB2312" w:cs="仿宋_GB2312"/>
          <w:sz w:val="28"/>
          <w:szCs w:val="28"/>
        </w:rPr>
        <w:t>1</w:t>
      </w:r>
      <w:r>
        <w:rPr>
          <w:rFonts w:hint="eastAsia" w:eastAsia="仿宋_GB2312" w:cs="仿宋_GB2312"/>
          <w:sz w:val="28"/>
          <w:szCs w:val="28"/>
          <w:lang w:val="en-US" w:eastAsia="zh-CN"/>
        </w:rPr>
        <w:t>6</w:t>
      </w:r>
    </w:p>
    <w:p>
      <w:pPr>
        <w:pStyle w:val="14"/>
        <w:adjustRightInd w:val="0"/>
        <w:snapToGrid w:val="0"/>
        <w:spacing w:line="560" w:lineRule="exact"/>
        <w:ind w:left="0" w:leftChars="0" w:firstLine="560" w:firstLineChars="200"/>
        <w:jc w:val="left"/>
        <w:rPr>
          <w:rFonts w:hint="eastAsia" w:eastAsia="仿宋_GB2312" w:cs="仿宋_GB2312"/>
          <w:sz w:val="28"/>
          <w:szCs w:val="28"/>
          <w:lang w:val="en-US" w:eastAsia="zh-CN"/>
        </w:rPr>
      </w:pPr>
      <w:r>
        <w:rPr>
          <w:rFonts w:hint="eastAsia" w:eastAsia="黑体" w:cs="黑体"/>
          <w:sz w:val="28"/>
          <w:szCs w:val="28"/>
          <w:lang w:val="zh-CN"/>
        </w:rPr>
        <w:t>第四部分附件</w:t>
      </w:r>
      <w:r>
        <w:rPr>
          <w:rFonts w:hint="eastAsia" w:eastAsia="仿宋_GB2312" w:cs="仿宋_GB2312"/>
          <w:sz w:val="28"/>
          <w:szCs w:val="28"/>
        </w:rPr>
        <w:tab/>
      </w:r>
      <w:r>
        <w:rPr>
          <w:rFonts w:hint="eastAsia" w:eastAsia="仿宋_GB2312" w:cs="仿宋_GB2312"/>
          <w:sz w:val="28"/>
          <w:szCs w:val="28"/>
        </w:rPr>
        <w:t>2</w:t>
      </w:r>
      <w:r>
        <w:rPr>
          <w:rFonts w:hint="eastAsia" w:eastAsia="仿宋_GB2312" w:cs="仿宋_GB2312"/>
          <w:sz w:val="28"/>
          <w:szCs w:val="28"/>
          <w:lang w:val="en-US" w:eastAsia="zh-CN"/>
        </w:rPr>
        <w:t>0</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黑体" w:cs="黑体"/>
          <w:sz w:val="28"/>
          <w:szCs w:val="28"/>
          <w:lang w:val="zh-CN"/>
        </w:rPr>
        <w:t>第五部分附表</w:t>
      </w:r>
      <w:r>
        <w:rPr>
          <w:rFonts w:hint="eastAsia" w:eastAsia="仿宋_GB2312" w:cs="仿宋_GB2312"/>
          <w:sz w:val="28"/>
          <w:szCs w:val="28"/>
        </w:rPr>
        <w:tab/>
      </w:r>
      <w:r>
        <w:rPr>
          <w:rFonts w:hint="eastAsia" w:eastAsia="仿宋_GB2312" w:cs="仿宋_GB2312"/>
          <w:sz w:val="28"/>
          <w:szCs w:val="28"/>
        </w:rPr>
        <w:t>32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一、收入支出决算总表</w:t>
      </w:r>
      <w:r>
        <w:rPr>
          <w:rFonts w:hint="eastAsia" w:eastAsia="仿宋_GB2312" w:cs="仿宋_GB2312"/>
          <w:sz w:val="28"/>
          <w:szCs w:val="28"/>
        </w:rPr>
        <w:tab/>
      </w:r>
      <w:r>
        <w:rPr>
          <w:rFonts w:hint="eastAsia" w:eastAsia="仿宋_GB2312" w:cs="仿宋_GB2312"/>
          <w:sz w:val="28"/>
          <w:szCs w:val="28"/>
        </w:rPr>
        <w:t>32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二、收入决算表</w:t>
      </w:r>
      <w:r>
        <w:rPr>
          <w:rFonts w:hint="eastAsia" w:eastAsia="仿宋_GB2312" w:cs="仿宋_GB2312"/>
          <w:sz w:val="28"/>
          <w:szCs w:val="28"/>
        </w:rPr>
        <w:tab/>
      </w:r>
      <w:r>
        <w:rPr>
          <w:rFonts w:hint="eastAsia" w:eastAsia="仿宋_GB2312" w:cs="仿宋_GB2312"/>
          <w:sz w:val="28"/>
          <w:szCs w:val="28"/>
        </w:rPr>
        <w:t>32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三、支出决算表</w:t>
      </w:r>
      <w:r>
        <w:rPr>
          <w:rFonts w:hint="eastAsia" w:eastAsia="仿宋_GB2312" w:cs="仿宋_GB2312"/>
          <w:sz w:val="28"/>
          <w:szCs w:val="28"/>
        </w:rPr>
        <w:tab/>
      </w:r>
      <w:r>
        <w:rPr>
          <w:rFonts w:hint="eastAsia" w:eastAsia="仿宋_GB2312" w:cs="仿宋_GB2312"/>
          <w:sz w:val="28"/>
          <w:szCs w:val="28"/>
        </w:rPr>
        <w:t>32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四、财政拨款收入支出决算总表</w:t>
      </w:r>
      <w:r>
        <w:rPr>
          <w:rFonts w:hint="eastAsia" w:eastAsia="仿宋_GB2312" w:cs="仿宋_GB2312"/>
          <w:sz w:val="28"/>
          <w:szCs w:val="28"/>
        </w:rPr>
        <w:tab/>
      </w:r>
      <w:r>
        <w:rPr>
          <w:rFonts w:hint="eastAsia" w:eastAsia="仿宋_GB2312" w:cs="仿宋_GB2312"/>
          <w:sz w:val="28"/>
          <w:szCs w:val="28"/>
        </w:rPr>
        <w:t>32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五、财政拨款支出决算明细表</w:t>
      </w:r>
      <w:r>
        <w:rPr>
          <w:rFonts w:hint="eastAsia" w:eastAsia="仿宋_GB2312" w:cs="仿宋_GB2312"/>
          <w:sz w:val="28"/>
          <w:szCs w:val="28"/>
        </w:rPr>
        <w:tab/>
      </w:r>
      <w:r>
        <w:rPr>
          <w:rFonts w:hint="eastAsia" w:eastAsia="仿宋_GB2312" w:cs="仿宋_GB2312"/>
          <w:sz w:val="28"/>
          <w:szCs w:val="28"/>
        </w:rPr>
        <w:t>32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六、一般公共预算财政拨款支出决算表</w:t>
      </w:r>
      <w:r>
        <w:rPr>
          <w:rFonts w:hint="eastAsia" w:eastAsia="仿宋_GB2312" w:cs="仿宋_GB2312"/>
          <w:sz w:val="28"/>
          <w:szCs w:val="28"/>
        </w:rPr>
        <w:tab/>
      </w:r>
      <w:r>
        <w:rPr>
          <w:rFonts w:hint="eastAsia" w:eastAsia="仿宋_GB2312" w:cs="仿宋_GB2312"/>
          <w:sz w:val="28"/>
          <w:szCs w:val="28"/>
        </w:rPr>
        <w:t>32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七、一般公共预算财政拨款支出决算明细表</w:t>
      </w:r>
      <w:r>
        <w:rPr>
          <w:rFonts w:hint="eastAsia" w:eastAsia="仿宋_GB2312" w:cs="仿宋_GB2312"/>
          <w:sz w:val="28"/>
          <w:szCs w:val="28"/>
        </w:rPr>
        <w:tab/>
      </w:r>
      <w:r>
        <w:rPr>
          <w:rFonts w:hint="eastAsia" w:eastAsia="仿宋_GB2312" w:cs="仿宋_GB2312"/>
          <w:sz w:val="28"/>
          <w:szCs w:val="28"/>
        </w:rPr>
        <w:t>32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八、一般公共预算财政拨款基本支出决算明细表</w:t>
      </w:r>
      <w:r>
        <w:rPr>
          <w:rFonts w:hint="eastAsia" w:eastAsia="仿宋_GB2312" w:cs="仿宋_GB2312"/>
          <w:sz w:val="28"/>
          <w:szCs w:val="28"/>
        </w:rPr>
        <w:tab/>
      </w:r>
      <w:r>
        <w:rPr>
          <w:rFonts w:hint="eastAsia" w:eastAsia="仿宋_GB2312" w:cs="仿宋_GB2312"/>
          <w:sz w:val="28"/>
          <w:szCs w:val="28"/>
        </w:rPr>
        <w:t>32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九、一般公共预算财政拨款项目支出决算表</w:t>
      </w:r>
      <w:r>
        <w:rPr>
          <w:rFonts w:hint="eastAsia" w:eastAsia="仿宋_GB2312" w:cs="仿宋_GB2312"/>
          <w:sz w:val="28"/>
          <w:szCs w:val="28"/>
        </w:rPr>
        <w:tab/>
      </w:r>
      <w:r>
        <w:rPr>
          <w:rFonts w:hint="eastAsia" w:eastAsia="仿宋_GB2312" w:cs="仿宋_GB2312"/>
          <w:sz w:val="28"/>
          <w:szCs w:val="28"/>
        </w:rPr>
        <w:t>32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十、政府性基金预算财政拨款收入支出决算表</w:t>
      </w:r>
      <w:r>
        <w:rPr>
          <w:rFonts w:hint="eastAsia" w:eastAsia="仿宋_GB2312" w:cs="仿宋_GB2312"/>
          <w:sz w:val="28"/>
          <w:szCs w:val="28"/>
        </w:rPr>
        <w:tab/>
      </w:r>
      <w:r>
        <w:rPr>
          <w:rFonts w:hint="eastAsia" w:eastAsia="仿宋_GB2312" w:cs="仿宋_GB2312"/>
          <w:sz w:val="28"/>
          <w:szCs w:val="28"/>
        </w:rPr>
        <w:t>32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十一、国有资本经营预算财政拨款收入支出决算表</w:t>
      </w:r>
      <w:r>
        <w:rPr>
          <w:rFonts w:hint="eastAsia" w:eastAsia="仿宋_GB2312" w:cs="仿宋_GB2312"/>
          <w:sz w:val="28"/>
          <w:szCs w:val="28"/>
        </w:rPr>
        <w:tab/>
      </w:r>
      <w:r>
        <w:rPr>
          <w:rFonts w:hint="eastAsia" w:eastAsia="仿宋_GB2312" w:cs="仿宋_GB2312"/>
          <w:sz w:val="28"/>
          <w:szCs w:val="28"/>
        </w:rPr>
        <w:t>32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十二、国有资本经营预算财政拨款支出决算表</w:t>
      </w:r>
      <w:r>
        <w:rPr>
          <w:rFonts w:hint="eastAsia" w:eastAsia="仿宋_GB2312" w:cs="仿宋_GB2312"/>
          <w:sz w:val="28"/>
          <w:szCs w:val="28"/>
        </w:rPr>
        <w:tab/>
      </w:r>
      <w:r>
        <w:rPr>
          <w:rFonts w:hint="eastAsia" w:eastAsia="仿宋_GB2312" w:cs="仿宋_GB2312"/>
          <w:sz w:val="28"/>
          <w:szCs w:val="28"/>
        </w:rPr>
        <w:t>32</w:t>
      </w:r>
    </w:p>
    <w:p>
      <w:pPr>
        <w:pStyle w:val="14"/>
        <w:adjustRightInd w:val="0"/>
        <w:snapToGrid w:val="0"/>
        <w:spacing w:line="560" w:lineRule="exact"/>
        <w:ind w:left="0" w:leftChars="0" w:firstLine="1120" w:firstLineChars="400"/>
        <w:jc w:val="left"/>
        <w:rPr>
          <w:rFonts w:eastAsia="仿宋_GB2312" w:cs="仿宋_GB2312"/>
          <w:sz w:val="28"/>
          <w:szCs w:val="28"/>
        </w:rPr>
      </w:pPr>
      <w:r>
        <w:rPr>
          <w:rFonts w:hint="eastAsia" w:eastAsia="仿宋_GB2312" w:cs="仿宋_GB2312"/>
          <w:sz w:val="28"/>
          <w:szCs w:val="28"/>
          <w:lang w:val="zh-CN"/>
        </w:rPr>
        <w:t>十三、财政拨款“三公”经费支出决算表</w:t>
      </w:r>
      <w:r>
        <w:rPr>
          <w:rFonts w:hint="eastAsia" w:eastAsia="仿宋_GB2312" w:cs="仿宋_GB2312"/>
          <w:sz w:val="28"/>
          <w:szCs w:val="28"/>
        </w:rPr>
        <w:tab/>
      </w:r>
      <w:r>
        <w:rPr>
          <w:rFonts w:hint="eastAsia" w:eastAsia="仿宋_GB2312" w:cs="仿宋_GB2312"/>
          <w:sz w:val="28"/>
          <w:szCs w:val="28"/>
        </w:rPr>
        <w:t>32</w:t>
      </w:r>
    </w:p>
    <w:p>
      <w:pPr>
        <w:pStyle w:val="14"/>
        <w:adjustRightInd w:val="0"/>
        <w:snapToGrid w:val="0"/>
        <w:spacing w:line="560" w:lineRule="exact"/>
        <w:ind w:left="0" w:leftChars="0" w:firstLine="640" w:firstLineChars="200"/>
        <w:jc w:val="left"/>
        <w:rPr>
          <w:rFonts w:eastAsia="仿宋_GB2312" w:cs="仿宋_GB2312"/>
          <w:sz w:val="32"/>
          <w:szCs w:val="32"/>
        </w:rPr>
      </w:pPr>
    </w:p>
    <w:p>
      <w:pPr>
        <w:pStyle w:val="2"/>
        <w:rPr>
          <w:rFonts w:eastAsia="仿宋_GB2312" w:cs="仿宋_GB2312"/>
          <w:b/>
          <w:sz w:val="32"/>
          <w:szCs w:val="32"/>
        </w:rPr>
      </w:pPr>
    </w:p>
    <w:p>
      <w:pPr>
        <w:pStyle w:val="3"/>
        <w:ind w:left="420" w:firstLine="643"/>
        <w:rPr>
          <w:rFonts w:ascii="Times New Roman" w:eastAsia="仿宋_GB2312" w:cs="仿宋_GB2312"/>
          <w:b/>
          <w:sz w:val="32"/>
        </w:rPr>
      </w:pPr>
    </w:p>
    <w:p>
      <w:pPr>
        <w:pStyle w:val="3"/>
        <w:ind w:left="420" w:firstLine="643"/>
        <w:rPr>
          <w:rFonts w:ascii="Times New Roman" w:eastAsia="仿宋_GB2312" w:cs="仿宋_GB2312"/>
          <w:b/>
          <w:sz w:val="32"/>
        </w:rPr>
      </w:pPr>
    </w:p>
    <w:p>
      <w:pPr>
        <w:pStyle w:val="5"/>
        <w:rPr>
          <w:rFonts w:eastAsia="方正小标宋简体" w:cs="方正小标宋简体"/>
          <w:b w:val="0"/>
        </w:rPr>
      </w:pPr>
    </w:p>
    <w:p>
      <w:pPr>
        <w:rPr>
          <w:rFonts w:eastAsia="方正小标宋简体" w:cs="方正小标宋简体"/>
        </w:rPr>
      </w:pPr>
    </w:p>
    <w:p>
      <w:pPr>
        <w:pStyle w:val="2"/>
        <w:rPr>
          <w:rFonts w:eastAsia="方正小标宋简体" w:cs="方正小标宋简体"/>
        </w:rPr>
      </w:pPr>
    </w:p>
    <w:p>
      <w:pPr>
        <w:pStyle w:val="3"/>
        <w:ind w:left="420"/>
        <w:rPr>
          <w:rFonts w:ascii="Times New Roman" w:eastAsia="方正小标宋简体" w:cs="方正小标宋简体"/>
        </w:rPr>
      </w:pPr>
    </w:p>
    <w:p>
      <w:pPr>
        <w:pStyle w:val="3"/>
        <w:ind w:left="420"/>
        <w:rPr>
          <w:rFonts w:ascii="Times New Roman" w:eastAsia="方正小标宋简体" w:cs="方正小标宋简体"/>
        </w:rPr>
      </w:pPr>
    </w:p>
    <w:p>
      <w:pPr>
        <w:pStyle w:val="3"/>
        <w:ind w:left="420"/>
        <w:rPr>
          <w:rFonts w:ascii="Times New Roman" w:eastAsia="方正小标宋简体" w:cs="方正小标宋简体"/>
        </w:rPr>
      </w:pPr>
    </w:p>
    <w:p>
      <w:pPr>
        <w:pStyle w:val="5"/>
        <w:jc w:val="center"/>
        <w:rPr>
          <w:rFonts w:eastAsia="黑体"/>
          <w:sz w:val="32"/>
          <w:szCs w:val="32"/>
        </w:rPr>
      </w:pPr>
      <w:r>
        <w:rPr>
          <w:rFonts w:hint="eastAsia" w:eastAsia="方正小标宋简体" w:cs="方正小标宋简体"/>
          <w:b w:val="0"/>
        </w:rPr>
        <w:t xml:space="preserve">第一部分  </w:t>
      </w:r>
      <w:r>
        <w:rPr>
          <w:rStyle w:val="28"/>
          <w:rFonts w:hint="eastAsia" w:eastAsia="方正小标宋简体" w:cs="方正小标宋简体"/>
          <w:b w:val="0"/>
          <w:bCs w:val="0"/>
        </w:rPr>
        <w:t>部门概况</w:t>
      </w:r>
      <w:bookmarkEnd w:id="12"/>
      <w:bookmarkEnd w:id="13"/>
    </w:p>
    <w:p>
      <w:pPr>
        <w:pStyle w:val="6"/>
        <w:ind w:firstLine="640" w:firstLineChars="200"/>
        <w:rPr>
          <w:rFonts w:ascii="Times New Roman" w:hAnsi="Times New Roman" w:eastAsia="黑体"/>
          <w:b w:val="0"/>
        </w:rPr>
      </w:pPr>
      <w:bookmarkStart w:id="14" w:name="_Toc15396600"/>
      <w:bookmarkStart w:id="15" w:name="_Toc15377197"/>
      <w:r>
        <w:rPr>
          <w:rFonts w:hint="eastAsia" w:ascii="Times New Roman" w:hAnsi="Times New Roman" w:eastAsia="黑体"/>
          <w:b w:val="0"/>
        </w:rPr>
        <w:t>一、</w:t>
      </w:r>
      <w:bookmarkEnd w:id="14"/>
      <w:bookmarkEnd w:id="15"/>
      <w:r>
        <w:rPr>
          <w:rFonts w:hint="eastAsia" w:ascii="Times New Roman" w:hAnsi="Times New Roman" w:eastAsia="黑体"/>
          <w:b w:val="0"/>
        </w:rPr>
        <w:t>部门职责</w:t>
      </w:r>
    </w:p>
    <w:p>
      <w:pPr>
        <w:spacing w:before="93"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1.贯彻落实国家和省、市、区有关深化行政审批制度改革的方针政策和决策部署，负责组织推进全区深化行政审批制度改革工作，建立健全行政审批工作机制，并组织实施。</w:t>
      </w:r>
    </w:p>
    <w:p>
      <w:pPr>
        <w:spacing w:before="93"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2.按照省、市、区部署和要求，推进相对集中行政许可权改革。负责行使相对集中的行政许可权，并承担相应的法律责任；负责统一组织实施行政审批涉及的现场踏勘、聘请专家进行技术论证等工作；负责与上级业务主管部门的联系、对接、协调工作，承接上级下放的行政许可事项；负责对行政许可事项流程进行规范和优化，推进行政审批标准化建设和依法规范公开运行；负责行政审批信息化建设。</w:t>
      </w:r>
    </w:p>
    <w:p>
      <w:pPr>
        <w:spacing w:before="93"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3.负责贯彻落实中央、省、市、区关于政务服务工作的方针政策和决策部署。</w:t>
      </w:r>
    </w:p>
    <w:p>
      <w:pPr>
        <w:spacing w:before="93"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4.负责政务服务管理工作。负责制定政务大厅各项规章制度、管理办法并组织实施；负责组织、指导、监督区级部门（单位）集中开展政务服务工作，并对进驻政务大厅的部门（单位）窗口及人员进行管理、考核；负责电子政务服务平台建设和运行管理工作。</w:t>
      </w:r>
    </w:p>
    <w:p>
      <w:pPr>
        <w:spacing w:before="93"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5.负责职责范围的安全生产和职业健康、生态环境保护、审批服务便民化等工作。</w:t>
      </w:r>
    </w:p>
    <w:p>
      <w:pPr>
        <w:spacing w:before="93" w:line="576" w:lineRule="exact"/>
        <w:ind w:firstLine="640"/>
        <w:rPr>
          <w:rFonts w:ascii="仿宋_GB2312" w:hAnsi="仿宋_GB2312" w:eastAsia="仿宋_GB2312"/>
          <w:color w:val="000000"/>
          <w:sz w:val="32"/>
        </w:rPr>
      </w:pPr>
      <w:r>
        <w:rPr>
          <w:rFonts w:hint="eastAsia" w:ascii="仿宋_GB2312" w:hAnsi="仿宋_GB2312" w:eastAsia="仿宋_GB2312"/>
          <w:color w:val="000000"/>
          <w:sz w:val="32"/>
        </w:rPr>
        <w:t>6.完成区委、区政府交办的其他工作。</w:t>
      </w:r>
    </w:p>
    <w:p>
      <w:pPr>
        <w:spacing w:before="93" w:line="576" w:lineRule="exact"/>
        <w:ind w:firstLine="640"/>
        <w:rPr>
          <w:rFonts w:ascii="仿宋_GB2312" w:hAnsi="仿宋_GB2312" w:eastAsia="仿宋_GB2312"/>
          <w:color w:val="000000"/>
          <w:sz w:val="32"/>
          <w:lang w:val="zh-CN"/>
        </w:rPr>
      </w:pPr>
      <w:r>
        <w:rPr>
          <w:rFonts w:hint="eastAsia" w:ascii="仿宋_GB2312" w:hAnsi="仿宋_GB2312" w:eastAsia="仿宋_GB2312"/>
          <w:color w:val="000000"/>
          <w:sz w:val="32"/>
        </w:rPr>
        <w:t>7.职能转变。坚持以人民为中心的发展思想，以方便企业和群众办事为目标，努力调高政务服务质量和效率，积极推进政务服务“一网、一门、一次”改革。</w:t>
      </w:r>
    </w:p>
    <w:p/>
    <w:p>
      <w:pPr>
        <w:pStyle w:val="6"/>
        <w:ind w:firstLine="640" w:firstLineChars="200"/>
        <w:rPr>
          <w:rStyle w:val="29"/>
          <w:rFonts w:ascii="Times New Roman" w:hAnsi="Times New Roman"/>
          <w:b w:val="0"/>
          <w:bCs w:val="0"/>
        </w:rPr>
      </w:pPr>
      <w:bookmarkStart w:id="16" w:name="_Toc15377200"/>
      <w:bookmarkStart w:id="17"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6"/>
      <w:bookmarkEnd w:id="17"/>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攀枝花市东区行政审批局</w:t>
      </w:r>
      <w:r>
        <w:rPr>
          <w:rFonts w:hint="eastAsia" w:ascii="宋体" w:hAnsi="宋体" w:eastAsia="宋体" w:cs="宋体"/>
          <w:sz w:val="32"/>
          <w:szCs w:val="32"/>
          <w:highlight w:val="none"/>
        </w:rPr>
        <w:t>属</w:t>
      </w:r>
      <w:r>
        <w:rPr>
          <w:rFonts w:hint="eastAsia" w:ascii="仿宋_GB2312" w:hAnsi="仿宋_GB2312" w:eastAsia="仿宋_GB2312" w:cs="仿宋_GB2312"/>
          <w:sz w:val="32"/>
          <w:szCs w:val="32"/>
        </w:rPr>
        <w:t>于一级预算</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，下属二级预算单位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个，参照公务员法管理的事业单位0个，其他事业单位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pStyle w:val="8"/>
        <w:adjustRightInd w:val="0"/>
        <w:snapToGrid w:val="0"/>
        <w:spacing w:before="93" w:line="600" w:lineRule="exact"/>
        <w:ind w:firstLine="672" w:firstLineChars="210"/>
        <w:rPr>
          <w:rFonts w:ascii="Times New Roman" w:cs="仿宋_GB2312"/>
          <w:sz w:val="32"/>
          <w:szCs w:val="32"/>
        </w:rPr>
      </w:pPr>
      <w:r>
        <w:rPr>
          <w:rFonts w:hint="eastAsia" w:ascii="Times New Roman" w:cs="仿宋_GB2312"/>
          <w:sz w:val="32"/>
          <w:szCs w:val="32"/>
        </w:rPr>
        <w:t>纳入</w:t>
      </w:r>
      <w:r>
        <w:rPr>
          <w:sz w:val="32"/>
          <w:szCs w:val="32"/>
        </w:rPr>
        <w:t>攀枝花市东区行政审批局</w:t>
      </w:r>
      <w:r>
        <w:rPr>
          <w:rFonts w:hint="eastAsia" w:ascii="Times New Roman" w:cs="仿宋_GB2312"/>
          <w:sz w:val="32"/>
          <w:szCs w:val="32"/>
        </w:rPr>
        <w:t>2024年度部门决算编制范围的二级预算单位包括：</w:t>
      </w:r>
    </w:p>
    <w:p>
      <w:pPr>
        <w:spacing w:before="93" w:line="576" w:lineRule="exact"/>
        <w:ind w:firstLine="640"/>
        <w:rPr>
          <w:rFonts w:ascii="仿宋_GB2312" w:hAnsi="仿宋_GB2312" w:eastAsia="仿宋_GB2312"/>
          <w:sz w:val="32"/>
        </w:rPr>
      </w:pPr>
      <w:bookmarkStart w:id="18" w:name="_Toc15377201"/>
      <w:bookmarkStart w:id="19" w:name="_Toc15378448"/>
      <w:bookmarkStart w:id="20" w:name="_Toc15306275"/>
      <w:bookmarkStart w:id="21" w:name="_Toc15377432"/>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攀枝花市东区行政审批局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lang w:eastAsia="zh-CN"/>
        </w:rPr>
        <w:t>）</w:t>
      </w:r>
    </w:p>
    <w:bookmarkEnd w:id="18"/>
    <w:bookmarkEnd w:id="19"/>
    <w:bookmarkEnd w:id="20"/>
    <w:bookmarkEnd w:id="21"/>
    <w:p>
      <w:pPr>
        <w:spacing w:before="93" w:line="576" w:lineRule="exact"/>
        <w:ind w:firstLine="640"/>
        <w:rPr>
          <w:rFonts w:eastAsia="仿宋"/>
          <w:kern w:val="0"/>
          <w:sz w:val="32"/>
          <w:szCs w:val="32"/>
        </w:rPr>
      </w:pPr>
      <w:r>
        <w:rPr>
          <w:rFonts w:eastAsia="仿宋"/>
          <w:sz w:val="32"/>
          <w:szCs w:val="32"/>
        </w:rPr>
        <w:br w:type="page"/>
      </w:r>
    </w:p>
    <w:p>
      <w:pPr>
        <w:pStyle w:val="5"/>
        <w:jc w:val="center"/>
        <w:rPr>
          <w:rFonts w:eastAsia="方正小标宋简体" w:cs="方正小标宋简体"/>
          <w:b w:val="0"/>
        </w:rPr>
      </w:pPr>
      <w:bookmarkStart w:id="22" w:name="_Toc15396602"/>
      <w:bookmarkStart w:id="23" w:name="_Toc15377204"/>
      <w:r>
        <w:rPr>
          <w:rFonts w:hint="eastAsia" w:eastAsia="方正小标宋简体" w:cs="方正小标宋简体"/>
          <w:b w:val="0"/>
        </w:rPr>
        <w:t>第二部分  2024年度部门决算情况说明</w:t>
      </w:r>
      <w:bookmarkEnd w:id="22"/>
      <w:bookmarkEnd w:id="23"/>
    </w:p>
    <w:p/>
    <w:p>
      <w:pPr>
        <w:pStyle w:val="27"/>
        <w:spacing w:line="600" w:lineRule="exact"/>
        <w:ind w:firstLine="640"/>
        <w:outlineLvl w:val="1"/>
        <w:rPr>
          <w:rStyle w:val="29"/>
          <w:rFonts w:ascii="Times New Roman" w:hAnsi="Times New Roman" w:eastAsia="黑体"/>
          <w:b w:val="0"/>
        </w:rPr>
      </w:pPr>
      <w:bookmarkStart w:id="24" w:name="_Toc15377205"/>
      <w:bookmarkStart w:id="25"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24"/>
      <w:bookmarkEnd w:id="25"/>
    </w:p>
    <w:p>
      <w:pPr>
        <w:pStyle w:val="27"/>
        <w:spacing w:line="600" w:lineRule="exact"/>
        <w:ind w:firstLine="640"/>
        <w:outlineLvl w:val="1"/>
        <w:rPr>
          <w:rFonts w:eastAsia="仿宋_GB2312" w:cs="仿宋_GB2312"/>
          <w:sz w:val="32"/>
          <w:szCs w:val="32"/>
        </w:rPr>
      </w:pPr>
      <w:r>
        <w:rPr>
          <w:rFonts w:hint="eastAsia" w:eastAsia="仿宋_GB2312" w:cs="仿宋_GB2312"/>
          <w:color w:val="FF0000"/>
          <w:sz w:val="32"/>
          <w:szCs w:val="32"/>
        </w:rPr>
        <w:drawing>
          <wp:anchor distT="0" distB="0" distL="114300" distR="114300" simplePos="0" relativeHeight="251648000" behindDoc="0" locked="0" layoutInCell="1" allowOverlap="1">
            <wp:simplePos x="0" y="0"/>
            <wp:positionH relativeFrom="column">
              <wp:posOffset>-76200</wp:posOffset>
            </wp:positionH>
            <wp:positionV relativeFrom="paragraph">
              <wp:posOffset>1190625</wp:posOffset>
            </wp:positionV>
            <wp:extent cx="5067300" cy="2905125"/>
            <wp:effectExtent l="4445" t="4445" r="14605" b="508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1048.14</w:t>
      </w:r>
      <w:r>
        <w:rPr>
          <w:rFonts w:hint="eastAsia" w:eastAsia="仿宋_GB2312" w:cs="仿宋_GB2312"/>
          <w:sz w:val="32"/>
          <w:szCs w:val="32"/>
        </w:rPr>
        <w:t>万元。与2023年度相比，收入、支出总计各减少149.16万元，下降12.46%。主要变动原因是人员经费和项目经费减少。</w:t>
      </w:r>
    </w:p>
    <w:p>
      <w:pPr>
        <w:rPr>
          <w:rFonts w:eastAsia="仿宋_GB2312" w:cs="仿宋_GB2312"/>
          <w:sz w:val="32"/>
          <w:szCs w:val="32"/>
        </w:rPr>
      </w:pPr>
      <w:r>
        <w:rPr>
          <w:rFonts w:hint="eastAsia" w:eastAsia="仿宋_GB2312" w:cs="仿宋_GB2312"/>
          <w:color w:val="FF0000"/>
          <w:sz w:val="32"/>
          <w:szCs w:val="32"/>
        </w:rPr>
        <w:t xml:space="preserve">      </w:t>
      </w:r>
      <w:r>
        <w:rPr>
          <w:rFonts w:hint="eastAsia" w:eastAsia="仿宋_GB2312" w:cs="仿宋_GB2312"/>
          <w:sz w:val="32"/>
          <w:szCs w:val="32"/>
        </w:rPr>
        <w:t>图1：收入、支出决算总计变动情况图）</w:t>
      </w:r>
    </w:p>
    <w:p>
      <w:pPr>
        <w:rPr>
          <w:rFonts w:eastAsia="仿宋_GB2312" w:cs="仿宋_GB2312"/>
          <w:sz w:val="32"/>
          <w:szCs w:val="32"/>
        </w:rPr>
      </w:pPr>
    </w:p>
    <w:p>
      <w:pPr>
        <w:pStyle w:val="27"/>
        <w:spacing w:line="600" w:lineRule="exact"/>
        <w:ind w:firstLine="640"/>
        <w:outlineLvl w:val="1"/>
        <w:rPr>
          <w:rFonts w:eastAsia="黑体"/>
          <w:sz w:val="32"/>
          <w:szCs w:val="32"/>
        </w:rPr>
      </w:pPr>
      <w:bookmarkStart w:id="26" w:name="_Toc15377206"/>
      <w:bookmarkStart w:id="27" w:name="_Toc15396604"/>
      <w:r>
        <w:rPr>
          <w:rFonts w:hint="eastAsia" w:eastAsia="黑体"/>
          <w:sz w:val="32"/>
          <w:szCs w:val="32"/>
        </w:rPr>
        <w:t>二、收入决算情况说明</w:t>
      </w:r>
      <w:bookmarkEnd w:id="26"/>
      <w:bookmarkEnd w:id="27"/>
    </w:p>
    <w:p>
      <w:pPr>
        <w:spacing w:line="600" w:lineRule="exact"/>
        <w:ind w:firstLine="640" w:firstLineChars="200"/>
        <w:outlineLvl w:val="1"/>
        <w:rPr>
          <w:rFonts w:ascii="仿宋" w:hAnsi="仿宋" w:eastAsia="仿宋"/>
          <w:sz w:val="32"/>
          <w:szCs w:val="32"/>
        </w:rPr>
      </w:pPr>
      <w:r>
        <w:rPr>
          <w:rFonts w:hint="eastAsia" w:ascii="仿宋_GB2312" w:hAnsi="仿宋_GB2312" w:eastAsia="仿宋_GB2312" w:cs="仿宋_GB2312"/>
          <w:sz w:val="32"/>
          <w:szCs w:val="32"/>
        </w:rPr>
        <w:t>2024年度本年收入合计1048.14万元，其中：一般公共预算财政拨款收入1048.14万元，占100%</w:t>
      </w:r>
      <w:r>
        <w:rPr>
          <w:rFonts w:hint="eastAsia" w:ascii="仿宋" w:hAnsi="仿宋" w:eastAsia="仿宋"/>
          <w:sz w:val="32"/>
          <w:szCs w:val="32"/>
        </w:rPr>
        <w:t>；政府性基金预算财政拨款收入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_GB2312" w:hAnsi="仿宋_GB2312" w:eastAsia="仿宋_GB2312" w:cs="仿宋_GB2312"/>
          <w:sz w:val="32"/>
          <w:szCs w:val="32"/>
        </w:rPr>
        <w:t>。</w:t>
      </w:r>
    </w:p>
    <w:p>
      <w:pPr>
        <w:spacing w:line="600" w:lineRule="exact"/>
        <w:ind w:firstLine="273" w:firstLineChars="130"/>
        <w:jc w:val="left"/>
        <w:outlineLvl w:val="1"/>
        <w:rPr>
          <w:rFonts w:hint="eastAsia" w:ascii="仿宋_GB2312" w:hAnsi="仿宋_GB2312" w:eastAsia="仿宋_GB2312" w:cs="仿宋_GB2312"/>
          <w:sz w:val="32"/>
          <w:szCs w:val="32"/>
        </w:rPr>
      </w:pPr>
      <w:r>
        <w:rPr>
          <w:rFonts w:hint="eastAsia"/>
        </w:rPr>
        <w:drawing>
          <wp:anchor distT="0" distB="0" distL="114300" distR="114300" simplePos="0" relativeHeight="251649024" behindDoc="0" locked="0" layoutInCell="1" allowOverlap="1">
            <wp:simplePos x="0" y="0"/>
            <wp:positionH relativeFrom="column">
              <wp:posOffset>219075</wp:posOffset>
            </wp:positionH>
            <wp:positionV relativeFrom="paragraph">
              <wp:posOffset>201930</wp:posOffset>
            </wp:positionV>
            <wp:extent cx="4848225" cy="2228850"/>
            <wp:effectExtent l="5080" t="4445" r="4445" b="146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ind w:firstLine="800" w:firstLineChars="250"/>
        <w:rPr>
          <w:rFonts w:eastAsia="仿宋_GB2312" w:cs="仿宋_GB2312"/>
          <w:sz w:val="32"/>
          <w:szCs w:val="32"/>
        </w:rPr>
      </w:pPr>
      <w:r>
        <w:rPr>
          <w:rFonts w:hint="eastAsia" w:eastAsia="仿宋_GB2312" w:cs="仿宋_GB2312"/>
          <w:sz w:val="32"/>
          <w:szCs w:val="32"/>
        </w:rPr>
        <w:t>（图2：收入决算结构图）</w:t>
      </w:r>
    </w:p>
    <w:p>
      <w:pPr>
        <w:pStyle w:val="27"/>
        <w:spacing w:line="600" w:lineRule="exact"/>
        <w:ind w:firstLine="640"/>
        <w:outlineLvl w:val="1"/>
        <w:rPr>
          <w:rStyle w:val="29"/>
          <w:rFonts w:ascii="Times New Roman" w:hAnsi="Times New Roman" w:eastAsia="黑体"/>
          <w:b w:val="0"/>
        </w:rPr>
      </w:pPr>
      <w:bookmarkStart w:id="28" w:name="_Toc15377207"/>
      <w:bookmarkStart w:id="29" w:name="_Toc15396605"/>
      <w:r>
        <w:rPr>
          <w:rFonts w:hint="eastAsia" w:eastAsia="黑体"/>
          <w:sz w:val="32"/>
          <w:szCs w:val="32"/>
        </w:rPr>
        <w:t>三、支</w:t>
      </w:r>
      <w:r>
        <w:rPr>
          <w:rStyle w:val="29"/>
          <w:rFonts w:hint="eastAsia" w:ascii="Times New Roman" w:hAnsi="Times New Roman" w:eastAsia="黑体"/>
          <w:b w:val="0"/>
        </w:rPr>
        <w:t>出决算情况说明</w:t>
      </w:r>
      <w:bookmarkEnd w:id="28"/>
      <w:bookmarkEnd w:id="29"/>
    </w:p>
    <w:p>
      <w:pPr>
        <w:pStyle w:val="27"/>
        <w:spacing w:line="60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2024年度本年支出合计1048.14万元，其中：基本支出859.87万元，占82.04%；项目支出188.27万元，占17.96%</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_GB2312" w:hAnsi="仿宋_GB2312" w:eastAsia="仿宋_GB2312" w:cs="仿宋_GB2312"/>
          <w:sz w:val="32"/>
          <w:szCs w:val="32"/>
        </w:rPr>
        <w:t>。</w:t>
      </w:r>
    </w:p>
    <w:p>
      <w:pPr>
        <w:ind w:firstLine="525" w:firstLineChars="250"/>
        <w:rPr>
          <w:rFonts w:eastAsia="仿宋_GB2312" w:cs="仿宋_GB2312"/>
          <w:sz w:val="32"/>
          <w:szCs w:val="32"/>
        </w:rPr>
      </w:pPr>
      <w:r>
        <w:rPr>
          <w:rFonts w:hint="eastAsia"/>
        </w:rPr>
        <w:drawing>
          <wp:anchor distT="0" distB="0" distL="114300" distR="114300" simplePos="0" relativeHeight="251658240" behindDoc="0" locked="0" layoutInCell="1" allowOverlap="1">
            <wp:simplePos x="0" y="0"/>
            <wp:positionH relativeFrom="column">
              <wp:posOffset>28575</wp:posOffset>
            </wp:positionH>
            <wp:positionV relativeFrom="paragraph">
              <wp:posOffset>165100</wp:posOffset>
            </wp:positionV>
            <wp:extent cx="4867275" cy="2495550"/>
            <wp:effectExtent l="4445" t="4445" r="5080"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eastAsia="仿宋_GB2312" w:cs="仿宋_GB2312"/>
          <w:sz w:val="32"/>
          <w:szCs w:val="32"/>
        </w:rPr>
        <w:t>（图3：支出决算结构图）</w:t>
      </w:r>
    </w:p>
    <w:p>
      <w:pPr>
        <w:spacing w:line="600" w:lineRule="exact"/>
        <w:ind w:firstLine="640" w:firstLineChars="200"/>
        <w:outlineLvl w:val="1"/>
        <w:rPr>
          <w:rStyle w:val="29"/>
          <w:rFonts w:ascii="Times New Roman" w:hAnsi="Times New Roman" w:eastAsia="黑体"/>
          <w:b w:val="0"/>
        </w:rPr>
      </w:pPr>
      <w:bookmarkStart w:id="30" w:name="_Toc15396606"/>
      <w:bookmarkStart w:id="31"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30"/>
      <w:bookmarkEnd w:id="31"/>
    </w:p>
    <w:p>
      <w:pPr>
        <w:pStyle w:val="27"/>
        <w:spacing w:line="600" w:lineRule="exact"/>
        <w:ind w:firstLine="640"/>
        <w:outlineLvl w:val="1"/>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1048.14</w:t>
      </w:r>
      <w:r>
        <w:rPr>
          <w:rFonts w:hint="eastAsia" w:eastAsia="仿宋_GB2312" w:cs="仿宋_GB2312"/>
          <w:sz w:val="32"/>
          <w:szCs w:val="32"/>
        </w:rPr>
        <w:t>万元。与2023年度相比，财政拨款收入、支出总计各减少149.16万元，下降12.46%。主要变动原因是人员经费和项目经费减少。</w:t>
      </w:r>
    </w:p>
    <w:p>
      <w:pPr>
        <w:spacing w:line="600" w:lineRule="exact"/>
        <w:ind w:firstLine="640" w:firstLineChars="200"/>
        <w:rPr>
          <w:rFonts w:eastAsia="仿宋_GB2312" w:cs="仿宋_GB2312"/>
          <w:sz w:val="32"/>
          <w:szCs w:val="32"/>
        </w:rPr>
      </w:pPr>
      <w:r>
        <w:rPr>
          <w:rFonts w:hint="eastAsia" w:eastAsia="仿宋_GB2312" w:cs="仿宋_GB2312"/>
          <w:color w:val="FF0000"/>
          <w:sz w:val="32"/>
          <w:szCs w:val="32"/>
        </w:rPr>
        <w:drawing>
          <wp:anchor distT="0" distB="0" distL="114300" distR="114300" simplePos="0" relativeHeight="251661312" behindDoc="0" locked="0" layoutInCell="1" allowOverlap="1">
            <wp:simplePos x="0" y="0"/>
            <wp:positionH relativeFrom="column">
              <wp:posOffset>95250</wp:posOffset>
            </wp:positionH>
            <wp:positionV relativeFrom="paragraph">
              <wp:posOffset>129540</wp:posOffset>
            </wp:positionV>
            <wp:extent cx="5162550" cy="3486150"/>
            <wp:effectExtent l="4445" t="4445" r="14605" b="1460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eastAsia="仿宋_GB2312" w:cs="仿宋_GB2312"/>
          <w:sz w:val="32"/>
          <w:szCs w:val="32"/>
        </w:rPr>
        <w:t>（图4：财政拨款收、支决算总计变动情况）</w:t>
      </w:r>
    </w:p>
    <w:p>
      <w:pPr>
        <w:spacing w:line="600" w:lineRule="exact"/>
        <w:ind w:firstLine="640"/>
        <w:rPr>
          <w:rFonts w:eastAsia="仿宋_GB2312" w:cs="仿宋_GB2312"/>
          <w:sz w:val="32"/>
          <w:szCs w:val="32"/>
        </w:rPr>
      </w:pPr>
    </w:p>
    <w:p>
      <w:pPr>
        <w:spacing w:line="600" w:lineRule="exact"/>
        <w:ind w:firstLine="640" w:firstLineChars="200"/>
        <w:outlineLvl w:val="1"/>
        <w:rPr>
          <w:rStyle w:val="29"/>
          <w:rFonts w:ascii="Times New Roman" w:hAnsi="Times New Roman" w:eastAsia="黑体"/>
          <w:b w:val="0"/>
        </w:rPr>
      </w:pPr>
      <w:bookmarkStart w:id="32" w:name="_Toc15377209"/>
      <w:bookmarkStart w:id="33"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32"/>
      <w:bookmarkEnd w:id="33"/>
    </w:p>
    <w:p>
      <w:pPr>
        <w:spacing w:line="600" w:lineRule="exact"/>
        <w:ind w:firstLine="640" w:firstLineChars="200"/>
        <w:outlineLvl w:val="2"/>
        <w:rPr>
          <w:rFonts w:eastAsia="楷体_GB2312" w:cs="楷体_GB2312"/>
          <w:b/>
          <w:sz w:val="32"/>
          <w:szCs w:val="32"/>
        </w:rPr>
      </w:pPr>
      <w:bookmarkStart w:id="34" w:name="_Toc15377210"/>
      <w:r>
        <w:rPr>
          <w:rFonts w:hint="eastAsia" w:eastAsia="楷体_GB2312" w:cs="楷体_GB2312"/>
          <w:b/>
          <w:sz w:val="32"/>
          <w:szCs w:val="32"/>
        </w:rPr>
        <w:t>（一）一般公共预算财政拨款支出决算总体情况</w:t>
      </w:r>
      <w:bookmarkEnd w:id="34"/>
    </w:p>
    <w:p>
      <w:pPr>
        <w:pStyle w:val="27"/>
        <w:spacing w:line="600" w:lineRule="exact"/>
        <w:ind w:firstLine="640"/>
        <w:outlineLvl w:val="1"/>
        <w:rPr>
          <w:rFonts w:eastAsia="仿宋_GB2312" w:cs="仿宋_GB2312"/>
          <w:sz w:val="32"/>
          <w:szCs w:val="32"/>
        </w:rPr>
      </w:pPr>
      <w:r>
        <w:rPr>
          <w:rFonts w:hint="eastAsia" w:ascii="仿宋_GB2312" w:hAnsi="仿宋_GB2312" w:eastAsia="仿宋_GB2312" w:cs="仿宋_GB2312"/>
          <w:sz w:val="32"/>
          <w:szCs w:val="32"/>
        </w:rPr>
        <w:t>2024年度一般公共预算财政拨款支出1048.14万元，占本年支出合计的100%。与2023年度相比，一般公共预算财政拨款支出减少149.16万元，下降12.46%。</w:t>
      </w:r>
      <w:r>
        <w:rPr>
          <w:rFonts w:hint="eastAsia" w:eastAsia="仿宋_GB2312" w:cs="仿宋_GB2312"/>
          <w:sz w:val="32"/>
          <w:szCs w:val="32"/>
        </w:rPr>
        <w:t>主要变动原因</w:t>
      </w:r>
      <w:r>
        <w:rPr>
          <w:rFonts w:hint="eastAsia"/>
        </w:rPr>
        <w:drawing>
          <wp:anchor distT="0" distB="0" distL="114300" distR="114300" simplePos="0" relativeHeight="251667456" behindDoc="0" locked="0" layoutInCell="1" allowOverlap="1">
            <wp:simplePos x="0" y="0"/>
            <wp:positionH relativeFrom="column">
              <wp:posOffset>0</wp:posOffset>
            </wp:positionH>
            <wp:positionV relativeFrom="paragraph">
              <wp:posOffset>411480</wp:posOffset>
            </wp:positionV>
            <wp:extent cx="4867275" cy="2400300"/>
            <wp:effectExtent l="4445" t="4445" r="5080" b="1460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eastAsia="仿宋_GB2312" w:cs="仿宋_GB2312"/>
          <w:sz w:val="32"/>
          <w:szCs w:val="32"/>
        </w:rPr>
        <w:t>是人员经费和项目经费减少。</w:t>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pPr>
        <w:spacing w:line="600" w:lineRule="exact"/>
        <w:ind w:firstLine="640" w:firstLineChars="200"/>
        <w:outlineLvl w:val="2"/>
        <w:rPr>
          <w:rFonts w:eastAsia="楷体_GB2312" w:cs="楷体_GB2312"/>
          <w:b/>
          <w:sz w:val="32"/>
          <w:szCs w:val="32"/>
        </w:rPr>
      </w:pPr>
      <w:bookmarkStart w:id="35" w:name="_Toc15377211"/>
      <w:r>
        <w:rPr>
          <w:rFonts w:hint="eastAsia" w:eastAsia="楷体_GB2312" w:cs="楷体_GB2312"/>
          <w:b/>
          <w:sz w:val="32"/>
          <w:szCs w:val="32"/>
        </w:rPr>
        <w:t>（二）一般公共预算财政拨款支出决算结构情况</w:t>
      </w:r>
      <w:bookmarkEnd w:id="35"/>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1048.14万元</w:t>
      </w:r>
      <w:r>
        <w:rPr>
          <w:rFonts w:hint="eastAsia" w:eastAsia="仿宋_GB2312" w:cs="仿宋_GB2312"/>
          <w:sz w:val="32"/>
          <w:szCs w:val="32"/>
        </w:rPr>
        <w:t>，主要用于以下方面：一般公共服务支出818.2</w:t>
      </w:r>
      <w:r>
        <w:rPr>
          <w:rFonts w:eastAsia="仿宋_GB2312" w:cs="仿宋_GB2312"/>
          <w:sz w:val="32"/>
          <w:szCs w:val="32"/>
        </w:rPr>
        <w:t>0</w:t>
      </w:r>
      <w:r>
        <w:rPr>
          <w:rFonts w:hint="eastAsia" w:eastAsia="仿宋_GB2312" w:cs="仿宋_GB2312"/>
          <w:sz w:val="32"/>
          <w:szCs w:val="32"/>
        </w:rPr>
        <w:t>万元，占78.06%；社会保障和就业支出115.52万元，占11.02%；卫生健康支出58.6万元，占5.59%；住房保障支出55.82万元，占5.33%。</w:t>
      </w:r>
    </w:p>
    <w:p>
      <w:pPr>
        <w:spacing w:line="600" w:lineRule="exact"/>
        <w:rPr>
          <w:rFonts w:eastAsia="仿宋_GB2312" w:cs="仿宋_GB2312"/>
          <w:sz w:val="32"/>
          <w:szCs w:val="32"/>
        </w:rPr>
      </w:pPr>
      <w:r>
        <w:rPr>
          <w:rFonts w:eastAsia="仿宋_GB2312" w:cs="仿宋_GB2312"/>
          <w:sz w:val="32"/>
          <w:szCs w:val="32"/>
        </w:rPr>
        <w:drawing>
          <wp:anchor distT="0" distB="0" distL="114300" distR="114300" simplePos="0" relativeHeight="251668480" behindDoc="0" locked="0" layoutInCell="1" allowOverlap="1">
            <wp:simplePos x="0" y="0"/>
            <wp:positionH relativeFrom="column">
              <wp:posOffset>171450</wp:posOffset>
            </wp:positionH>
            <wp:positionV relativeFrom="paragraph">
              <wp:posOffset>76200</wp:posOffset>
            </wp:positionV>
            <wp:extent cx="5124450" cy="2514600"/>
            <wp:effectExtent l="4445" t="4445" r="14605" b="1460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pPr>
        <w:spacing w:line="600" w:lineRule="exact"/>
        <w:ind w:firstLine="640" w:firstLineChars="200"/>
        <w:outlineLvl w:val="2"/>
        <w:rPr>
          <w:rFonts w:eastAsia="楷体_GB2312" w:cs="楷体_GB2312"/>
          <w:b/>
          <w:sz w:val="32"/>
          <w:szCs w:val="32"/>
        </w:rPr>
      </w:pPr>
      <w:bookmarkStart w:id="36" w:name="_Toc15377212"/>
      <w:r>
        <w:rPr>
          <w:rFonts w:hint="eastAsia" w:eastAsia="楷体_GB2312" w:cs="楷体_GB2312"/>
          <w:b/>
          <w:sz w:val="32"/>
          <w:szCs w:val="32"/>
        </w:rPr>
        <w:t>（三）一般公共预算财政拨款支出决算具体情况</w:t>
      </w:r>
      <w:bookmarkEnd w:id="36"/>
    </w:p>
    <w:p>
      <w:pPr>
        <w:spacing w:line="600" w:lineRule="exact"/>
        <w:ind w:firstLine="640"/>
        <w:rPr>
          <w:rFonts w:eastAsia="仿宋_GB2312" w:cs="仿宋_GB2312"/>
          <w:sz w:val="32"/>
          <w:szCs w:val="32"/>
        </w:rPr>
      </w:pPr>
      <w:bookmarkStart w:id="37" w:name="_Toc15377213"/>
      <w:bookmarkStart w:id="38" w:name="_Toc15377444"/>
      <w:bookmarkStart w:id="39"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1048.14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完成预算100%。其中：</w:t>
      </w:r>
      <w:bookmarkEnd w:id="37"/>
      <w:bookmarkEnd w:id="38"/>
      <w:bookmarkEnd w:id="39"/>
    </w:p>
    <w:p>
      <w:pPr>
        <w:spacing w:line="600" w:lineRule="exact"/>
        <w:ind w:firstLine="640"/>
        <w:rPr>
          <w:rFonts w:eastAsia="仿宋_GB2312" w:cs="仿宋_GB2312"/>
          <w:sz w:val="32"/>
          <w:szCs w:val="32"/>
        </w:rPr>
      </w:pPr>
      <w:r>
        <w:rPr>
          <w:rFonts w:hint="eastAsia" w:eastAsia="仿宋_GB2312" w:cs="仿宋_GB2312"/>
          <w:sz w:val="32"/>
          <w:szCs w:val="32"/>
        </w:rPr>
        <w:t>1.一般公共服务支出（类）政府办公厅（室）及相关机构事务（款）行政运行（项）:支出决算为292.62万元，完成预算100%。</w:t>
      </w:r>
    </w:p>
    <w:p>
      <w:pPr>
        <w:spacing w:line="600" w:lineRule="exact"/>
        <w:ind w:firstLine="640"/>
        <w:rPr>
          <w:rFonts w:eastAsia="仿宋_GB2312" w:cs="仿宋_GB2312"/>
          <w:sz w:val="32"/>
          <w:szCs w:val="32"/>
        </w:rPr>
      </w:pPr>
      <w:r>
        <w:rPr>
          <w:rFonts w:hint="eastAsia" w:eastAsia="仿宋_GB2312" w:cs="仿宋_GB2312"/>
          <w:sz w:val="32"/>
          <w:szCs w:val="32"/>
        </w:rPr>
        <w:t>一般公共服务支出（类）政府办公厅（室）及相关机构事务（款）政务公开审批（项）: 支出决算为165.26万元，完成预算100%。</w:t>
      </w:r>
    </w:p>
    <w:p>
      <w:pPr>
        <w:spacing w:line="600" w:lineRule="exact"/>
        <w:ind w:firstLine="640" w:firstLineChars="200"/>
        <w:rPr>
          <w:rFonts w:eastAsia="仿宋_GB2312" w:cs="仿宋_GB2312"/>
          <w:sz w:val="32"/>
          <w:szCs w:val="32"/>
        </w:rPr>
      </w:pPr>
      <w:r>
        <w:rPr>
          <w:rFonts w:hint="eastAsia" w:eastAsia="仿宋_GB2312" w:cs="仿宋_GB2312"/>
          <w:sz w:val="32"/>
          <w:szCs w:val="32"/>
        </w:rPr>
        <w:t xml:space="preserve">一般公共服务支出（类）政府办公厅（室）及相关机构事务（款）事业运行（项）: </w:t>
      </w:r>
      <w:r>
        <w:rPr>
          <w:rFonts w:hint="eastAsia" w:ascii="仿宋" w:hAnsi="仿宋" w:eastAsia="仿宋"/>
          <w:sz w:val="32"/>
        </w:rPr>
        <w:t>支出决算为</w:t>
      </w:r>
      <w:r>
        <w:rPr>
          <w:rFonts w:ascii="仿宋" w:hAnsi="仿宋" w:eastAsia="仿宋"/>
          <w:sz w:val="32"/>
        </w:rPr>
        <w:t>33</w:t>
      </w:r>
      <w:r>
        <w:rPr>
          <w:rFonts w:hint="eastAsia" w:ascii="仿宋" w:hAnsi="仿宋" w:eastAsia="仿宋"/>
          <w:sz w:val="32"/>
        </w:rPr>
        <w:t>7.32万元，完成预算100%。</w:t>
      </w:r>
    </w:p>
    <w:p>
      <w:pPr>
        <w:spacing w:line="600" w:lineRule="exact"/>
        <w:ind w:firstLine="640"/>
        <w:rPr>
          <w:rFonts w:eastAsia="仿宋_GB2312" w:cs="仿宋_GB2312"/>
          <w:sz w:val="32"/>
          <w:szCs w:val="32"/>
        </w:rPr>
      </w:pPr>
      <w:r>
        <w:rPr>
          <w:rFonts w:hint="eastAsia" w:eastAsia="仿宋_GB2312" w:cs="仿宋_GB2312"/>
          <w:sz w:val="32"/>
          <w:szCs w:val="32"/>
        </w:rPr>
        <w:t>一般公共服务支出（类）政府办公厅（室）及相关机构事务（款）其他政府办公厅（室）及相关机构事务支出（项）：支出决算为22.15万元，完成预算100%。</w:t>
      </w:r>
    </w:p>
    <w:p>
      <w:pPr>
        <w:spacing w:line="600" w:lineRule="exact"/>
        <w:ind w:firstLine="640"/>
        <w:rPr>
          <w:rFonts w:eastAsia="仿宋_GB2312" w:cs="仿宋_GB2312"/>
          <w:sz w:val="32"/>
          <w:szCs w:val="32"/>
        </w:rPr>
      </w:pPr>
      <w:r>
        <w:rPr>
          <w:rFonts w:hint="eastAsia" w:eastAsia="仿宋_GB2312" w:cs="仿宋_GB2312"/>
          <w:sz w:val="32"/>
          <w:szCs w:val="32"/>
        </w:rPr>
        <w:t>一般公共服务支出（类）党委办公厅（室）及相关机构事务（款）专项业务（项）：支出决算为0.85万元，完成预算100%。</w:t>
      </w:r>
    </w:p>
    <w:p>
      <w:pPr>
        <w:spacing w:line="600" w:lineRule="exact"/>
        <w:ind w:firstLine="640"/>
        <w:rPr>
          <w:rFonts w:eastAsia="仿宋_GB2312" w:cs="仿宋_GB2312"/>
          <w:sz w:val="32"/>
          <w:szCs w:val="32"/>
        </w:rPr>
      </w:pPr>
      <w:r>
        <w:rPr>
          <w:rFonts w:hint="eastAsia" w:eastAsia="仿宋_GB2312" w:cs="仿宋_GB2312"/>
          <w:sz w:val="32"/>
          <w:szCs w:val="32"/>
        </w:rPr>
        <w:t>2.社会保障和就业（类）行政事业单位养老支出（款）行政单位离退休（项）: 支出决算为5.08万元，完成预算100%。</w:t>
      </w:r>
    </w:p>
    <w:p>
      <w:pPr>
        <w:spacing w:line="600" w:lineRule="exact"/>
        <w:ind w:firstLine="640"/>
        <w:rPr>
          <w:rFonts w:eastAsia="仿宋_GB2312" w:cs="仿宋_GB2312"/>
          <w:sz w:val="32"/>
          <w:szCs w:val="32"/>
        </w:rPr>
      </w:pPr>
      <w:r>
        <w:rPr>
          <w:rFonts w:hint="eastAsia" w:eastAsia="仿宋_GB2312" w:cs="仿宋_GB2312"/>
          <w:sz w:val="32"/>
          <w:szCs w:val="32"/>
        </w:rPr>
        <w:t>社会保障和就业支出（类）行政事业单位养老支出（款）事业单位离退休（项）: 支出决算为1.89万元，完成预算100%。</w:t>
      </w:r>
    </w:p>
    <w:p>
      <w:pPr>
        <w:spacing w:line="600" w:lineRule="exact"/>
        <w:ind w:firstLine="640"/>
        <w:rPr>
          <w:rFonts w:eastAsia="仿宋_GB2312" w:cs="仿宋_GB2312"/>
          <w:sz w:val="32"/>
          <w:szCs w:val="32"/>
        </w:rPr>
      </w:pPr>
      <w:r>
        <w:rPr>
          <w:rFonts w:hint="eastAsia" w:eastAsia="仿宋_GB2312" w:cs="仿宋_GB2312"/>
          <w:sz w:val="32"/>
          <w:szCs w:val="32"/>
        </w:rPr>
        <w:t>社会保障和就业支出（类）行政事业单位养老支出（款）机关事业单位基本养老保险缴费支出（项）: 支出决算为71.59万元，完成预算100%。</w:t>
      </w:r>
    </w:p>
    <w:p>
      <w:pPr>
        <w:spacing w:line="600" w:lineRule="exact"/>
        <w:ind w:firstLine="640"/>
        <w:rPr>
          <w:rFonts w:eastAsia="仿宋_GB2312" w:cs="仿宋_GB2312"/>
          <w:sz w:val="32"/>
          <w:szCs w:val="32"/>
        </w:rPr>
      </w:pPr>
      <w:r>
        <w:rPr>
          <w:rFonts w:hint="eastAsia" w:eastAsia="仿宋_GB2312" w:cs="仿宋_GB2312"/>
          <w:sz w:val="32"/>
          <w:szCs w:val="32"/>
        </w:rPr>
        <w:t>社会保障和就业支出（类）行政事业单位养老支出（款）机关事业单位职业年金缴费支出（项）: 支出决算为36.96万元，完成预算100%。</w:t>
      </w:r>
    </w:p>
    <w:p>
      <w:pPr>
        <w:spacing w:line="600" w:lineRule="exact"/>
        <w:ind w:firstLine="640"/>
        <w:rPr>
          <w:rFonts w:eastAsia="仿宋_GB2312" w:cs="仿宋_GB2312"/>
          <w:sz w:val="32"/>
          <w:szCs w:val="32"/>
        </w:rPr>
      </w:pPr>
      <w:r>
        <w:rPr>
          <w:rFonts w:hint="eastAsia" w:eastAsia="仿宋_GB2312" w:cs="仿宋_GB2312"/>
          <w:sz w:val="32"/>
          <w:szCs w:val="32"/>
        </w:rPr>
        <w:t>3.卫生健康（类）行政事业单位医疗（款）行政单位医疗（项）:支出决算为15.2万元，完成预算100%。</w:t>
      </w:r>
    </w:p>
    <w:p>
      <w:pPr>
        <w:spacing w:line="600" w:lineRule="exact"/>
        <w:ind w:firstLine="640"/>
        <w:rPr>
          <w:rFonts w:eastAsia="仿宋_GB2312" w:cs="仿宋_GB2312"/>
          <w:sz w:val="32"/>
          <w:szCs w:val="32"/>
        </w:rPr>
      </w:pPr>
      <w:r>
        <w:rPr>
          <w:rFonts w:hint="eastAsia" w:eastAsia="仿宋_GB2312" w:cs="仿宋_GB2312"/>
          <w:sz w:val="32"/>
          <w:szCs w:val="32"/>
        </w:rPr>
        <w:t>卫生健康支出（类）行政事业单位医疗（款）事业单位医疗（项）: 支出决算为23.45万元，完成预算100%。</w:t>
      </w:r>
    </w:p>
    <w:p>
      <w:pPr>
        <w:spacing w:line="600" w:lineRule="exact"/>
        <w:ind w:firstLine="640"/>
        <w:rPr>
          <w:rFonts w:eastAsia="仿宋_GB2312" w:cs="仿宋_GB2312"/>
          <w:sz w:val="32"/>
          <w:szCs w:val="32"/>
        </w:rPr>
      </w:pPr>
      <w:r>
        <w:rPr>
          <w:rFonts w:hint="eastAsia" w:eastAsia="仿宋_GB2312" w:cs="仿宋_GB2312"/>
          <w:sz w:val="32"/>
          <w:szCs w:val="32"/>
        </w:rPr>
        <w:t>卫生健康支出（类）行政事业单位医疗（款）公务员医疗补助（项）: 支出决算为19.95万元，完成预算100%。</w:t>
      </w:r>
    </w:p>
    <w:p>
      <w:pPr>
        <w:spacing w:line="600" w:lineRule="exact"/>
        <w:ind w:firstLine="640"/>
        <w:rPr>
          <w:rFonts w:eastAsia="仿宋_GB2312" w:cs="仿宋_GB2312"/>
          <w:sz w:val="32"/>
          <w:szCs w:val="32"/>
        </w:rPr>
      </w:pPr>
      <w:r>
        <w:rPr>
          <w:rFonts w:hint="eastAsia" w:eastAsia="仿宋_GB2312" w:cs="仿宋_GB2312"/>
          <w:sz w:val="32"/>
          <w:szCs w:val="32"/>
        </w:rPr>
        <w:t>4.住房保障支出（类）住房改革支出（款）住房公积金（项）:支出决算为55.82万元，完成预算100%。</w:t>
      </w:r>
    </w:p>
    <w:p>
      <w:pPr>
        <w:tabs>
          <w:tab w:val="right" w:pos="8306"/>
        </w:tabs>
        <w:spacing w:line="600" w:lineRule="exact"/>
        <w:ind w:firstLine="640"/>
        <w:outlineLvl w:val="1"/>
        <w:rPr>
          <w:rStyle w:val="29"/>
          <w:rFonts w:ascii="Times New Roman" w:hAnsi="Times New Roman"/>
        </w:rPr>
      </w:pPr>
      <w:bookmarkStart w:id="40" w:name="_Toc15396608"/>
      <w:bookmarkStart w:id="41"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40"/>
      <w:bookmarkEnd w:id="41"/>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859.87万</w:t>
      </w:r>
      <w:r>
        <w:rPr>
          <w:rFonts w:hint="eastAsia" w:eastAsia="仿宋_GB2312" w:cs="仿宋_GB2312"/>
          <w:sz w:val="32"/>
          <w:szCs w:val="32"/>
        </w:rPr>
        <w:t>元，其中：</w:t>
      </w:r>
    </w:p>
    <w:p>
      <w:pPr>
        <w:ind w:firstLine="640" w:firstLineChars="20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814.07万</w:t>
      </w:r>
      <w:r>
        <w:rPr>
          <w:rFonts w:hint="eastAsia" w:eastAsia="仿宋_GB2312" w:cs="仿宋_GB2312"/>
          <w:sz w:val="32"/>
          <w:szCs w:val="32"/>
        </w:rPr>
        <w:t>元，主要包括：基本工资166.38万元、津贴补贴72.57万元、奖金65.82万元、绩效工资185.69万元、机关事业单位基本养老保险缴费71.59万元、职业年金缴费36.96万元、职工基本医疗保险缴费38.65万元、公务员医疗补助缴费19.95万元、其他社会保障缴费2.47万元、住房公积金55.82万元、其他工资福利支出91.46万元、生活补助6.05万元、医疗费补助0.66万元、离休费0万元、退休费0万元、退职（役）费0万元、抚恤金</w:t>
      </w:r>
      <w:r>
        <w:rPr>
          <w:rFonts w:eastAsia="仿宋_GB2312" w:cs="仿宋_GB2312"/>
          <w:sz w:val="32"/>
          <w:szCs w:val="32"/>
        </w:rPr>
        <w:t>0</w:t>
      </w:r>
      <w:r>
        <w:rPr>
          <w:rFonts w:hint="eastAsia" w:eastAsia="仿宋_GB2312" w:cs="仿宋_GB2312"/>
          <w:sz w:val="32"/>
          <w:szCs w:val="32"/>
        </w:rPr>
        <w:t>万元、救济费0万元、助学金0万元、奖励金0万元、个人农业生产补贴0万元、代缴社会保险0万元、其他对个人和家庭的补助支出0万元等。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4</w:t>
      </w:r>
      <w:r>
        <w:rPr>
          <w:rFonts w:hint="eastAsia" w:eastAsia="仿宋_GB2312" w:cs="仿宋_GB2312"/>
          <w:sz w:val="32"/>
          <w:szCs w:val="32"/>
        </w:rPr>
        <w:t>5.81万元，主要包括：办公费9.43万元、印刷费0万元、咨询费0万元、手续费0万元、水费0.05万元、电费2.87万元、邮电费1.68万元、取暖费0万元、物业管理费0万元、差旅费3.25万元、因公出国（境）费用0万元、维修（护）费0.24万元、、租赁费</w:t>
      </w:r>
      <w:r>
        <w:rPr>
          <w:rFonts w:eastAsia="仿宋_GB2312" w:cs="仿宋_GB2312"/>
          <w:sz w:val="32"/>
          <w:szCs w:val="32"/>
        </w:rPr>
        <w:t>0</w:t>
      </w:r>
      <w:r>
        <w:rPr>
          <w:rFonts w:hint="eastAsia" w:eastAsia="仿宋_GB2312" w:cs="仿宋_GB2312"/>
          <w:sz w:val="32"/>
          <w:szCs w:val="32"/>
        </w:rPr>
        <w:t>万元、会议费0.62万元、培训费</w:t>
      </w:r>
      <w:r>
        <w:rPr>
          <w:rFonts w:eastAsia="仿宋_GB2312" w:cs="仿宋_GB2312"/>
          <w:sz w:val="32"/>
          <w:szCs w:val="32"/>
        </w:rPr>
        <w:t>0</w:t>
      </w:r>
      <w:r>
        <w:rPr>
          <w:rFonts w:hint="eastAsia" w:eastAsia="仿宋_GB2312" w:cs="仿宋_GB2312"/>
          <w:sz w:val="32"/>
          <w:szCs w:val="32"/>
        </w:rPr>
        <w:t>万元、公务接待费0.8万元、、专用材料费0万元， 被装购置费0万元、专用燃料费0万元，劳务费1.7万元、委托业务费1.87万元、工会经费10.86万元、福利费</w:t>
      </w:r>
      <w:r>
        <w:rPr>
          <w:rFonts w:eastAsia="仿宋_GB2312" w:cs="仿宋_GB2312"/>
          <w:sz w:val="32"/>
          <w:szCs w:val="32"/>
        </w:rPr>
        <w:t>0</w:t>
      </w:r>
      <w:r>
        <w:rPr>
          <w:rFonts w:hint="eastAsia" w:eastAsia="仿宋_GB2312" w:cs="仿宋_GB2312"/>
          <w:sz w:val="32"/>
          <w:szCs w:val="32"/>
        </w:rPr>
        <w:t>万元、公务用车运行维护费0.68万元、其他交通费11.41万元、税金及附加费用0万元、其他商品和服务支出0.35万元、国内债务付息0万元、国外债务付息0万元、国内债务发行费用0万元、国外债务发行费用0万元、房屋建筑物构建0万元、办公设备购置0万元、专用设备购置0万元、基础设施建设0万元、大型修缮0万元、信息网络及软件购置更新0万元、物资储备0万元、土地补偿0万元、安置补助0万元、地上附着物和青苗补偿0万元、拆迁补偿0万元、公务用车购置0万元、其他交通工具购置0万元、文物和陈列品购置0万元、无形资产购置0万元、其他资本性支出0万元、资本金注入0万元、政府投资基金股权投资0万元、费用补贴0万元、利息补贴0万元、其他对企业补助0万元、赠与0万元、国家赔偿费用支出0万元、对民间非营利组织和群众性自治组织补贴0万元、其他支出0万元。</w:t>
      </w:r>
    </w:p>
    <w:p>
      <w:pPr>
        <w:spacing w:line="600" w:lineRule="exact"/>
        <w:ind w:firstLine="640"/>
        <w:outlineLvl w:val="1"/>
        <w:rPr>
          <w:rStyle w:val="29"/>
          <w:rFonts w:ascii="Times New Roman" w:hAnsi="Times New Roman" w:eastAsia="黑体"/>
          <w:b w:val="0"/>
        </w:rPr>
      </w:pPr>
      <w:bookmarkStart w:id="42" w:name="_Toc15377215"/>
      <w:bookmarkStart w:id="43"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42"/>
      <w:bookmarkEnd w:id="43"/>
    </w:p>
    <w:p>
      <w:pPr>
        <w:spacing w:line="600" w:lineRule="exact"/>
        <w:ind w:firstLine="640" w:firstLineChars="200"/>
        <w:outlineLvl w:val="2"/>
        <w:rPr>
          <w:rFonts w:eastAsia="楷体_GB2312" w:cs="楷体_GB2312"/>
          <w:b/>
          <w:sz w:val="32"/>
          <w:szCs w:val="32"/>
        </w:rPr>
      </w:pPr>
      <w:bookmarkStart w:id="44" w:name="_Toc15377216"/>
      <w:r>
        <w:rPr>
          <w:rFonts w:hint="eastAsia" w:eastAsia="楷体_GB2312" w:cs="楷体_GB2312"/>
          <w:b/>
          <w:sz w:val="32"/>
          <w:szCs w:val="32"/>
        </w:rPr>
        <w:t>（一）“三公”经费财政拨款支出决算总体情况说明</w:t>
      </w:r>
      <w:bookmarkEnd w:id="44"/>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1.48万元，完成预算100%，</w:t>
      </w:r>
      <w:r>
        <w:rPr>
          <w:rFonts w:hint="eastAsia" w:eastAsia="仿宋_GB2312" w:cs="仿宋_GB2312"/>
          <w:sz w:val="32"/>
          <w:szCs w:val="32"/>
        </w:rPr>
        <w:t>较上年度增加0.09万元，增长6.47%。决算数小于预算数</w:t>
      </w:r>
      <w:r>
        <w:rPr>
          <w:rFonts w:hint="eastAsia" w:ascii="仿宋_GB2312" w:hAnsi="仿宋_GB2312" w:eastAsia="仿宋_GB2312"/>
          <w:sz w:val="32"/>
          <w:lang w:val="zh-CN"/>
        </w:rPr>
        <w:t>的主要原因是</w:t>
      </w:r>
      <w:r>
        <w:rPr>
          <w:rFonts w:hint="eastAsia" w:ascii="仿宋" w:hAnsi="仿宋" w:eastAsia="仿宋"/>
          <w:sz w:val="32"/>
        </w:rPr>
        <w:t>厉行节约。较上年度增长的</w:t>
      </w:r>
      <w:r>
        <w:rPr>
          <w:rFonts w:hint="eastAsia" w:ascii="仿宋_GB2312" w:eastAsia="仿宋_GB2312"/>
          <w:sz w:val="32"/>
          <w:szCs w:val="32"/>
        </w:rPr>
        <w:t>主要原因是本年</w:t>
      </w:r>
      <w:r>
        <w:rPr>
          <w:rFonts w:ascii="仿宋_GB2312" w:eastAsia="仿宋_GB2312"/>
          <w:sz w:val="32"/>
          <w:szCs w:val="32"/>
        </w:rPr>
        <w:t>接待</w:t>
      </w:r>
      <w:r>
        <w:rPr>
          <w:rFonts w:hint="eastAsia" w:ascii="仿宋_GB2312" w:eastAsia="仿宋_GB2312"/>
          <w:sz w:val="32"/>
          <w:szCs w:val="32"/>
          <w:lang w:val="en-US" w:eastAsia="zh-CN"/>
        </w:rPr>
        <w:t>费和接待</w:t>
      </w:r>
      <w:r>
        <w:rPr>
          <w:rFonts w:ascii="仿宋_GB2312" w:eastAsia="仿宋_GB2312"/>
          <w:sz w:val="32"/>
          <w:szCs w:val="32"/>
        </w:rPr>
        <w:t>人</w:t>
      </w:r>
      <w:r>
        <w:rPr>
          <w:rFonts w:hint="eastAsia" w:ascii="仿宋_GB2312" w:eastAsia="仿宋_GB2312"/>
          <w:sz w:val="32"/>
          <w:szCs w:val="32"/>
        </w:rPr>
        <w:t>次</w:t>
      </w:r>
      <w:r>
        <w:rPr>
          <w:rFonts w:ascii="仿宋_GB2312" w:eastAsia="仿宋_GB2312"/>
          <w:sz w:val="32"/>
          <w:szCs w:val="32"/>
        </w:rPr>
        <w:t>增加</w:t>
      </w:r>
      <w:r>
        <w:rPr>
          <w:rFonts w:hint="eastAsia" w:ascii="仿宋" w:hAnsi="仿宋" w:eastAsia="仿宋"/>
          <w:sz w:val="32"/>
          <w:szCs w:val="32"/>
        </w:rPr>
        <w:t>。</w:t>
      </w:r>
    </w:p>
    <w:p>
      <w:pPr>
        <w:spacing w:line="600" w:lineRule="exact"/>
        <w:ind w:firstLine="640" w:firstLineChars="200"/>
        <w:outlineLvl w:val="2"/>
        <w:rPr>
          <w:rFonts w:eastAsia="楷体_GB2312" w:cs="楷体_GB2312"/>
          <w:b/>
          <w:sz w:val="32"/>
          <w:szCs w:val="32"/>
        </w:rPr>
      </w:pPr>
      <w:bookmarkStart w:id="45" w:name="_Toc15377217"/>
      <w:r>
        <w:rPr>
          <w:rFonts w:hint="eastAsia" w:eastAsia="楷体_GB2312" w:cs="楷体_GB2312"/>
          <w:b/>
          <w:sz w:val="32"/>
          <w:szCs w:val="32"/>
        </w:rPr>
        <w:t>（二）“三公”经费财政拨款支出决算具体情况说明</w:t>
      </w:r>
      <w:bookmarkEnd w:id="45"/>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2024年度“三公”经费财政拨款支出决算中，因公出国（境）费支出决算0万元，占0%；公务用车购置及运行维护费支出决算0.68万元，占45.95%；公务接待费支出决算0.8万元，占54.05%。具体情况如下：</w:t>
      </w:r>
    </w:p>
    <w:p>
      <w:pPr>
        <w:pStyle w:val="3"/>
        <w:spacing w:line="360" w:lineRule="auto"/>
        <w:ind w:left="0" w:leftChars="0" w:firstLine="0" w:firstLineChars="0"/>
      </w:pPr>
      <w:r>
        <w:rPr>
          <w:rFonts w:hint="eastAsia"/>
        </w:rPr>
        <w:drawing>
          <wp:inline distT="0" distB="0" distL="0" distR="0">
            <wp:extent cx="4757420" cy="2579370"/>
            <wp:effectExtent l="4445" t="4445" r="19685" b="698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w:t>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0.68万</w:t>
      </w:r>
      <w:r>
        <w:rPr>
          <w:rFonts w:hint="eastAsia" w:eastAsia="仿宋_GB2312" w:cs="仿宋_GB2312"/>
          <w:b/>
          <w:bCs/>
          <w:sz w:val="32"/>
          <w:szCs w:val="32"/>
        </w:rPr>
        <w:t>元，完成预算37.8%。</w:t>
      </w:r>
      <w:r>
        <w:rPr>
          <w:rFonts w:hint="eastAsia" w:eastAsia="仿宋_GB2312" w:cs="仿宋_GB2312"/>
          <w:sz w:val="32"/>
          <w:szCs w:val="32"/>
        </w:rPr>
        <w:t>公务用车购置及运行维护费支出决算比2023年度减少0.11万元，下降13.92%。主要原因是公务用车维修费减少。</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万元。全年按规定更新购置公务用车0辆，其中：轿车0辆、金额0万元，越野车0辆、金额0万元，载客汽车0辆、金额0万元。截至2024年12月31日，单位共有公务用车1辆，其中：轿车0辆、越野车0辆、载客汽车0辆。</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出0.68</w:t>
      </w:r>
      <w:r>
        <w:rPr>
          <w:rFonts w:hint="eastAsia" w:eastAsia="仿宋_GB2312" w:cs="仿宋_GB2312"/>
          <w:sz w:val="32"/>
          <w:szCs w:val="32"/>
        </w:rPr>
        <w:t>万元。主要用于现场踏勘所需的公务用车燃料费、维修费、过路过桥费、保险费等支出。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0.8万</w:t>
      </w:r>
      <w:r>
        <w:rPr>
          <w:rFonts w:hint="eastAsia" w:eastAsia="仿宋_GB2312" w:cs="仿宋_GB2312"/>
          <w:b/>
          <w:bCs/>
          <w:sz w:val="32"/>
          <w:szCs w:val="32"/>
        </w:rPr>
        <w:t>元，完成预算93.57%。</w:t>
      </w:r>
      <w:r>
        <w:rPr>
          <w:rFonts w:hint="eastAsia" w:eastAsia="仿宋_GB2312" w:cs="仿宋_GB2312"/>
          <w:sz w:val="32"/>
          <w:szCs w:val="32"/>
        </w:rPr>
        <w:t>公务接待费支出决算比2023年度增加0.2万元，增长33.33%。主要原因是</w:t>
      </w:r>
      <w:r>
        <w:rPr>
          <w:rFonts w:hint="eastAsia" w:ascii="仿宋_GB2312" w:eastAsia="仿宋_GB2312"/>
          <w:sz w:val="32"/>
          <w:szCs w:val="32"/>
        </w:rPr>
        <w:t>本年</w:t>
      </w:r>
      <w:r>
        <w:rPr>
          <w:rFonts w:ascii="仿宋_GB2312" w:eastAsia="仿宋_GB2312"/>
          <w:sz w:val="32"/>
          <w:szCs w:val="32"/>
        </w:rPr>
        <w:t>接待人</w:t>
      </w:r>
      <w:r>
        <w:rPr>
          <w:rFonts w:hint="eastAsia" w:ascii="仿宋_GB2312" w:eastAsia="仿宋_GB2312"/>
          <w:sz w:val="32"/>
          <w:szCs w:val="32"/>
        </w:rPr>
        <w:t>次</w:t>
      </w:r>
      <w:r>
        <w:rPr>
          <w:rFonts w:ascii="仿宋_GB2312" w:eastAsia="仿宋_GB2312"/>
          <w:sz w:val="32"/>
          <w:szCs w:val="32"/>
        </w:rPr>
        <w:t>增加</w:t>
      </w:r>
      <w:r>
        <w:rPr>
          <w:rFonts w:hint="eastAsia" w:eastAsia="仿宋_GB2312" w:cs="仿宋_GB2312"/>
          <w:sz w:val="32"/>
          <w:szCs w:val="32"/>
        </w:rPr>
        <w:t>。其中：</w:t>
      </w:r>
      <w:bookmarkStart w:id="71" w:name="_GoBack"/>
      <w:bookmarkEnd w:id="71"/>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出0.8万</w:t>
      </w:r>
      <w:r>
        <w:rPr>
          <w:rFonts w:hint="eastAsia" w:eastAsia="仿宋_GB2312" w:cs="仿宋_GB2312"/>
          <w:sz w:val="32"/>
          <w:szCs w:val="32"/>
        </w:rPr>
        <w:t>元，主要用于</w:t>
      </w:r>
      <w:r>
        <w:rPr>
          <w:rFonts w:hint="eastAsia" w:ascii="仿宋_GB2312" w:eastAsia="仿宋_GB2312"/>
          <w:sz w:val="32"/>
          <w:szCs w:val="32"/>
        </w:rPr>
        <w:t>接待执行公务、开展业务活动开支的交通费、住宿费、用餐费等。</w:t>
      </w:r>
      <w:r>
        <w:rPr>
          <w:rFonts w:hint="eastAsia" w:eastAsia="仿宋_GB2312" w:cs="仿宋_GB2312"/>
          <w:sz w:val="32"/>
          <w:szCs w:val="32"/>
        </w:rPr>
        <w:t>国内公务接</w:t>
      </w:r>
      <w:r>
        <w:rPr>
          <w:rFonts w:hint="eastAsia" w:ascii="仿宋_GB2312" w:hAnsi="仿宋_GB2312" w:eastAsia="仿宋_GB2312" w:cs="仿宋_GB2312"/>
          <w:sz w:val="32"/>
          <w:szCs w:val="32"/>
        </w:rPr>
        <w:t>待3批次，78</w:t>
      </w:r>
      <w:r>
        <w:rPr>
          <w:rFonts w:hint="eastAsia" w:eastAsia="仿宋_GB2312" w:cs="仿宋_GB2312"/>
          <w:sz w:val="32"/>
          <w:szCs w:val="32"/>
        </w:rPr>
        <w:t>人次，共计支出0.8万元，具体内容包括：</w:t>
      </w:r>
      <w:r>
        <w:rPr>
          <w:rFonts w:ascii="仿宋_GB2312" w:eastAsia="仿宋_GB2312"/>
          <w:sz w:val="32"/>
          <w:szCs w:val="32"/>
        </w:rPr>
        <w:t>接待</w:t>
      </w:r>
      <w:r>
        <w:rPr>
          <w:rFonts w:hint="eastAsia" w:ascii="仿宋_GB2312" w:eastAsia="仿宋_GB2312"/>
          <w:sz w:val="32"/>
          <w:szCs w:val="32"/>
        </w:rPr>
        <w:t>全省政务服务“三化”建设暨园区政务服务中心建设现场推进培训会0.57万元、调研中钛徐家沟铁矿地下开采项目情况及星悦地下空间开发项目情况等重点项目</w:t>
      </w:r>
      <w:r>
        <w:rPr>
          <w:rFonts w:ascii="仿宋_GB2312" w:eastAsia="仿宋_GB2312"/>
          <w:sz w:val="32"/>
          <w:szCs w:val="32"/>
        </w:rPr>
        <w:t>接待费</w:t>
      </w:r>
      <w:r>
        <w:rPr>
          <w:rFonts w:hint="eastAsia" w:ascii="仿宋_GB2312" w:eastAsia="仿宋_GB2312"/>
          <w:sz w:val="32"/>
          <w:szCs w:val="32"/>
        </w:rPr>
        <w:t>0.23万元</w:t>
      </w:r>
      <w:r>
        <w:rPr>
          <w:rFonts w:ascii="仿宋_GB2312" w:eastAsia="仿宋_GB231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bookmarkStart w:id="46" w:name="_Toc15377218"/>
      <w:bookmarkStart w:id="47" w:name="_Toc15396610"/>
    </w:p>
    <w:p>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46"/>
      <w:bookmarkEnd w:id="47"/>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w:t>
      </w:r>
    </w:p>
    <w:p>
      <w:pPr>
        <w:spacing w:line="600" w:lineRule="exact"/>
        <w:ind w:left="630"/>
        <w:outlineLvl w:val="1"/>
        <w:rPr>
          <w:rStyle w:val="29"/>
          <w:rFonts w:ascii="Times New Roman" w:hAnsi="Times New Roman" w:eastAsia="黑体"/>
          <w:b w:val="0"/>
        </w:rPr>
      </w:pPr>
      <w:bookmarkStart w:id="48" w:name="_Toc15396611"/>
      <w:bookmarkStart w:id="49" w:name="_Toc15377219"/>
      <w:r>
        <w:rPr>
          <w:rStyle w:val="29"/>
          <w:rFonts w:hint="eastAsia" w:ascii="Times New Roman" w:hAnsi="Times New Roman" w:eastAsia="黑体"/>
          <w:b w:val="0"/>
        </w:rPr>
        <w:t>九、国有资本经营预算支出决算情况说明</w:t>
      </w:r>
      <w:bookmarkEnd w:id="48"/>
      <w:bookmarkEnd w:id="49"/>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w:t>
      </w:r>
    </w:p>
    <w:p>
      <w:pPr>
        <w:spacing w:line="600" w:lineRule="exact"/>
        <w:ind w:left="630"/>
        <w:outlineLvl w:val="1"/>
        <w:rPr>
          <w:rStyle w:val="29"/>
          <w:rFonts w:ascii="Times New Roman" w:hAnsi="Times New Roman" w:eastAsia="黑体"/>
          <w:b w:val="0"/>
        </w:rPr>
      </w:pPr>
      <w:bookmarkStart w:id="50" w:name="_Toc15377221"/>
      <w:bookmarkStart w:id="51" w:name="_Toc15396612"/>
      <w:r>
        <w:rPr>
          <w:rStyle w:val="29"/>
          <w:rFonts w:hint="eastAsia" w:ascii="Times New Roman" w:hAnsi="Times New Roman" w:eastAsia="黑体"/>
          <w:b w:val="0"/>
        </w:rPr>
        <w:t>十、其他重要事项的情况说明</w:t>
      </w:r>
      <w:bookmarkEnd w:id="50"/>
      <w:bookmarkEnd w:id="51"/>
    </w:p>
    <w:p>
      <w:pPr>
        <w:spacing w:line="600" w:lineRule="exact"/>
        <w:ind w:firstLine="640" w:firstLineChars="200"/>
        <w:outlineLvl w:val="2"/>
        <w:rPr>
          <w:rFonts w:eastAsia="楷体_GB2312" w:cs="楷体_GB2312"/>
          <w:b/>
          <w:sz w:val="32"/>
          <w:szCs w:val="32"/>
        </w:rPr>
      </w:pPr>
      <w:bookmarkStart w:id="52" w:name="_Toc15377222"/>
      <w:r>
        <w:rPr>
          <w:rFonts w:hint="eastAsia" w:eastAsia="楷体_GB2312" w:cs="楷体_GB2312"/>
          <w:b/>
          <w:sz w:val="32"/>
          <w:szCs w:val="32"/>
        </w:rPr>
        <w:t>（一）机关运行经费支出情况</w:t>
      </w:r>
      <w:bookmarkEnd w:id="52"/>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，攀枝花市东区行政审批局机关运行经费支出45.81万</w:t>
      </w:r>
      <w:r>
        <w:rPr>
          <w:rFonts w:hint="eastAsia" w:eastAsia="仿宋_GB2312" w:cs="仿宋_GB2312"/>
          <w:sz w:val="32"/>
          <w:szCs w:val="32"/>
        </w:rPr>
        <w:t>元，比2023年度减少0.98万元，下降2.09%。主要原因是厉行节约。</w:t>
      </w:r>
    </w:p>
    <w:p>
      <w:pPr>
        <w:spacing w:line="600" w:lineRule="exact"/>
        <w:ind w:firstLine="640" w:firstLineChars="200"/>
        <w:outlineLvl w:val="2"/>
        <w:rPr>
          <w:rFonts w:eastAsia="楷体_GB2312" w:cs="楷体_GB2312"/>
          <w:b/>
          <w:sz w:val="32"/>
          <w:szCs w:val="32"/>
        </w:rPr>
      </w:pPr>
      <w:bookmarkStart w:id="53" w:name="_Toc15377223"/>
      <w:r>
        <w:rPr>
          <w:rFonts w:hint="eastAsia" w:eastAsia="楷体_GB2312" w:cs="楷体_GB2312"/>
          <w:b/>
          <w:sz w:val="32"/>
          <w:szCs w:val="32"/>
        </w:rPr>
        <w:t>（二）政府采购支出情况</w:t>
      </w:r>
      <w:bookmarkEnd w:id="53"/>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2024年度，攀枝花市东区行政审批局政府采购支出总额40.13万元，其中：政府采购货物支出0.47万元、政府采购工程支出0万元、政府采购服务支出39.66万元。主要用于</w:t>
      </w:r>
      <w:r>
        <w:rPr>
          <w:rFonts w:hint="eastAsia" w:ascii="仿宋_GB2312" w:eastAsia="仿宋_GB2312"/>
          <w:sz w:val="32"/>
          <w:szCs w:val="32"/>
        </w:rPr>
        <w:t>采购打印机和大厅工作人员食堂经费补助支出。</w:t>
      </w:r>
      <w:r>
        <w:rPr>
          <w:rFonts w:hint="eastAsia" w:ascii="仿宋_GB2312" w:hAnsi="仿宋_GB2312" w:eastAsia="仿宋_GB2312" w:cs="仿宋_GB2312"/>
          <w:sz w:val="32"/>
          <w:szCs w:val="32"/>
        </w:rPr>
        <w:t>授予中小企业合同金额40.13万元，占政府采购支出总额的100%，其中：授予小微企业合同金额40.13万元，占政府采购支出总额的100%。</w:t>
      </w:r>
    </w:p>
    <w:p>
      <w:pPr>
        <w:spacing w:line="600" w:lineRule="exact"/>
        <w:ind w:firstLine="640" w:firstLineChars="200"/>
        <w:outlineLvl w:val="2"/>
        <w:rPr>
          <w:rFonts w:eastAsia="楷体_GB2312" w:cs="楷体_GB2312"/>
          <w:b/>
          <w:sz w:val="32"/>
          <w:szCs w:val="32"/>
        </w:rPr>
      </w:pPr>
      <w:bookmarkStart w:id="54" w:name="_Toc15377224"/>
      <w:r>
        <w:rPr>
          <w:rFonts w:hint="eastAsia" w:eastAsia="楷体_GB2312" w:cs="楷体_GB2312"/>
          <w:b/>
          <w:sz w:val="32"/>
          <w:szCs w:val="32"/>
        </w:rPr>
        <w:t>（三）国有资产占有使用情况</w:t>
      </w:r>
      <w:bookmarkEnd w:id="54"/>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截至2024年12月31日，攀枝花市东区行政审批局共有车辆1辆，其中：主要负责人用车0辆、机要通信用车0辆、应急保障用车0辆、其他用车1辆，其他用车主要是用于</w:t>
      </w:r>
      <w:r>
        <w:rPr>
          <w:rFonts w:hint="eastAsia" w:ascii="仿宋_GB2312" w:hAnsi="仿宋_GB2312" w:eastAsia="仿宋_GB2312"/>
          <w:color w:val="000000"/>
          <w:sz w:val="32"/>
        </w:rPr>
        <w:t>现场踏勘</w:t>
      </w:r>
      <w:r>
        <w:rPr>
          <w:rFonts w:hint="eastAsia" w:ascii="仿宋_GB2312" w:hAnsi="仿宋_GB2312" w:eastAsia="仿宋_GB2312" w:cs="仿宋_GB2312"/>
          <w:sz w:val="32"/>
          <w:szCs w:val="32"/>
        </w:rPr>
        <w:t>。单价100万元（含）以上设备（不含车辆）0台（套）</w:t>
      </w:r>
      <w:r>
        <w:rPr>
          <w:rFonts w:hint="eastAsia" w:eastAsia="仿宋_GB2312" w:cs="仿宋_GB2312"/>
          <w:sz w:val="32"/>
          <w:szCs w:val="32"/>
        </w:rPr>
        <w:t>。</w:t>
      </w:r>
    </w:p>
    <w:p>
      <w:pPr>
        <w:spacing w:line="600" w:lineRule="exact"/>
        <w:ind w:firstLine="640"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本部门在2024年度预算编制阶段，组织对“企业档案扫描费”、“政府采购工作经费”、“大厅运行维护费”等6个项目开展了预算事前绩效评估，对6个项目编制了绩效目标，预算执行过程中，选取6个项目开展绩效监控。</w:t>
      </w:r>
    </w:p>
    <w:p>
      <w:pPr>
        <w:spacing w:before="53" w:line="322" w:lineRule="auto"/>
        <w:ind w:left="44" w:right="342" w:firstLine="617"/>
        <w:jc w:val="both"/>
        <w:rPr>
          <w:rFonts w:hint="eastAsia"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东区行政审批局部门整体（含部门预算项目）绩效自评报告、“企业档案扫描费”、“政府采购工作经费”、“大厅运行维护费”等专项预算项目绩效自评报告，其中，东区行政审批局部门整体（含部门预算项目）绩效自评得分为86分。2024年</w:t>
      </w:r>
      <w:r>
        <w:rPr>
          <w:rFonts w:hint="eastAsia" w:eastAsia="仿宋_GB2312" w:cs="仿宋_GB2312"/>
          <w:sz w:val="32"/>
          <w:szCs w:val="32"/>
          <w:lang w:val="en-US" w:eastAsia="zh-CN"/>
        </w:rPr>
        <w:t>东区</w:t>
      </w:r>
      <w:r>
        <w:rPr>
          <w:rFonts w:hint="eastAsia" w:eastAsia="仿宋_GB2312" w:cs="仿宋_GB2312"/>
          <w:sz w:val="32"/>
          <w:szCs w:val="32"/>
        </w:rPr>
        <w:t>财政局部门整体支出绩效自查自评结果良好，全年基本支出保证了部门的正常运转，项目支出保障了重点工作的开展。</w:t>
      </w:r>
    </w:p>
    <w:p>
      <w:pPr>
        <w:spacing w:line="600" w:lineRule="exact"/>
        <w:ind w:firstLine="640"/>
        <w:rPr>
          <w:rFonts w:eastAsia="黑体"/>
          <w:sz w:val="44"/>
          <w:szCs w:val="44"/>
        </w:rPr>
      </w:pPr>
      <w:r>
        <w:rPr>
          <w:rFonts w:hint="eastAsia" w:eastAsia="仿宋_GB2312" w:cs="仿宋_GB2312"/>
          <w:sz w:val="32"/>
          <w:szCs w:val="32"/>
          <w:lang w:eastAsia="zh-CN"/>
        </w:rPr>
        <w:t>《</w:t>
      </w:r>
      <w:r>
        <w:rPr>
          <w:rFonts w:hint="eastAsia" w:eastAsia="仿宋_GB2312" w:cs="仿宋_GB2312"/>
          <w:sz w:val="32"/>
          <w:szCs w:val="32"/>
        </w:rPr>
        <w:t>2024年东区行政审批局部门整体绩效自评报告</w:t>
      </w:r>
      <w:r>
        <w:rPr>
          <w:rFonts w:hint="eastAsia" w:eastAsia="仿宋_GB2312" w:cs="仿宋_GB2312"/>
          <w:sz w:val="32"/>
          <w:szCs w:val="32"/>
          <w:lang w:eastAsia="zh-CN"/>
        </w:rPr>
        <w:t>》</w:t>
      </w:r>
      <w:r>
        <w:rPr>
          <w:rFonts w:hint="eastAsia" w:eastAsia="仿宋_GB2312" w:cs="仿宋_GB2312"/>
          <w:sz w:val="32"/>
          <w:szCs w:val="32"/>
        </w:rPr>
        <w:t>详见附件。</w:t>
      </w: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9.一般公共服务支出（类）政府办公厅（室）及相关机构事务（款）行政运行（项）：反映行政单位（包括实行公务员管理的事业单位）的基本支出。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一般公共服务支出（类）政府办公厅（室）及相关机构事务（款）政务公开审批（项）：反映各级政府政务公开审批方面的支出。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一般公共服务支出（类）政府办公厅（室）及相关机构事务（款）事业运行（项）：反映事业单位的基本支出，不包括行政单位（包括实行公务员管理的事业单位后勤服务中心、医务室等附属事业单位）。</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一般公共服务支出（类）政府办公厅（室）及相关机构事务（款）其他政府办公厅（室）及相关机构事务支出（项）：反映除上述项目以外的其他政府办公厅（室）及相关机构事务支出。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一般公共服务支出（类）党委办公厅（室）及相关机构事务</w:t>
      </w:r>
      <w:r>
        <w:rPr>
          <w:rFonts w:hint="eastAsia" w:eastAsia="仿宋_GB2312" w:cs="仿宋_GB2312"/>
          <w:color w:val="auto"/>
          <w:kern w:val="2"/>
          <w:sz w:val="32"/>
          <w:szCs w:val="32"/>
          <w:highlight w:val="none"/>
          <w:lang w:val="en-US" w:eastAsia="zh-CN" w:bidi="ar-SA"/>
        </w:rPr>
        <w:t>（款）专项业务（项）：反映</w:t>
      </w:r>
      <w:r>
        <w:rPr>
          <w:rFonts w:hint="eastAsia" w:ascii="Times New Roman" w:hAnsi="Times New Roman" w:eastAsia="仿宋_GB2312" w:cs="仿宋_GB2312"/>
          <w:color w:val="auto"/>
          <w:kern w:val="2"/>
          <w:sz w:val="32"/>
          <w:szCs w:val="32"/>
          <w:highlight w:val="none"/>
          <w:lang w:val="en-US" w:eastAsia="zh-CN" w:bidi="ar-SA"/>
        </w:rPr>
        <w:t>党委办公厅（室）及相关机构事务开展专项业务活动所发生的支出。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.社会保障和就业支出（类）行政事业单位离退休（款）行政单位离退休支出（项）：反映行政单位（包括实行公务员管理的事业单位）开支的离退休经费。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社会保障和就业支出（类）行政事业单位离退休（款）事业单位离退休支出（项）：反映事业单位开支的离退休经费。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社会保障和就业支出（类）行政事业单位离退休（款）机关事业单位基本养老保险缴费支出（项）：反映机关事业单位实施养老保险制度由单位缴纳的基本养老保险费支出。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社会保障和就业支出（类）行政事业单位离退休（款）机关事业单位职业年金缴费支出（项）：反映机关事业单位实施养老保险制度由单位实际缴纳的职业年金支出。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.卫生健康支出（类）行政事业单位医疗（款）行政单位医疗（项）：反映区机关及参公管理事业单位用于缴纳单位基本医疗保险支出。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卫生健康支出（类）行政事业单位医疗（款）事业单位医疗（项）：指区事业单位用于缴纳单位人员基本医疗保险支出。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卫生健康支出（类）行政事业单位医疗（款）公务员医疗补助（项）：指财政部门安排的公务员医疗补助经费。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.住房保障支出（类）住房改革支出（款）住房公积金（项）:反映行政事业单位按人力资源和社会保障部、财政部规定的基本工资和津贴补贴以及规定比例为职工缴纳的住房公积金。</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.其他支出：反映除上述项目以外其他不能划分到具体功能科目中的支出项目。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5"/>
          <w:rFonts w:hint="eastAsia" w:ascii="Times New Roman" w:hAnsi="Times New Roman" w:eastAsia="黑体"/>
          <w:b w:val="0"/>
          <w:color w:val="auto"/>
          <w:highlight w:val="none"/>
          <w:lang w:eastAsia="zh-CN"/>
        </w:rPr>
      </w:pPr>
      <w:bookmarkStart w:id="5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6"/>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widowControl/>
        <w:spacing w:line="580" w:lineRule="exact"/>
        <w:contextualSpacing/>
        <w:jc w:val="both"/>
        <w:rPr>
          <w:rFonts w:hint="eastAsia" w:ascii="方正小标宋简体" w:hAnsi="方正小标宋简体" w:eastAsia="方正小标宋简体" w:cs="方正小标宋简体"/>
          <w:b/>
          <w:sz w:val="44"/>
          <w:szCs w:val="44"/>
          <w:shd w:val="clear" w:color="auto" w:fill="FFFFFF"/>
          <w:lang w:eastAsia="zh-CN"/>
        </w:rPr>
      </w:pPr>
    </w:p>
    <w:p>
      <w:pPr>
        <w:widowControl/>
        <w:spacing w:line="580" w:lineRule="exact"/>
        <w:contextualSpacing/>
        <w:jc w:val="center"/>
        <w:rPr>
          <w:rFonts w:hint="eastAsia" w:ascii="方正小标宋简体" w:hAnsi="方正小标宋简体" w:eastAsia="方正小标宋简体" w:cs="方正小标宋简体"/>
          <w:b/>
          <w:sz w:val="44"/>
          <w:szCs w:val="44"/>
          <w:shd w:val="clear" w:color="auto" w:fill="FFFFFF"/>
          <w:lang w:eastAsia="zh-CN"/>
        </w:rPr>
      </w:pPr>
      <w:r>
        <w:rPr>
          <w:rFonts w:hint="eastAsia" w:ascii="方正小标宋简体" w:hAnsi="方正小标宋简体" w:eastAsia="方正小标宋简体" w:cs="方正小标宋简体"/>
          <w:b/>
          <w:sz w:val="44"/>
          <w:szCs w:val="44"/>
          <w:shd w:val="clear" w:color="auto" w:fill="FFFFFF"/>
          <w:lang w:eastAsia="zh-CN"/>
        </w:rPr>
        <w:t>攀枝花市东区行政审批局</w:t>
      </w:r>
    </w:p>
    <w:p>
      <w:pPr>
        <w:widowControl/>
        <w:spacing w:line="580" w:lineRule="exact"/>
        <w:contextualSpacing/>
        <w:jc w:val="center"/>
        <w:rPr>
          <w:rFonts w:hint="eastAsia" w:ascii="方正小标宋简体" w:hAnsi="方正小标宋简体" w:eastAsia="方正小标宋简体" w:cs="方正小标宋简体"/>
          <w:b/>
          <w:sz w:val="44"/>
          <w:szCs w:val="44"/>
          <w:shd w:val="clear" w:color="auto" w:fill="FFFFFF"/>
        </w:rPr>
      </w:pPr>
      <w:r>
        <w:rPr>
          <w:rFonts w:hint="eastAsia" w:ascii="方正小标宋简体" w:hAnsi="方正小标宋简体" w:eastAsia="方正小标宋简体" w:cs="方正小标宋简体"/>
          <w:b/>
          <w:sz w:val="44"/>
          <w:szCs w:val="44"/>
          <w:shd w:val="clear" w:color="auto" w:fill="FFFFFF"/>
        </w:rPr>
        <w:t>202</w:t>
      </w:r>
      <w:r>
        <w:rPr>
          <w:rFonts w:hint="eastAsia" w:ascii="方正小标宋简体" w:hAnsi="方正小标宋简体" w:eastAsia="方正小标宋简体" w:cs="方正小标宋简体"/>
          <w:b/>
          <w:sz w:val="44"/>
          <w:szCs w:val="44"/>
          <w:shd w:val="clear" w:color="auto" w:fill="FFFFFF"/>
          <w:lang w:val="en-US" w:eastAsia="zh-CN"/>
        </w:rPr>
        <w:t>4</w:t>
      </w:r>
      <w:r>
        <w:rPr>
          <w:rFonts w:hint="eastAsia" w:ascii="方正小标宋简体" w:hAnsi="方正小标宋简体" w:eastAsia="方正小标宋简体" w:cs="方正小标宋简体"/>
          <w:b/>
          <w:sz w:val="44"/>
          <w:szCs w:val="44"/>
          <w:shd w:val="clear" w:color="auto" w:fill="FFFFFF"/>
        </w:rPr>
        <w:t>年度部门</w:t>
      </w:r>
      <w:r>
        <w:rPr>
          <w:rFonts w:hint="eastAsia" w:ascii="方正小标宋简体" w:hAnsi="方正小标宋简体" w:eastAsia="方正小标宋简体" w:cs="方正小标宋简体"/>
          <w:b/>
          <w:sz w:val="44"/>
          <w:szCs w:val="44"/>
          <w:shd w:val="clear" w:color="auto" w:fill="FFFFFF"/>
          <w:lang w:eastAsia="zh-CN"/>
        </w:rPr>
        <w:t>预算</w:t>
      </w:r>
      <w:r>
        <w:rPr>
          <w:rFonts w:hint="eastAsia" w:ascii="方正小标宋简体" w:hAnsi="方正小标宋简体" w:eastAsia="方正小标宋简体" w:cs="方正小标宋简体"/>
          <w:b/>
          <w:sz w:val="44"/>
          <w:szCs w:val="44"/>
          <w:shd w:val="clear" w:color="auto" w:fill="FFFFFF"/>
        </w:rPr>
        <w:t>整体支出绩效评价</w:t>
      </w:r>
    </w:p>
    <w:p>
      <w:pPr>
        <w:widowControl/>
        <w:spacing w:line="580" w:lineRule="exact"/>
        <w:contextualSpacing/>
        <w:jc w:val="center"/>
        <w:rPr>
          <w:rFonts w:hint="eastAsia" w:ascii="方正小标宋简体" w:hAnsi="方正小标宋简体" w:eastAsia="方正小标宋简体" w:cs="方正小标宋简体"/>
          <w:b/>
          <w:sz w:val="44"/>
          <w:szCs w:val="44"/>
          <w:shd w:val="clear" w:color="auto" w:fill="FFFFFF"/>
          <w:lang w:eastAsia="zh-CN"/>
        </w:rPr>
      </w:pPr>
      <w:r>
        <w:rPr>
          <w:rFonts w:hint="eastAsia" w:ascii="方正小标宋简体" w:hAnsi="方正小标宋简体" w:eastAsia="方正小标宋简体" w:cs="方正小标宋简体"/>
          <w:b/>
          <w:sz w:val="44"/>
          <w:szCs w:val="44"/>
          <w:shd w:val="clear" w:color="auto" w:fill="FFFFFF"/>
          <w:lang w:eastAsia="zh-CN"/>
        </w:rPr>
        <w:t>自评</w:t>
      </w:r>
      <w:r>
        <w:rPr>
          <w:rFonts w:hint="eastAsia" w:ascii="方正小标宋简体" w:hAnsi="方正小标宋简体" w:eastAsia="方正小标宋简体" w:cs="方正小标宋简体"/>
          <w:b/>
          <w:sz w:val="44"/>
          <w:szCs w:val="44"/>
          <w:shd w:val="clear" w:color="auto" w:fill="FFFFFF"/>
        </w:rPr>
        <w:t>报告</w:t>
      </w:r>
    </w:p>
    <w:p>
      <w:pPr>
        <w:widowControl/>
        <w:adjustRightInd w:val="0"/>
        <w:snapToGrid w:val="0"/>
        <w:spacing w:line="580" w:lineRule="exact"/>
        <w:ind w:firstLine="480" w:firstLineChars="200"/>
        <w:contextualSpacing/>
        <w:jc w:val="left"/>
        <w:rPr>
          <w:rFonts w:eastAsia="黑体"/>
          <w:color w:val="000000"/>
          <w:kern w:val="0"/>
          <w:sz w:val="24"/>
          <w:szCs w:val="32"/>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en-US" w:eastAsia="zh-CN"/>
        </w:rPr>
      </w:pPr>
      <w:r>
        <w:rPr>
          <w:rFonts w:hint="eastAsia" w:ascii="Times New Roman" w:hAnsi="Times New Roman" w:eastAsia="黑体" w:cs="Times New Roman"/>
          <w:color w:val="000000"/>
          <w:kern w:val="0"/>
          <w:sz w:val="32"/>
          <w:szCs w:val="32"/>
          <w:highlight w:val="none"/>
          <w:shd w:val="clear" w:color="auto" w:fill="FFFFFF"/>
          <w:lang w:val="en-US" w:eastAsia="zh-CN"/>
        </w:rPr>
        <w:t>一、</w:t>
      </w:r>
      <w:r>
        <w:rPr>
          <w:rFonts w:hint="eastAsia" w:ascii="Times New Roman" w:hAnsi="Times New Roman" w:eastAsia="黑体" w:cs="Times New Roman"/>
          <w:color w:val="000000"/>
          <w:kern w:val="0"/>
          <w:sz w:val="32"/>
          <w:szCs w:val="32"/>
          <w:highlight w:val="none"/>
          <w:shd w:val="clear" w:color="auto" w:fill="FFFFFF"/>
          <w:lang w:val="zh-CN" w:eastAsia="zh-CN"/>
        </w:rPr>
        <w:t>部门</w:t>
      </w:r>
      <w:r>
        <w:rPr>
          <w:rFonts w:hint="eastAsia" w:ascii="Times New Roman" w:hAnsi="Times New Roman" w:eastAsia="黑体" w:cs="Times New Roman"/>
          <w:color w:val="000000"/>
          <w:kern w:val="0"/>
          <w:sz w:val="32"/>
          <w:szCs w:val="32"/>
          <w:highlight w:val="none"/>
          <w:shd w:val="clear" w:color="auto" w:fill="FFFFFF"/>
          <w:lang w:val="en-US" w:eastAsia="zh-CN"/>
        </w:rPr>
        <w:t>基本情况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zh-CN" w:eastAsia="zh-CN" w:bidi="ar"/>
        </w:rPr>
        <w:t>东区行政审批局核定内设</w:t>
      </w:r>
      <w:r>
        <w:rPr>
          <w:rFonts w:hint="eastAsia" w:ascii="Times New Roman" w:hAnsi="Times New Roman" w:eastAsia="仿宋_GB2312" w:cs="Times New Roman"/>
          <w:sz w:val="32"/>
          <w:szCs w:val="32"/>
          <w:u w:val="none"/>
          <w:lang w:val="en-US" w:eastAsia="zh-CN" w:bidi="ar"/>
        </w:rPr>
        <w:t>办公室、政务服务管理股、市场准入审批股和社会事务审批股4个股室，</w:t>
      </w:r>
      <w:r>
        <w:rPr>
          <w:rFonts w:hint="eastAsia" w:ascii="Times New Roman" w:hAnsi="Times New Roman" w:eastAsia="仿宋_GB2312" w:cs="Times New Roman"/>
          <w:sz w:val="32"/>
          <w:szCs w:val="32"/>
          <w:u w:val="none"/>
          <w:lang w:val="zh-CN" w:eastAsia="zh-CN" w:bidi="ar"/>
        </w:rPr>
        <w:t>下属1个二级</w:t>
      </w:r>
      <w:r>
        <w:rPr>
          <w:rFonts w:hint="eastAsia" w:ascii="Times New Roman" w:hAnsi="Times New Roman" w:eastAsia="仿宋_GB2312" w:cs="Times New Roman"/>
          <w:sz w:val="32"/>
          <w:szCs w:val="32"/>
          <w:u w:val="none"/>
          <w:lang w:val="en-US" w:eastAsia="zh-CN" w:bidi="ar"/>
        </w:rPr>
        <w:t>事业</w:t>
      </w:r>
      <w:r>
        <w:rPr>
          <w:rFonts w:hint="eastAsia" w:ascii="Times New Roman" w:hAnsi="Times New Roman" w:eastAsia="仿宋_GB2312" w:cs="Times New Roman"/>
          <w:sz w:val="32"/>
          <w:szCs w:val="32"/>
          <w:u w:val="none"/>
          <w:lang w:val="zh-CN" w:eastAsia="zh-CN" w:bidi="ar"/>
        </w:rPr>
        <w:t>单位</w:t>
      </w:r>
      <w:r>
        <w:rPr>
          <w:rFonts w:hint="eastAsia" w:ascii="Times New Roman" w:hAnsi="Times New Roman" w:eastAsia="仿宋_GB2312" w:cs="Times New Roman"/>
          <w:sz w:val="32"/>
          <w:szCs w:val="32"/>
          <w:u w:val="none"/>
          <w:lang w:val="en-US" w:eastAsia="zh-CN" w:bidi="ar"/>
        </w:rPr>
        <w:t>攀枝花市东区行政审批服务中心</w:t>
      </w:r>
      <w:r>
        <w:rPr>
          <w:rFonts w:hint="eastAsia" w:ascii="Times New Roman" w:hAnsi="Times New Roman" w:eastAsia="仿宋_GB2312" w:cs="Times New Roman"/>
          <w:sz w:val="32"/>
          <w:szCs w:val="32"/>
          <w:u w:val="none"/>
          <w:lang w:val="zh-CN" w:eastAsia="zh-CN" w:bidi="ar"/>
        </w:rPr>
        <w:t>，代管1个事业单位</w:t>
      </w:r>
      <w:r>
        <w:rPr>
          <w:rFonts w:hint="eastAsia" w:ascii="Times New Roman" w:hAnsi="Times New Roman" w:eastAsia="仿宋_GB2312" w:cs="Times New Roman"/>
          <w:sz w:val="32"/>
          <w:szCs w:val="32"/>
          <w:u w:val="none"/>
          <w:lang w:val="en-US" w:eastAsia="zh-CN" w:bidi="ar"/>
        </w:rPr>
        <w:t>攀枝花市东区政府采购服务中心</w:t>
      </w:r>
      <w:r>
        <w:rPr>
          <w:rFonts w:hint="eastAsia" w:ascii="Times New Roman" w:hAnsi="Times New Roman" w:eastAsia="仿宋_GB2312" w:cs="Times New Roman"/>
          <w:sz w:val="32"/>
          <w:szCs w:val="32"/>
          <w:u w:val="none"/>
          <w:lang w:val="zh-CN" w:eastAsia="zh-CN" w:bidi="ar"/>
        </w:rPr>
        <w:t>。</w:t>
      </w:r>
      <w:r>
        <w:rPr>
          <w:rFonts w:hint="eastAsia" w:ascii="Times New Roman" w:hAnsi="Times New Roman" w:eastAsia="仿宋_GB2312" w:cs="Times New Roman"/>
          <w:sz w:val="32"/>
          <w:szCs w:val="32"/>
          <w:u w:val="none"/>
          <w:lang w:val="en-US" w:eastAsia="zh-CN" w:bidi="ar"/>
        </w:rPr>
        <w:t>业务用车编制1辆，实有车辆1辆。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eastAsia="zh-CN"/>
        </w:rPr>
      </w:pPr>
      <w:r>
        <w:rPr>
          <w:rFonts w:hint="eastAsia" w:ascii="Times New Roman" w:hAnsi="Times New Roman" w:eastAsia="楷体_GB2312" w:cs="楷体_GB2312"/>
          <w:b/>
          <w:color w:val="auto"/>
          <w:sz w:val="32"/>
          <w:szCs w:val="32"/>
          <w:highlight w:val="none"/>
          <w:lang w:val="zh-CN" w:eastAsia="zh-CN"/>
        </w:rPr>
        <w:t>（</w:t>
      </w:r>
      <w:r>
        <w:rPr>
          <w:rFonts w:hint="eastAsia" w:ascii="Times New Roman" w:hAnsi="Times New Roman" w:eastAsia="楷体_GB2312" w:cs="楷体_GB2312"/>
          <w:b/>
          <w:color w:val="auto"/>
          <w:sz w:val="32"/>
          <w:szCs w:val="32"/>
          <w:highlight w:val="none"/>
          <w:lang w:val="en-US" w:eastAsia="zh-CN"/>
        </w:rPr>
        <w:t>二</w:t>
      </w:r>
      <w:r>
        <w:rPr>
          <w:rFonts w:hint="eastAsia" w:ascii="Times New Roman" w:hAnsi="Times New Roman" w:eastAsia="楷体_GB2312" w:cs="楷体_GB2312"/>
          <w:b/>
          <w:color w:val="auto"/>
          <w:sz w:val="32"/>
          <w:szCs w:val="32"/>
          <w:highlight w:val="none"/>
          <w:lang w:val="zh-CN" w:eastAsia="zh-CN"/>
        </w:rPr>
        <w:t>）机构职能</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贯彻落实国家和省、市、区有关深化行政审批制度改革的方针政策和决策部署，负责组织推进全区深化行政审批制度改革工作，建立健全行政审批工作机制，并组织实施。</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按照省、市、区部署和要求，推进相对集中行政许可权改革。负责行使相对集中的行政许可权，并承担相应的法律责任；负责统一组织实施行政审批涉及的现场踏勘、聘请专家进行技术论证等工作；负责与上级业务主管部门的联系、对接、协调工作，承接上级下放的行政许可事项；负责对行政许可事项流程进行规范和优化，推进行政审批标准化建设和依法规范公开运行；负责行政审批信息化建设。</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3. 负责贯彻落实中央、省、市、区关于政务服务工作的方针政策和决策部署。</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4. 负责政务服务管理工作。负责制定政务大厅各项规章制度、管理办法并组织实施；负责组织、指导、监督区级部门（单位）集中开展政务服务工作，并对进驻政务大厅的部门（单位）窗口及人员进行管理、考核；负责电子政务服务平台建设和运行管理工作。</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5. 负责职责范围的安全生产和职业健康、生态环境保护、审批服务便民化等工作。</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6. 完成区委、区政府交办的其他工作。</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7. 职能转变。坚持以人民为中心的发展思想，以方便企业和群众办事为目标，努力调高政务服务质量和效率，积极推进政务服务“一网、一门、一次”改革。</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eastAsia="zh-CN"/>
        </w:rPr>
      </w:pPr>
      <w:r>
        <w:rPr>
          <w:rFonts w:hint="eastAsia" w:ascii="Times New Roman" w:hAnsi="Times New Roman" w:eastAsia="楷体_GB2312" w:cs="楷体_GB2312"/>
          <w:b/>
          <w:color w:val="auto"/>
          <w:sz w:val="32"/>
          <w:szCs w:val="32"/>
          <w:highlight w:val="none"/>
          <w:lang w:val="zh-CN" w:eastAsia="zh-CN"/>
        </w:rPr>
        <w:t>（三）人员概况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en-US" w:eastAsia="zh-CN" w:bidi="ar"/>
        </w:rPr>
        <w:t>东区行政审批局共有行政事业编制38人，截至2024年12月31日，实有行政人员13人，事业人员25人，退休人员2人，聘用人员13人。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en-US" w:eastAsia="zh-CN"/>
        </w:rPr>
      </w:pPr>
      <w:r>
        <w:rPr>
          <w:rFonts w:hint="eastAsia" w:ascii="Times New Roman" w:hAnsi="Times New Roman" w:eastAsia="黑体" w:cs="Times New Roman"/>
          <w:color w:val="000000"/>
          <w:kern w:val="0"/>
          <w:sz w:val="32"/>
          <w:szCs w:val="32"/>
          <w:highlight w:val="none"/>
          <w:shd w:val="clear" w:color="auto" w:fill="FFFFFF"/>
          <w:lang w:val="en-US" w:eastAsia="zh-CN"/>
        </w:rPr>
        <w:t>二、部门财政资金收支情况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楷体_GB2312" w:cs="楷体_GB2312"/>
          <w:b/>
          <w:color w:val="auto"/>
          <w:sz w:val="32"/>
          <w:szCs w:val="32"/>
          <w:highlight w:val="none"/>
          <w:lang w:val="zh-CN" w:eastAsia="zh-CN"/>
        </w:rPr>
        <w:t>（一）收入情况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lang w:val="zh-CN" w:eastAsia="zh-CN"/>
        </w:rPr>
      </w:pPr>
      <w:r>
        <w:rPr>
          <w:rFonts w:hint="eastAsia" w:ascii="Times New Roman" w:hAnsi="Times New Roman" w:eastAsia="仿宋_GB2312" w:cs="Times New Roman"/>
          <w:sz w:val="32"/>
          <w:szCs w:val="32"/>
          <w:u w:val="none"/>
          <w:lang w:val="zh-CN" w:eastAsia="zh-CN" w:bidi="ar"/>
        </w:rPr>
        <w:t>东区行政审批局202</w:t>
      </w:r>
      <w:r>
        <w:rPr>
          <w:rFonts w:hint="eastAsia" w:ascii="Times New Roman" w:hAnsi="Times New Roman" w:eastAsia="仿宋_GB2312" w:cs="Times New Roman"/>
          <w:sz w:val="32"/>
          <w:szCs w:val="32"/>
          <w:u w:val="none"/>
          <w:lang w:val="en-US" w:eastAsia="zh-CN" w:bidi="ar"/>
        </w:rPr>
        <w:t>4</w:t>
      </w:r>
      <w:r>
        <w:rPr>
          <w:rFonts w:hint="eastAsia" w:ascii="Times New Roman" w:hAnsi="Times New Roman" w:eastAsia="仿宋_GB2312" w:cs="Times New Roman"/>
          <w:sz w:val="32"/>
          <w:szCs w:val="32"/>
          <w:u w:val="none"/>
          <w:lang w:val="zh-CN" w:eastAsia="zh-CN" w:bidi="ar"/>
        </w:rPr>
        <w:t xml:space="preserve"> 年收入合计 </w:t>
      </w:r>
      <w:r>
        <w:rPr>
          <w:rFonts w:hint="eastAsia" w:ascii="Times New Roman" w:hAnsi="Times New Roman" w:eastAsia="仿宋_GB2312" w:cs="Times New Roman"/>
          <w:sz w:val="32"/>
          <w:szCs w:val="32"/>
          <w:u w:val="none"/>
          <w:lang w:val="en-US" w:eastAsia="zh-CN" w:bidi="ar"/>
        </w:rPr>
        <w:t>1048.14</w:t>
      </w:r>
      <w:r>
        <w:rPr>
          <w:rFonts w:hint="eastAsia" w:ascii="Times New Roman" w:hAnsi="Times New Roman" w:eastAsia="仿宋_GB2312" w:cs="Times New Roman"/>
          <w:sz w:val="32"/>
          <w:szCs w:val="32"/>
          <w:u w:val="none"/>
          <w:lang w:val="zh-CN" w:eastAsia="zh-CN" w:bidi="ar"/>
        </w:rPr>
        <w:t>万元，其中：一般公共预算财政拨款收入</w:t>
      </w:r>
      <w:r>
        <w:rPr>
          <w:rFonts w:hint="eastAsia" w:ascii="Times New Roman" w:hAnsi="Times New Roman" w:eastAsia="仿宋_GB2312" w:cs="Times New Roman"/>
          <w:sz w:val="32"/>
          <w:szCs w:val="32"/>
          <w:u w:val="none"/>
          <w:lang w:val="en-US" w:eastAsia="zh-CN" w:bidi="ar"/>
        </w:rPr>
        <w:t>1048.14</w:t>
      </w:r>
      <w:r>
        <w:rPr>
          <w:rFonts w:hint="eastAsia" w:ascii="Times New Roman" w:hAnsi="Times New Roman" w:eastAsia="仿宋_GB2312" w:cs="Times New Roman"/>
          <w:sz w:val="32"/>
          <w:szCs w:val="32"/>
          <w:u w:val="none"/>
          <w:lang w:val="zh-CN" w:eastAsia="zh-CN" w:bidi="ar"/>
        </w:rPr>
        <w:t>万元，占收入合计 100%。</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eastAsia="zh-CN"/>
        </w:rPr>
      </w:pPr>
      <w:r>
        <w:rPr>
          <w:rFonts w:hint="eastAsia" w:ascii="Times New Roman" w:hAnsi="Times New Roman" w:eastAsia="楷体_GB2312" w:cs="楷体_GB2312"/>
          <w:b/>
          <w:color w:val="auto"/>
          <w:sz w:val="32"/>
          <w:szCs w:val="32"/>
          <w:highlight w:val="none"/>
          <w:lang w:val="zh-CN" w:eastAsia="zh-CN"/>
        </w:rPr>
        <w:t>（</w:t>
      </w:r>
      <w:r>
        <w:rPr>
          <w:rFonts w:hint="eastAsia" w:ascii="Times New Roman" w:hAnsi="Times New Roman" w:eastAsia="楷体_GB2312" w:cs="楷体_GB2312"/>
          <w:b/>
          <w:color w:val="auto"/>
          <w:sz w:val="32"/>
          <w:szCs w:val="32"/>
          <w:highlight w:val="none"/>
          <w:lang w:val="en-US" w:eastAsia="zh-CN"/>
        </w:rPr>
        <w:t>二</w:t>
      </w:r>
      <w:r>
        <w:rPr>
          <w:rFonts w:hint="eastAsia" w:ascii="Times New Roman" w:hAnsi="Times New Roman" w:eastAsia="楷体_GB2312" w:cs="楷体_GB2312"/>
          <w:b/>
          <w:color w:val="auto"/>
          <w:sz w:val="32"/>
          <w:szCs w:val="32"/>
          <w:highlight w:val="none"/>
          <w:lang w:val="zh-CN" w:eastAsia="zh-CN"/>
        </w:rPr>
        <w:t>）支出情况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color w:val="auto"/>
          <w:lang w:val="en-US" w:eastAsia="zh-CN"/>
        </w:rPr>
      </w:pPr>
      <w:r>
        <w:rPr>
          <w:rFonts w:hint="eastAsia" w:ascii="Times New Roman" w:hAnsi="Times New Roman" w:eastAsia="仿宋_GB2312" w:cs="Times New Roman"/>
          <w:sz w:val="32"/>
          <w:szCs w:val="32"/>
          <w:u w:val="none"/>
          <w:lang w:val="en-US" w:eastAsia="zh-CN" w:bidi="ar"/>
        </w:rPr>
        <w:t>东区行政审批局</w:t>
      </w:r>
      <w:r>
        <w:rPr>
          <w:rFonts w:hint="eastAsia" w:eastAsia="仿宋_GB2312" w:cs="Times New Roman"/>
          <w:sz w:val="32"/>
          <w:szCs w:val="32"/>
          <w:u w:val="none"/>
          <w:lang w:val="en-US" w:eastAsia="zh-CN" w:bidi="ar"/>
        </w:rPr>
        <w:t>2024年</w:t>
      </w:r>
      <w:r>
        <w:rPr>
          <w:rFonts w:hint="eastAsia" w:ascii="Times New Roman" w:hAnsi="Times New Roman" w:eastAsia="仿宋_GB2312" w:cs="Times New Roman"/>
          <w:sz w:val="32"/>
          <w:szCs w:val="32"/>
          <w:u w:val="none"/>
          <w:lang w:val="en-US" w:eastAsia="zh-CN" w:bidi="ar"/>
        </w:rPr>
        <w:t>支出1048.14万元，包括：基本支出859.87万元（其中：人员经费支出814.06万元，日常公用经费支出45.81万元），</w:t>
      </w:r>
      <w:r>
        <w:rPr>
          <w:rFonts w:hint="eastAsia" w:ascii="Times New Roman" w:hAnsi="Times New Roman" w:eastAsia="仿宋_GB2312" w:cs="Times New Roman"/>
          <w:sz w:val="32"/>
          <w:szCs w:val="32"/>
          <w:u w:val="none"/>
          <w:lang w:val="zh-CN" w:eastAsia="zh-CN" w:bidi="ar"/>
        </w:rPr>
        <w:t>占支出合计</w:t>
      </w:r>
      <w:r>
        <w:rPr>
          <w:rFonts w:hint="eastAsia" w:eastAsia="仿宋_GB2312" w:cs="Times New Roman"/>
          <w:sz w:val="32"/>
          <w:szCs w:val="32"/>
          <w:u w:val="none"/>
          <w:lang w:val="en-US" w:eastAsia="zh-CN" w:bidi="ar"/>
        </w:rPr>
        <w:t>82.04</w:t>
      </w:r>
      <w:r>
        <w:rPr>
          <w:rFonts w:hint="eastAsia" w:ascii="Times New Roman" w:hAnsi="Times New Roman" w:eastAsia="仿宋_GB2312" w:cs="Times New Roman"/>
          <w:sz w:val="32"/>
          <w:szCs w:val="32"/>
          <w:u w:val="none"/>
          <w:lang w:val="zh-CN" w:eastAsia="zh-CN" w:bidi="ar"/>
        </w:rPr>
        <w:t>%；</w:t>
      </w:r>
      <w:r>
        <w:rPr>
          <w:rFonts w:hint="eastAsia" w:ascii="Times New Roman" w:hAnsi="Times New Roman" w:eastAsia="仿宋_GB2312" w:cs="Times New Roman"/>
          <w:sz w:val="32"/>
          <w:szCs w:val="32"/>
          <w:u w:val="none"/>
          <w:lang w:val="en-US" w:eastAsia="zh-CN" w:bidi="ar"/>
        </w:rPr>
        <w:t>项目支出188.2</w:t>
      </w:r>
      <w:r>
        <w:rPr>
          <w:rFonts w:hint="eastAsia" w:ascii="Times New Roman" w:hAnsi="Times New Roman" w:eastAsia="仿宋_GB2312" w:cs="Times New Roman"/>
          <w:color w:val="auto"/>
          <w:sz w:val="32"/>
          <w:szCs w:val="32"/>
          <w:u w:val="none"/>
          <w:lang w:val="en-US" w:eastAsia="zh-CN" w:bidi="ar"/>
        </w:rPr>
        <w:t>7万元，</w:t>
      </w:r>
      <w:r>
        <w:rPr>
          <w:rFonts w:hint="eastAsia" w:ascii="Times New Roman" w:hAnsi="Times New Roman" w:eastAsia="仿宋_GB2312" w:cs="Times New Roman"/>
          <w:color w:val="auto"/>
          <w:sz w:val="32"/>
          <w:szCs w:val="32"/>
          <w:u w:val="none"/>
          <w:lang w:val="zh-CN" w:eastAsia="zh-CN" w:bidi="ar"/>
        </w:rPr>
        <w:t>占支出合计</w:t>
      </w:r>
      <w:r>
        <w:rPr>
          <w:rFonts w:hint="eastAsia" w:eastAsia="仿宋_GB2312" w:cs="Times New Roman"/>
          <w:color w:val="auto"/>
          <w:sz w:val="32"/>
          <w:szCs w:val="32"/>
          <w:u w:val="none"/>
          <w:lang w:val="en-US" w:eastAsia="zh-CN" w:bidi="ar"/>
        </w:rPr>
        <w:t>17.96</w:t>
      </w:r>
      <w:r>
        <w:rPr>
          <w:rFonts w:hint="eastAsia" w:ascii="Times New Roman" w:hAnsi="Times New Roman" w:eastAsia="仿宋_GB2312" w:cs="Times New Roman"/>
          <w:color w:val="auto"/>
          <w:sz w:val="32"/>
          <w:szCs w:val="32"/>
          <w:u w:val="none"/>
          <w:lang w:val="zh-CN" w:eastAsia="zh-CN" w:bidi="ar"/>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楷体_GB2312" w:cs="Times New Roman"/>
          <w:b/>
          <w:bCs/>
          <w:color w:val="auto"/>
          <w:kern w:val="0"/>
          <w:sz w:val="32"/>
          <w:szCs w:val="32"/>
          <w:highlight w:val="none"/>
          <w:shd w:val="clear" w:color="auto" w:fill="FFFFFF"/>
          <w:lang w:val="zh-CN" w:eastAsia="zh-CN"/>
        </w:rPr>
      </w:pPr>
      <w:r>
        <w:rPr>
          <w:rFonts w:hint="eastAsia" w:ascii="Times New Roman" w:hAnsi="Times New Roman" w:eastAsia="楷体_GB2312" w:cs="Times New Roman"/>
          <w:b/>
          <w:bCs/>
          <w:color w:val="auto"/>
          <w:kern w:val="0"/>
          <w:sz w:val="32"/>
          <w:szCs w:val="32"/>
          <w:highlight w:val="none"/>
          <w:shd w:val="clear" w:color="auto" w:fill="FFFFFF"/>
          <w:lang w:val="zh-CN"/>
        </w:rPr>
        <w:t>（三）结余分配和结转结余情况</w:t>
      </w:r>
    </w:p>
    <w:p>
      <w:pPr>
        <w:spacing w:beforeLines="0" w:afterLines="0" w:line="576" w:lineRule="exact"/>
        <w:ind w:firstLine="640"/>
        <w:jc w:val="both"/>
        <w:rPr>
          <w:rFonts w:hint="eastAsia"/>
          <w:color w:val="auto"/>
          <w:lang w:val="zh-CN" w:eastAsia="zh-CN"/>
        </w:rPr>
      </w:pPr>
      <w:r>
        <w:rPr>
          <w:rFonts w:hint="eastAsia" w:ascii="仿宋_GB2312" w:hAnsi="仿宋_GB2312" w:eastAsia="仿宋_GB2312" w:cs="Times New Roman"/>
          <w:color w:val="auto"/>
          <w:kern w:val="2"/>
          <w:sz w:val="32"/>
          <w:szCs w:val="24"/>
          <w:lang w:val="zh-CN" w:eastAsia="zh-CN"/>
        </w:rPr>
        <w:t>东区</w:t>
      </w:r>
      <w:r>
        <w:rPr>
          <w:rFonts w:hint="eastAsia" w:ascii="仿宋_GB2312" w:hAnsi="仿宋_GB2312" w:eastAsia="仿宋_GB2312" w:cs="Times New Roman"/>
          <w:color w:val="auto"/>
          <w:kern w:val="2"/>
          <w:sz w:val="32"/>
          <w:szCs w:val="24"/>
          <w:lang w:val="en-US" w:eastAsia="zh-CN"/>
        </w:rPr>
        <w:t>行政审批局</w:t>
      </w:r>
      <w:r>
        <w:rPr>
          <w:rFonts w:hint="eastAsia" w:ascii="仿宋_GB2312" w:hAnsi="仿宋_GB2312" w:eastAsia="仿宋_GB2312" w:cs="Times New Roman"/>
          <w:color w:val="auto"/>
          <w:kern w:val="2"/>
          <w:sz w:val="32"/>
          <w:szCs w:val="24"/>
          <w:lang w:val="zh-CN" w:eastAsia="zh-CN"/>
        </w:rPr>
        <w:t xml:space="preserve"> 202</w:t>
      </w:r>
      <w:r>
        <w:rPr>
          <w:rFonts w:hint="eastAsia" w:ascii="仿宋_GB2312" w:hAnsi="仿宋_GB2312" w:eastAsia="仿宋_GB2312" w:cs="Times New Roman"/>
          <w:color w:val="auto"/>
          <w:kern w:val="2"/>
          <w:sz w:val="32"/>
          <w:szCs w:val="24"/>
          <w:lang w:val="en-US" w:eastAsia="zh-CN"/>
        </w:rPr>
        <w:t>4</w:t>
      </w:r>
      <w:r>
        <w:rPr>
          <w:rFonts w:hint="eastAsia" w:ascii="仿宋_GB2312" w:hAnsi="仿宋_GB2312" w:eastAsia="仿宋_GB2312" w:cs="Times New Roman"/>
          <w:color w:val="auto"/>
          <w:kern w:val="2"/>
          <w:sz w:val="32"/>
          <w:szCs w:val="24"/>
          <w:lang w:val="zh-CN" w:eastAsia="zh-CN"/>
        </w:rPr>
        <w:t xml:space="preserve"> 年末结转结余</w:t>
      </w:r>
      <w:r>
        <w:rPr>
          <w:rFonts w:hint="eastAsia" w:ascii="仿宋_GB2312" w:hAnsi="仿宋_GB2312" w:eastAsia="仿宋_GB2312" w:cs="Times New Roman"/>
          <w:color w:val="auto"/>
          <w:kern w:val="2"/>
          <w:sz w:val="32"/>
          <w:szCs w:val="24"/>
          <w:lang w:val="en-US" w:eastAsia="zh-CN"/>
        </w:rPr>
        <w:t xml:space="preserve"> 0</w:t>
      </w:r>
      <w:r>
        <w:rPr>
          <w:rFonts w:hint="eastAsia" w:ascii="仿宋_GB2312" w:hAnsi="仿宋_GB2312" w:eastAsia="仿宋_GB2312" w:cs="Times New Roman"/>
          <w:color w:val="auto"/>
          <w:kern w:val="2"/>
          <w:sz w:val="32"/>
          <w:szCs w:val="24"/>
          <w:lang w:val="zh-CN" w:eastAsia="zh-CN"/>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en-US" w:eastAsia="zh-CN"/>
        </w:rPr>
      </w:pPr>
      <w:r>
        <w:rPr>
          <w:rFonts w:hint="eastAsia" w:ascii="Times New Roman" w:hAnsi="Times New Roman" w:eastAsia="黑体" w:cs="Times New Roman"/>
          <w:color w:val="000000"/>
          <w:kern w:val="0"/>
          <w:sz w:val="32"/>
          <w:szCs w:val="32"/>
          <w:highlight w:val="none"/>
          <w:shd w:val="clear" w:color="auto" w:fill="FFFFFF"/>
          <w:lang w:val="en-US" w:eastAsia="zh-CN"/>
        </w:rPr>
        <w:t>三、部门预算绩效</w:t>
      </w:r>
      <w:r>
        <w:rPr>
          <w:rFonts w:hint="eastAsia" w:eastAsia="黑体" w:cs="Times New Roman"/>
          <w:color w:val="000000"/>
          <w:kern w:val="0"/>
          <w:sz w:val="32"/>
          <w:szCs w:val="32"/>
          <w:highlight w:val="none"/>
          <w:shd w:val="clear" w:color="auto" w:fill="FFFFFF"/>
          <w:lang w:val="en-US" w:eastAsia="zh-CN"/>
        </w:rPr>
        <w:t>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楷体_GB2312" w:cs="Times New Roman"/>
          <w:b/>
          <w:bCs/>
          <w:color w:val="auto"/>
          <w:kern w:val="0"/>
          <w:sz w:val="32"/>
          <w:szCs w:val="32"/>
          <w:highlight w:val="none"/>
          <w:shd w:val="clear" w:color="auto" w:fill="FFFFFF"/>
          <w:lang w:val="zh-CN"/>
        </w:rPr>
      </w:pPr>
      <w:r>
        <w:rPr>
          <w:rFonts w:hint="eastAsia" w:ascii="Times New Roman" w:hAnsi="Times New Roman" w:eastAsia="楷体_GB2312" w:cs="Times New Roman"/>
          <w:b/>
          <w:bCs/>
          <w:color w:val="auto"/>
          <w:kern w:val="0"/>
          <w:sz w:val="32"/>
          <w:szCs w:val="32"/>
          <w:highlight w:val="none"/>
          <w:shd w:val="clear" w:color="auto" w:fill="FFFFFF"/>
          <w:lang w:val="zh-CN"/>
        </w:rPr>
        <w:t>（一）部门预算</w:t>
      </w:r>
      <w:r>
        <w:rPr>
          <w:rFonts w:hint="eastAsia" w:eastAsia="楷体_GB2312" w:cs="Times New Roman"/>
          <w:b/>
          <w:bCs/>
          <w:color w:val="auto"/>
          <w:kern w:val="0"/>
          <w:sz w:val="32"/>
          <w:szCs w:val="32"/>
          <w:highlight w:val="none"/>
          <w:shd w:val="clear" w:color="auto" w:fill="FFFFFF"/>
          <w:lang w:val="en-US" w:eastAsia="zh-CN"/>
        </w:rPr>
        <w:t>总体</w:t>
      </w:r>
      <w:r>
        <w:rPr>
          <w:rFonts w:hint="eastAsia" w:ascii="Times New Roman" w:hAnsi="Times New Roman" w:eastAsia="楷体_GB2312" w:cs="Times New Roman"/>
          <w:b/>
          <w:bCs/>
          <w:color w:val="auto"/>
          <w:kern w:val="0"/>
          <w:sz w:val="32"/>
          <w:szCs w:val="32"/>
          <w:highlight w:val="none"/>
          <w:shd w:val="clear" w:color="auto" w:fill="FFFFFF"/>
          <w:lang w:val="zh-CN"/>
        </w:rPr>
        <w:t>绩效</w:t>
      </w:r>
      <w:r>
        <w:rPr>
          <w:rFonts w:hint="eastAsia" w:eastAsia="楷体_GB2312" w:cs="Times New Roman"/>
          <w:b/>
          <w:bCs/>
          <w:color w:val="auto"/>
          <w:kern w:val="0"/>
          <w:sz w:val="32"/>
          <w:szCs w:val="32"/>
          <w:highlight w:val="none"/>
          <w:shd w:val="clear" w:color="auto" w:fill="FFFFFF"/>
          <w:lang w:val="en-US" w:eastAsia="zh-CN"/>
        </w:rPr>
        <w:t>分析</w:t>
      </w:r>
    </w:p>
    <w:p>
      <w:pPr>
        <w:adjustRightInd w:val="0"/>
        <w:snapToGrid w:val="0"/>
        <w:spacing w:line="578" w:lineRule="exact"/>
        <w:ind w:firstLine="640" w:firstLineChars="200"/>
        <w:contextualSpacing/>
        <w:jc w:val="left"/>
        <w:rPr>
          <w:color w:val="auto"/>
        </w:rPr>
      </w:pPr>
      <w:r>
        <w:rPr>
          <w:rFonts w:hint="eastAsia" w:ascii="楷体_GB2312" w:hAnsi="楷体_GB2312" w:eastAsia="楷体_GB2312" w:cs="楷体_GB2312"/>
          <w:color w:val="auto"/>
          <w:kern w:val="0"/>
          <w:sz w:val="32"/>
          <w:szCs w:val="32"/>
          <w:shd w:val="clear" w:color="auto" w:fill="FFFFFF"/>
        </w:rPr>
        <w:t>1.</w:t>
      </w:r>
      <w:r>
        <w:rPr>
          <w:rFonts w:hint="eastAsia" w:ascii="楷体_GB2312" w:hAnsi="楷体_GB2312" w:eastAsia="楷体_GB2312" w:cs="楷体_GB2312"/>
          <w:color w:val="auto"/>
          <w:kern w:val="0"/>
          <w:sz w:val="32"/>
          <w:szCs w:val="32"/>
          <w:shd w:val="clear" w:color="auto" w:fill="FFFFFF"/>
          <w:lang w:val="zh-CN"/>
        </w:rPr>
        <w:t>履职效能</w:t>
      </w:r>
    </w:p>
    <w:p>
      <w:pPr>
        <w:pStyle w:val="36"/>
        <w:ind w:firstLine="640" w:firstLineChars="200"/>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sz w:val="32"/>
          <w:szCs w:val="32"/>
          <w:lang w:val="en-US" w:eastAsia="zh-CN"/>
        </w:rPr>
        <w:t>东区行政审批局在区委区政府的坚强领导下，紧紧围绕年初</w:t>
      </w:r>
      <w:r>
        <w:rPr>
          <w:rFonts w:hint="eastAsia" w:ascii="Times New Roman" w:hAnsi="Times New Roman" w:eastAsia="仿宋_GB2312" w:cs="Times New Roman"/>
          <w:color w:val="auto"/>
          <w:sz w:val="32"/>
          <w:szCs w:val="32"/>
          <w:lang w:val="zh-CN" w:eastAsia="zh-CN"/>
        </w:rPr>
        <w:t>目标任务，认真履行单位职责，</w:t>
      </w:r>
      <w:r>
        <w:rPr>
          <w:rFonts w:hint="eastAsia" w:ascii="Times New Roman" w:hAnsi="Times New Roman" w:eastAsia="仿宋_GB2312" w:cs="Times New Roman"/>
          <w:color w:val="auto"/>
          <w:sz w:val="32"/>
          <w:szCs w:val="32"/>
          <w:lang w:val="en-US" w:eastAsia="zh-CN"/>
        </w:rPr>
        <w:t>以政务服务增值化改革为抓手，不断探索政务服务新模式。聚焦企业群众办事的“难点、堵点、痛点”攻坚克难，在基本政务服务便捷化的基础上，为企业提供精准化、个性化衍生服务，变“做减法”的提高政务服务便捷度为“做乘法”的精准对接企业发展需求，通过持续提供更优服务，改革红利持续释放，企业、群众办事满意度不断提升。2024年，东区依申请事项的材料减免率42.34%，承诺提速率85.88%，一次办事项占比100%，网上办事项占比100%，全程网办事项占比89.20%，</w:t>
      </w:r>
      <w:r>
        <w:rPr>
          <w:rFonts w:hint="eastAsia" w:ascii="Times New Roman" w:hAnsi="Times New Roman" w:eastAsia="仿宋_GB2312" w:cs="Times New Roman"/>
          <w:color w:val="auto"/>
          <w:kern w:val="2"/>
          <w:sz w:val="32"/>
          <w:szCs w:val="32"/>
          <w:lang w:val="zh-CN" w:eastAsia="zh-CN" w:bidi="ar-SA"/>
        </w:rPr>
        <w:t>单位整体绩效</w:t>
      </w:r>
      <w:r>
        <w:rPr>
          <w:rFonts w:hint="eastAsia" w:ascii="Times New Roman" w:hAnsi="Times New Roman" w:eastAsia="仿宋_GB2312" w:cs="Times New Roman"/>
          <w:color w:val="auto"/>
          <w:kern w:val="2"/>
          <w:sz w:val="32"/>
          <w:szCs w:val="32"/>
          <w:lang w:val="en-US" w:eastAsia="zh-CN" w:bidi="ar-SA"/>
        </w:rPr>
        <w:t>目标</w:t>
      </w:r>
      <w:r>
        <w:rPr>
          <w:rFonts w:hint="eastAsia" w:ascii="Times New Roman" w:hAnsi="Times New Roman" w:eastAsia="仿宋_GB2312" w:cs="Times New Roman"/>
          <w:color w:val="auto"/>
          <w:kern w:val="2"/>
          <w:sz w:val="32"/>
          <w:szCs w:val="32"/>
          <w:lang w:val="zh-CN" w:eastAsia="zh-CN" w:bidi="ar-SA"/>
        </w:rPr>
        <w:t>完成较好，项目绩效评价结果良好，服务对象满意度达到 90%以上。</w:t>
      </w:r>
    </w:p>
    <w:p>
      <w:pPr>
        <w:adjustRightInd w:val="0"/>
        <w:snapToGrid w:val="0"/>
        <w:spacing w:line="578" w:lineRule="exact"/>
        <w:ind w:firstLine="640" w:firstLineChars="200"/>
        <w:contextualSpacing/>
        <w:jc w:val="left"/>
        <w:rPr>
          <w:rFonts w:hint="eastAsia" w:ascii="Times New Roman" w:hAnsi="Times New Roman" w:eastAsia="仿宋_GB2312"/>
          <w:color w:val="auto"/>
          <w:sz w:val="32"/>
          <w:szCs w:val="32"/>
          <w:lang w:val="zh-CN"/>
        </w:rPr>
      </w:pPr>
      <w:r>
        <w:rPr>
          <w:rFonts w:hint="eastAsia" w:ascii="楷体_GB2312" w:hAnsi="楷体_GB2312" w:eastAsia="楷体_GB2312" w:cs="楷体_GB2312"/>
          <w:color w:val="auto"/>
          <w:kern w:val="0"/>
          <w:sz w:val="32"/>
          <w:szCs w:val="32"/>
          <w:shd w:val="clear" w:color="auto" w:fill="FFFFFF"/>
        </w:rPr>
        <w:t>2.</w:t>
      </w:r>
      <w:r>
        <w:rPr>
          <w:rFonts w:ascii="楷体_GB2312" w:hAnsi="楷体_GB2312" w:eastAsia="楷体_GB2312" w:cs="楷体_GB2312"/>
          <w:color w:val="auto"/>
          <w:kern w:val="0"/>
          <w:sz w:val="32"/>
          <w:szCs w:val="32"/>
          <w:shd w:val="clear" w:color="auto" w:fill="FFFFFF"/>
          <w:lang w:val="zh-CN"/>
        </w:rPr>
        <w:t>预算管理</w:t>
      </w:r>
    </w:p>
    <w:p>
      <w:pPr>
        <w:adjustRightInd w:val="0"/>
        <w:snapToGrid w:val="0"/>
        <w:spacing w:line="578" w:lineRule="exact"/>
        <w:ind w:firstLine="640" w:firstLineChars="200"/>
        <w:contextualSpacing/>
        <w:jc w:val="left"/>
        <w:rPr>
          <w:rFonts w:hint="eastAsia" w:ascii="Times New Roman" w:hAnsi="Times New Roman" w:eastAsia="仿宋_GB2312"/>
          <w:color w:val="auto"/>
          <w:sz w:val="32"/>
          <w:szCs w:val="32"/>
          <w:lang w:val="zh-CN"/>
        </w:rPr>
      </w:pPr>
      <w:r>
        <w:rPr>
          <w:rFonts w:hint="eastAsia" w:ascii="Times New Roman" w:hAnsi="Times New Roman" w:eastAsia="仿宋_GB2312"/>
          <w:color w:val="auto"/>
          <w:sz w:val="32"/>
          <w:szCs w:val="32"/>
          <w:lang w:val="en-US" w:eastAsia="zh-CN"/>
        </w:rPr>
        <w:t>一是科学编制预算</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在预算编制过程中，充分考虑部门的工作任务和绩效目标，合理分配资源。以绩效为导向，根据工作的实际需要确定预算额度。通过对历史数据的分析和对未来业务需求的预测，确保预算的准确性和合理性。</w:t>
      </w:r>
      <w:r>
        <w:rPr>
          <w:rFonts w:hint="eastAsia" w:eastAsia="仿宋_GB2312"/>
          <w:color w:val="auto"/>
          <w:sz w:val="32"/>
          <w:szCs w:val="32"/>
          <w:lang w:val="en-US" w:eastAsia="zh-CN"/>
        </w:rPr>
        <w:t>二是</w:t>
      </w:r>
      <w:r>
        <w:rPr>
          <w:rFonts w:hint="eastAsia" w:ascii="Times New Roman" w:hAnsi="Times New Roman" w:eastAsia="仿宋_GB2312"/>
          <w:color w:val="auto"/>
          <w:sz w:val="32"/>
          <w:szCs w:val="32"/>
          <w:lang w:val="en-US" w:eastAsia="zh-CN"/>
        </w:rPr>
        <w:t>严格预算执行</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加强对预算执行的监控，严格控制</w:t>
      </w:r>
      <w:r>
        <w:rPr>
          <w:rFonts w:hint="eastAsia" w:eastAsia="仿宋_GB2312"/>
          <w:color w:val="auto"/>
          <w:sz w:val="32"/>
          <w:szCs w:val="32"/>
          <w:lang w:val="en-US" w:eastAsia="zh-CN"/>
        </w:rPr>
        <w:t>一般性</w:t>
      </w:r>
      <w:r>
        <w:rPr>
          <w:rFonts w:hint="eastAsia" w:ascii="Times New Roman" w:hAnsi="Times New Roman" w:eastAsia="仿宋_GB2312"/>
          <w:color w:val="auto"/>
          <w:sz w:val="32"/>
          <w:szCs w:val="32"/>
          <w:lang w:val="en-US" w:eastAsia="zh-CN"/>
        </w:rPr>
        <w:t>支出</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定期分析预算执行情况，及时发现和解决问题</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确保资金使用符合预算规定，避免超支和浪费。</w:t>
      </w:r>
    </w:p>
    <w:p>
      <w:pPr>
        <w:numPr>
          <w:ilvl w:val="0"/>
          <w:numId w:val="0"/>
        </w:numPr>
        <w:adjustRightInd w:val="0"/>
        <w:snapToGrid w:val="0"/>
        <w:spacing w:line="578" w:lineRule="exact"/>
        <w:ind w:left="640" w:leftChars="0"/>
        <w:contextualSpacing/>
        <w:jc w:val="left"/>
        <w:rPr>
          <w:rFonts w:hint="eastAsia" w:ascii="Times New Roman" w:hAnsi="Times New Roman" w:eastAsia="仿宋_GB2312"/>
          <w:color w:val="auto"/>
          <w:sz w:val="32"/>
          <w:szCs w:val="32"/>
          <w:lang w:val="zh-CN"/>
        </w:rPr>
      </w:pPr>
      <w:r>
        <w:rPr>
          <w:rFonts w:hint="eastAsia" w:ascii="楷体_GB2312" w:hAnsi="楷体_GB2312" w:eastAsia="楷体_GB2312" w:cs="楷体_GB2312"/>
          <w:color w:val="auto"/>
          <w:kern w:val="0"/>
          <w:sz w:val="32"/>
          <w:szCs w:val="32"/>
          <w:shd w:val="clear" w:color="auto" w:fill="FFFFFF"/>
          <w:lang w:val="en-US" w:eastAsia="zh-CN"/>
        </w:rPr>
        <w:t>3.</w:t>
      </w:r>
      <w:r>
        <w:rPr>
          <w:rFonts w:hint="eastAsia" w:ascii="楷体_GB2312" w:hAnsi="楷体_GB2312" w:eastAsia="楷体_GB2312" w:cs="楷体_GB2312"/>
          <w:color w:val="auto"/>
          <w:kern w:val="0"/>
          <w:sz w:val="32"/>
          <w:szCs w:val="32"/>
          <w:shd w:val="clear" w:color="auto" w:fill="FFFFFF"/>
          <w:lang w:val="zh-CN"/>
        </w:rPr>
        <w:t>财务管理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color w:val="auto"/>
          <w:lang w:val="zh-CN"/>
        </w:rPr>
      </w:pPr>
      <w:r>
        <w:rPr>
          <w:rFonts w:hint="eastAsia" w:ascii="仿宋_GB2312" w:hAnsi="仿宋_GB2312" w:eastAsia="仿宋_GB2312" w:cs="仿宋_GB2312"/>
          <w:color w:val="auto"/>
          <w:sz w:val="32"/>
          <w:szCs w:val="32"/>
          <w:lang w:val="en-US" w:eastAsia="zh-CN"/>
        </w:rPr>
        <w:t>一是进一步完善财务管理制度和内部控制管理制度，建立健全长效机制，</w:t>
      </w:r>
      <w:r>
        <w:rPr>
          <w:rFonts w:hint="eastAsia" w:ascii="Times New Roman" w:hAnsi="Times New Roman" w:eastAsia="仿宋_GB2312"/>
          <w:color w:val="auto"/>
          <w:sz w:val="32"/>
          <w:szCs w:val="32"/>
          <w:lang w:val="en-US" w:eastAsia="zh-CN"/>
        </w:rPr>
        <w:t>规范经费报销流程，确保资金使用合法合规。</w:t>
      </w:r>
      <w:r>
        <w:rPr>
          <w:rFonts w:hint="eastAsia" w:ascii="Times New Roman" w:hAnsi="Times New Roman" w:eastAsia="仿宋_GB2312" w:cs="Times New Roman"/>
          <w:color w:val="auto"/>
          <w:sz w:val="32"/>
          <w:szCs w:val="32"/>
          <w:lang w:val="en-US" w:eastAsia="zh-CN"/>
        </w:rPr>
        <w:t>坚持厉行节约原则，</w:t>
      </w:r>
      <w:r>
        <w:rPr>
          <w:rFonts w:hint="eastAsia" w:ascii="仿宋_GB2312" w:hAnsi="仿宋_GB2312" w:eastAsia="仿宋_GB2312" w:cs="仿宋_GB2312"/>
          <w:color w:val="auto"/>
          <w:sz w:val="32"/>
          <w:szCs w:val="32"/>
          <w:lang w:val="en-US" w:eastAsia="zh-CN"/>
        </w:rPr>
        <w:t>按照支出标准和规定用途使用财政资金，规范支付行为，确保财政资金安全。二是严格按照预算编制范围和标准等规定执行，严禁无预算、超预算和超标准列支经费情况。严格预决算刚性约束，加强管理，进一步提升财务能力和水平。</w:t>
      </w:r>
    </w:p>
    <w:p>
      <w:pPr>
        <w:numPr>
          <w:ilvl w:val="0"/>
          <w:numId w:val="0"/>
        </w:numPr>
        <w:adjustRightInd w:val="0"/>
        <w:snapToGrid w:val="0"/>
        <w:spacing w:line="578" w:lineRule="exact"/>
        <w:ind w:firstLine="640" w:firstLineChars="200"/>
        <w:contextualSpacing/>
        <w:jc w:val="left"/>
        <w:rPr>
          <w:rFonts w:hint="eastAsia" w:ascii="Times New Roman" w:hAnsi="Times New Roman" w:eastAsia="仿宋_GB2312"/>
          <w:color w:val="auto"/>
          <w:sz w:val="32"/>
          <w:szCs w:val="32"/>
          <w:lang w:val="zh-CN"/>
        </w:rPr>
      </w:pPr>
      <w:r>
        <w:rPr>
          <w:rFonts w:hint="eastAsia" w:ascii="楷体_GB2312" w:hAnsi="楷体_GB2312" w:eastAsia="楷体_GB2312" w:cs="楷体_GB2312"/>
          <w:color w:val="auto"/>
          <w:kern w:val="0"/>
          <w:sz w:val="32"/>
          <w:szCs w:val="32"/>
          <w:shd w:val="clear" w:color="auto" w:fill="FFFFFF"/>
          <w:lang w:val="en-US" w:eastAsia="zh-CN"/>
        </w:rPr>
        <w:t>4.</w:t>
      </w:r>
      <w:r>
        <w:rPr>
          <w:rFonts w:ascii="楷体_GB2312" w:hAnsi="楷体_GB2312" w:eastAsia="楷体_GB2312" w:cs="楷体_GB2312"/>
          <w:color w:val="auto"/>
          <w:kern w:val="0"/>
          <w:sz w:val="32"/>
          <w:szCs w:val="32"/>
          <w:shd w:val="clear" w:color="auto" w:fill="FFFFFF"/>
          <w:lang w:val="zh-CN"/>
        </w:rPr>
        <w:t>资产管理</w:t>
      </w:r>
    </w:p>
    <w:p>
      <w:pPr>
        <w:pStyle w:val="36"/>
        <w:keepNext w:val="0"/>
        <w:keepLines w:val="0"/>
        <w:pageBreakBefore w:val="0"/>
        <w:widowControl w:val="0"/>
        <w:kinsoku/>
        <w:wordWrap/>
        <w:overflowPunct/>
        <w:topLinePunct w:val="0"/>
        <w:autoSpaceDE/>
        <w:autoSpaceDN/>
        <w:bidi w:val="0"/>
        <w:spacing w:line="600" w:lineRule="exact"/>
        <w:ind w:firstLine="640" w:firstLineChars="200"/>
        <w:rPr>
          <w:rFonts w:hint="eastAsia"/>
          <w:color w:val="auto"/>
          <w:lang w:val="zh-CN"/>
        </w:rPr>
      </w:pPr>
      <w:r>
        <w:rPr>
          <w:rFonts w:hint="eastAsia" w:eastAsia="仿宋_GB2312"/>
          <w:color w:val="auto"/>
          <w:kern w:val="0"/>
          <w:sz w:val="32"/>
          <w:szCs w:val="32"/>
          <w:lang w:val="en-US" w:eastAsia="zh-CN"/>
        </w:rPr>
        <w:t>一是制度建设情况。建立健全资产管理的各项规章制度，</w:t>
      </w:r>
      <w:r>
        <w:rPr>
          <w:rFonts w:eastAsia="仿宋_GB2312"/>
          <w:color w:val="auto"/>
          <w:kern w:val="0"/>
          <w:sz w:val="32"/>
          <w:szCs w:val="32"/>
        </w:rPr>
        <w:t>严格执行《行政单位国有资产管理暂行办法》</w:t>
      </w:r>
      <w:r>
        <w:rPr>
          <w:rFonts w:hint="eastAsia" w:eastAsia="仿宋_GB2312"/>
          <w:color w:val="auto"/>
          <w:kern w:val="0"/>
          <w:sz w:val="32"/>
          <w:szCs w:val="32"/>
          <w:lang w:val="en-US" w:eastAsia="zh-CN"/>
        </w:rPr>
        <w:t>和单位内控</w:t>
      </w:r>
      <w:r>
        <w:rPr>
          <w:rFonts w:eastAsia="仿宋_GB2312"/>
          <w:color w:val="auto"/>
          <w:kern w:val="0"/>
          <w:sz w:val="32"/>
          <w:szCs w:val="32"/>
        </w:rPr>
        <w:t>制度，</w:t>
      </w:r>
      <w:r>
        <w:rPr>
          <w:rFonts w:hint="eastAsia" w:eastAsia="仿宋_GB2312"/>
          <w:color w:val="auto"/>
          <w:kern w:val="0"/>
          <w:sz w:val="32"/>
          <w:szCs w:val="32"/>
          <w:lang w:val="en-US" w:eastAsia="zh-CN"/>
        </w:rPr>
        <w:t>落实相关管理人员和使用人员职责，资产领用有记录。二是</w:t>
      </w:r>
      <w:r>
        <w:rPr>
          <w:rFonts w:eastAsia="仿宋_GB2312"/>
          <w:color w:val="auto"/>
          <w:kern w:val="0"/>
          <w:sz w:val="32"/>
          <w:szCs w:val="32"/>
        </w:rPr>
        <w:t>日常管理工作。</w:t>
      </w:r>
      <w:r>
        <w:rPr>
          <w:rFonts w:hint="eastAsia" w:eastAsia="仿宋_GB2312"/>
          <w:color w:val="auto"/>
          <w:kern w:val="0"/>
          <w:sz w:val="32"/>
          <w:szCs w:val="32"/>
          <w:lang w:val="en-US" w:eastAsia="zh-CN"/>
        </w:rPr>
        <w:t>设置固定资产卡片、总账和明细账簿，</w:t>
      </w:r>
      <w:r>
        <w:rPr>
          <w:rFonts w:eastAsia="仿宋_GB2312"/>
          <w:color w:val="auto"/>
          <w:kern w:val="0"/>
          <w:sz w:val="32"/>
          <w:szCs w:val="32"/>
        </w:rPr>
        <w:t>定期检查，对新增资产做到及时入帐，</w:t>
      </w:r>
      <w:r>
        <w:rPr>
          <w:rFonts w:hint="eastAsia" w:eastAsia="仿宋_GB2312"/>
          <w:color w:val="auto"/>
          <w:kern w:val="0"/>
          <w:sz w:val="32"/>
          <w:szCs w:val="32"/>
          <w:lang w:val="en-US" w:eastAsia="zh-CN"/>
        </w:rPr>
        <w:t>按照资产管理要求录入更新国有资产管理信息系统，做到账账相符、</w:t>
      </w:r>
      <w:r>
        <w:rPr>
          <w:rFonts w:eastAsia="仿宋_GB2312"/>
          <w:color w:val="auto"/>
          <w:kern w:val="0"/>
          <w:sz w:val="32"/>
          <w:szCs w:val="32"/>
        </w:rPr>
        <w:t>账实相符，防止国有资产的流失。</w:t>
      </w:r>
      <w:r>
        <w:rPr>
          <w:rFonts w:hint="eastAsia" w:eastAsia="仿宋_GB2312"/>
          <w:color w:val="auto"/>
          <w:kern w:val="0"/>
          <w:sz w:val="32"/>
          <w:szCs w:val="32"/>
          <w:lang w:val="en-US" w:eastAsia="zh-CN"/>
        </w:rPr>
        <w:t>三是资产处置情况。按照资产处置规定履行审批和报备程序，并及时做好账务处理，处置收益或残值按照“收支两条线”管理规定，及时缴入财政专户。</w:t>
      </w:r>
    </w:p>
    <w:p>
      <w:pPr>
        <w:numPr>
          <w:ilvl w:val="0"/>
          <w:numId w:val="0"/>
        </w:numPr>
        <w:adjustRightInd w:val="0"/>
        <w:snapToGrid w:val="0"/>
        <w:spacing w:line="578" w:lineRule="exact"/>
        <w:ind w:firstLine="640" w:firstLineChars="200"/>
        <w:contextualSpacing/>
        <w:jc w:val="left"/>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en-US" w:eastAsia="zh-CN"/>
        </w:rPr>
        <w:t>5.</w:t>
      </w:r>
      <w:r>
        <w:rPr>
          <w:rFonts w:ascii="楷体_GB2312" w:hAnsi="楷体_GB2312" w:eastAsia="楷体_GB2312" w:cs="楷体_GB2312"/>
          <w:color w:val="auto"/>
          <w:kern w:val="0"/>
          <w:sz w:val="32"/>
          <w:szCs w:val="32"/>
          <w:shd w:val="clear" w:color="auto" w:fill="FFFFFF"/>
          <w:lang w:val="zh-CN"/>
        </w:rPr>
        <w:t>采购管理</w:t>
      </w:r>
    </w:p>
    <w:p>
      <w:pPr>
        <w:numPr>
          <w:ilvl w:val="0"/>
          <w:numId w:val="0"/>
        </w:numPr>
        <w:adjustRightInd w:val="0"/>
        <w:snapToGrid w:val="0"/>
        <w:spacing w:line="578" w:lineRule="exact"/>
        <w:ind w:firstLine="640" w:firstLineChars="200"/>
        <w:contextualSpacing/>
        <w:jc w:val="left"/>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根据《攀枝花市东区政府采购预算管理办法》，</w:t>
      </w:r>
      <w:r>
        <w:rPr>
          <w:rFonts w:hint="eastAsia" w:eastAsia="仿宋_GB2312"/>
          <w:color w:val="auto"/>
          <w:sz w:val="32"/>
          <w:szCs w:val="32"/>
          <w:lang w:val="en-US" w:eastAsia="zh-CN"/>
        </w:rPr>
        <w:t>坚持</w:t>
      </w:r>
      <w:r>
        <w:rPr>
          <w:rFonts w:hint="default"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val="en-US" w:eastAsia="zh-CN"/>
        </w:rPr>
        <w:t>无</w:t>
      </w:r>
    </w:p>
    <w:p>
      <w:pPr>
        <w:numPr>
          <w:ilvl w:val="0"/>
          <w:numId w:val="0"/>
        </w:numPr>
        <w:adjustRightInd w:val="0"/>
        <w:snapToGrid w:val="0"/>
        <w:spacing w:line="578" w:lineRule="exact"/>
        <w:contextualSpacing/>
        <w:jc w:val="left"/>
        <w:rPr>
          <w:rFonts w:hint="eastAsia" w:ascii="仿宋_GB2312" w:hAnsi="仿宋_GB2312" w:eastAsia="仿宋_GB2312" w:cs="Times New Roman"/>
          <w:color w:val="auto"/>
          <w:kern w:val="2"/>
          <w:sz w:val="32"/>
          <w:szCs w:val="24"/>
          <w:lang w:val="zh-CN" w:eastAsia="zh-CN"/>
        </w:rPr>
      </w:pPr>
      <w:r>
        <w:rPr>
          <w:rFonts w:hint="eastAsia" w:ascii="Times New Roman" w:hAnsi="Times New Roman" w:eastAsia="仿宋_GB2312"/>
          <w:color w:val="auto"/>
          <w:sz w:val="32"/>
          <w:szCs w:val="32"/>
          <w:lang w:val="en-US" w:eastAsia="zh-CN"/>
        </w:rPr>
        <w:t>预算，不采购</w:t>
      </w:r>
      <w:r>
        <w:rPr>
          <w:rFonts w:hint="default"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val="en-US" w:eastAsia="zh-CN"/>
        </w:rPr>
        <w:t>的原则</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做好年度政府采购预算编制工作</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认真履行落实政府采购政策的主体责任</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按照《政府采购促进中小企业发展管理办法》、《四川省政府采购面向中小企业采购品目指导目录》</w:t>
      </w:r>
      <w:r>
        <w:rPr>
          <w:rFonts w:hint="eastAsia" w:eastAsia="仿宋_GB2312"/>
          <w:color w:val="auto"/>
          <w:sz w:val="32"/>
          <w:szCs w:val="32"/>
          <w:lang w:val="en-US" w:eastAsia="zh-CN"/>
        </w:rPr>
        <w:t>等</w:t>
      </w:r>
      <w:r>
        <w:rPr>
          <w:rFonts w:hint="eastAsia" w:ascii="Times New Roman" w:hAnsi="Times New Roman" w:eastAsia="仿宋_GB2312"/>
          <w:color w:val="auto"/>
          <w:sz w:val="32"/>
          <w:szCs w:val="32"/>
          <w:lang w:val="en-US" w:eastAsia="zh-CN"/>
        </w:rPr>
        <w:t>要求，为中小企业预留采购份额，支持中小企业发展。严格按政府采购预算实施采购计划，公示公开采购信息，确保采购流程合法合规，严把质量关，</w:t>
      </w:r>
      <w:r>
        <w:rPr>
          <w:rFonts w:hint="eastAsia" w:eastAsia="仿宋_GB2312"/>
          <w:color w:val="auto"/>
          <w:sz w:val="32"/>
          <w:szCs w:val="32"/>
          <w:lang w:val="en-US" w:eastAsia="zh-CN"/>
        </w:rPr>
        <w:t>提高</w:t>
      </w:r>
      <w:r>
        <w:rPr>
          <w:rFonts w:hint="eastAsia" w:ascii="Times New Roman" w:hAnsi="Times New Roman" w:eastAsia="仿宋_GB2312"/>
          <w:color w:val="auto"/>
          <w:sz w:val="32"/>
          <w:szCs w:val="32"/>
          <w:lang w:val="en-US" w:eastAsia="zh-CN"/>
        </w:rPr>
        <w:t>实效。</w:t>
      </w:r>
    </w:p>
    <w:p>
      <w:pPr>
        <w:widowControl/>
        <w:adjustRightInd w:val="0"/>
        <w:snapToGrid w:val="0"/>
        <w:spacing w:line="578" w:lineRule="exact"/>
        <w:ind w:firstLine="640" w:firstLineChars="200"/>
        <w:contextualSpacing/>
        <w:jc w:val="left"/>
        <w:rPr>
          <w:rFonts w:ascii="Times New Roman" w:hAnsi="Times New Roman" w:eastAsia="楷体_GB2312"/>
          <w:b/>
          <w:bCs/>
          <w:color w:val="auto"/>
          <w:kern w:val="0"/>
          <w:sz w:val="32"/>
          <w:szCs w:val="32"/>
          <w:shd w:val="clear" w:color="auto" w:fill="FFFFFF"/>
          <w:lang w:val="zh-CN"/>
        </w:rPr>
      </w:pPr>
      <w:r>
        <w:rPr>
          <w:rFonts w:ascii="Times New Roman" w:hAnsi="Times New Roman" w:eastAsia="楷体_GB2312"/>
          <w:b/>
          <w:bCs/>
          <w:color w:val="auto"/>
          <w:kern w:val="0"/>
          <w:sz w:val="32"/>
          <w:szCs w:val="32"/>
          <w:shd w:val="clear" w:color="auto" w:fill="FFFFFF"/>
          <w:lang w:val="zh-CN"/>
        </w:rPr>
        <w:t>（二）部门预算项目绩效分析</w:t>
      </w:r>
    </w:p>
    <w:p>
      <w:pPr>
        <w:widowControl/>
        <w:adjustRightInd w:val="0"/>
        <w:snapToGrid w:val="0"/>
        <w:spacing w:line="578" w:lineRule="exact"/>
        <w:ind w:firstLine="640" w:firstLineChars="200"/>
        <w:contextualSpacing/>
        <w:jc w:val="left"/>
        <w:rPr>
          <w:rFonts w:ascii="Times New Roman" w:hAnsi="Times New Roman" w:eastAsia="仿宋_GB2312"/>
          <w:color w:val="auto"/>
          <w:sz w:val="32"/>
          <w:szCs w:val="32"/>
          <w:lang w:val="zh-CN"/>
        </w:rPr>
      </w:pPr>
      <w:r>
        <w:rPr>
          <w:rFonts w:ascii="Times New Roman" w:hAnsi="Times New Roman" w:eastAsia="仿宋_GB2312"/>
          <w:color w:val="auto"/>
          <w:sz w:val="32"/>
          <w:szCs w:val="32"/>
        </w:rPr>
        <w:t>常年项目绩效分析。</w:t>
      </w:r>
      <w:r>
        <w:rPr>
          <w:rFonts w:ascii="Times New Roman" w:hAnsi="Times New Roman" w:eastAsia="仿宋_GB2312"/>
          <w:color w:val="auto"/>
          <w:sz w:val="32"/>
          <w:szCs w:val="32"/>
          <w:lang w:val="zh-CN"/>
        </w:rPr>
        <w:t>该类项目总数</w:t>
      </w:r>
      <w:r>
        <w:rPr>
          <w:rFonts w:hint="eastAsia" w:ascii="Times New Roman" w:hAnsi="Times New Roman" w:eastAsia="仿宋_GB2312"/>
          <w:color w:val="auto"/>
          <w:sz w:val="32"/>
          <w:szCs w:val="32"/>
          <w:lang w:val="en-US" w:eastAsia="zh-CN"/>
        </w:rPr>
        <w:t>6</w:t>
      </w:r>
      <w:r>
        <w:rPr>
          <w:rFonts w:ascii="Times New Roman" w:hAnsi="Times New Roman" w:eastAsia="仿宋_GB2312"/>
          <w:color w:val="auto"/>
          <w:sz w:val="32"/>
          <w:szCs w:val="32"/>
          <w:lang w:val="zh-CN"/>
        </w:rPr>
        <w:t>个，涉及预算总金额</w:t>
      </w:r>
      <w:r>
        <w:rPr>
          <w:rFonts w:hint="eastAsia" w:eastAsia="仿宋_GB2312"/>
          <w:color w:val="auto"/>
          <w:sz w:val="32"/>
          <w:szCs w:val="32"/>
          <w:lang w:val="en-US" w:eastAsia="zh-CN"/>
        </w:rPr>
        <w:t>299.36</w:t>
      </w:r>
      <w:r>
        <w:rPr>
          <w:rFonts w:ascii="Times New Roman" w:hAnsi="Times New Roman" w:eastAsia="仿宋_GB2312"/>
          <w:color w:val="auto"/>
          <w:sz w:val="32"/>
          <w:szCs w:val="32"/>
          <w:lang w:val="zh-CN"/>
        </w:rPr>
        <w:t>万元，1</w:t>
      </w:r>
      <w:r>
        <w:rPr>
          <w:rFonts w:hint="eastAsia" w:ascii="Times New Roman" w:hAnsi="Times New Roman" w:eastAsia="仿宋_GB2312"/>
          <w:color w:val="auto"/>
          <w:sz w:val="32"/>
          <w:szCs w:val="32"/>
          <w:lang w:val="zh-CN"/>
        </w:rPr>
        <w:t>—</w:t>
      </w:r>
      <w:r>
        <w:rPr>
          <w:rFonts w:ascii="Times New Roman" w:hAnsi="Times New Roman" w:eastAsia="仿宋_GB2312"/>
          <w:color w:val="auto"/>
          <w:sz w:val="32"/>
          <w:szCs w:val="32"/>
          <w:lang w:val="zh-CN"/>
        </w:rPr>
        <w:t>1</w:t>
      </w:r>
      <w:r>
        <w:rPr>
          <w:rFonts w:ascii="Times New Roman" w:hAnsi="Times New Roman" w:eastAsia="仿宋_GB2312"/>
          <w:color w:val="auto"/>
          <w:sz w:val="32"/>
          <w:szCs w:val="32"/>
        </w:rPr>
        <w:t>2</w:t>
      </w:r>
      <w:r>
        <w:rPr>
          <w:rFonts w:ascii="Times New Roman" w:hAnsi="Times New Roman" w:eastAsia="仿宋_GB2312"/>
          <w:color w:val="auto"/>
          <w:sz w:val="32"/>
          <w:szCs w:val="32"/>
          <w:lang w:val="zh-CN"/>
        </w:rPr>
        <w:t>月预算执行总体进度为</w:t>
      </w:r>
      <w:r>
        <w:rPr>
          <w:rFonts w:hint="eastAsia" w:eastAsia="仿宋_GB2312"/>
          <w:color w:val="auto"/>
          <w:sz w:val="32"/>
          <w:szCs w:val="32"/>
          <w:lang w:val="en-US" w:eastAsia="zh-CN"/>
        </w:rPr>
        <w:t>62.89</w:t>
      </w:r>
      <w:r>
        <w:rPr>
          <w:rFonts w:ascii="Times New Roman" w:hAnsi="Times New Roman" w:eastAsia="仿宋_GB2312"/>
          <w:color w:val="auto"/>
          <w:sz w:val="32"/>
          <w:szCs w:val="32"/>
          <w:lang w:val="zh-CN"/>
        </w:rPr>
        <w:t>%，其中：预算结余率大于</w:t>
      </w:r>
      <w:r>
        <w:rPr>
          <w:rFonts w:ascii="Times New Roman" w:hAnsi="Times New Roman" w:eastAsia="仿宋_GB2312"/>
          <w:color w:val="auto"/>
          <w:sz w:val="32"/>
          <w:szCs w:val="32"/>
        </w:rPr>
        <w:t>10%</w:t>
      </w:r>
      <w:r>
        <w:rPr>
          <w:rFonts w:ascii="Times New Roman" w:hAnsi="Times New Roman" w:eastAsia="仿宋_GB2312"/>
          <w:color w:val="auto"/>
          <w:sz w:val="32"/>
          <w:szCs w:val="32"/>
          <w:lang w:val="zh-CN"/>
        </w:rPr>
        <w:t>的项目共计</w:t>
      </w:r>
      <w:r>
        <w:rPr>
          <w:rFonts w:hint="eastAsia" w:eastAsia="仿宋_GB2312"/>
          <w:color w:val="auto"/>
          <w:sz w:val="32"/>
          <w:szCs w:val="32"/>
          <w:lang w:val="en-US" w:eastAsia="zh-CN"/>
        </w:rPr>
        <w:t>3</w:t>
      </w:r>
      <w:r>
        <w:rPr>
          <w:rFonts w:ascii="Times New Roman" w:hAnsi="Times New Roman" w:eastAsia="仿宋_GB2312"/>
          <w:color w:val="auto"/>
          <w:sz w:val="32"/>
          <w:szCs w:val="32"/>
          <w:lang w:val="zh-CN"/>
        </w:rPr>
        <w:t>个。</w:t>
      </w:r>
    </w:p>
    <w:p>
      <w:pPr>
        <w:widowControl/>
        <w:adjustRightInd w:val="0"/>
        <w:snapToGrid w:val="0"/>
        <w:spacing w:line="578" w:lineRule="exact"/>
        <w:ind w:firstLine="640" w:firstLineChars="200"/>
        <w:contextualSpacing/>
        <w:jc w:val="left"/>
        <w:rPr>
          <w:rFonts w:ascii="Times New Roman" w:hAnsi="Times New Roman" w:eastAsia="仿宋_GB2312"/>
          <w:color w:val="auto"/>
          <w:sz w:val="32"/>
          <w:szCs w:val="32"/>
          <w:lang w:val="zh-CN"/>
        </w:rPr>
      </w:pPr>
      <w:r>
        <w:rPr>
          <w:rFonts w:ascii="Times New Roman" w:hAnsi="Times New Roman" w:eastAsia="仿宋_GB2312"/>
          <w:color w:val="auto"/>
          <w:sz w:val="32"/>
          <w:szCs w:val="32"/>
        </w:rPr>
        <w:t>阶段</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一次性</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项目绩效分析。</w:t>
      </w:r>
      <w:r>
        <w:rPr>
          <w:rFonts w:ascii="Times New Roman" w:hAnsi="Times New Roman" w:eastAsia="仿宋_GB2312"/>
          <w:color w:val="auto"/>
          <w:sz w:val="32"/>
          <w:szCs w:val="32"/>
          <w:lang w:val="zh-CN"/>
        </w:rPr>
        <w:t>该类项目总数</w:t>
      </w:r>
      <w:r>
        <w:rPr>
          <w:rFonts w:hint="eastAsia" w:eastAsia="仿宋_GB2312"/>
          <w:color w:val="auto"/>
          <w:sz w:val="32"/>
          <w:szCs w:val="32"/>
          <w:lang w:val="en-US" w:eastAsia="zh-CN"/>
        </w:rPr>
        <w:t>0</w:t>
      </w:r>
      <w:r>
        <w:rPr>
          <w:rFonts w:ascii="Times New Roman" w:hAnsi="Times New Roman" w:eastAsia="仿宋_GB2312"/>
          <w:color w:val="auto"/>
          <w:sz w:val="32"/>
          <w:szCs w:val="32"/>
          <w:lang w:val="zh-CN"/>
        </w:rPr>
        <w:t>个，涉及预算总金额</w:t>
      </w:r>
      <w:r>
        <w:rPr>
          <w:rFonts w:hint="eastAsia" w:eastAsia="仿宋_GB2312"/>
          <w:color w:val="auto"/>
          <w:sz w:val="32"/>
          <w:szCs w:val="32"/>
          <w:lang w:val="en-US" w:eastAsia="zh-CN"/>
        </w:rPr>
        <w:t>0</w:t>
      </w:r>
      <w:r>
        <w:rPr>
          <w:rFonts w:ascii="Times New Roman" w:hAnsi="Times New Roman" w:eastAsia="仿宋_GB2312"/>
          <w:color w:val="auto"/>
          <w:sz w:val="32"/>
          <w:szCs w:val="32"/>
          <w:lang w:val="zh-CN"/>
        </w:rPr>
        <w:t>万元，1</w:t>
      </w:r>
      <w:r>
        <w:rPr>
          <w:rFonts w:hint="eastAsia" w:ascii="Times New Roman" w:hAnsi="Times New Roman" w:eastAsia="仿宋_GB2312"/>
          <w:color w:val="auto"/>
          <w:sz w:val="32"/>
          <w:szCs w:val="32"/>
          <w:lang w:val="zh-CN"/>
        </w:rPr>
        <w:t>—</w:t>
      </w:r>
      <w:r>
        <w:rPr>
          <w:rFonts w:ascii="Times New Roman" w:hAnsi="Times New Roman" w:eastAsia="仿宋_GB2312"/>
          <w:color w:val="auto"/>
          <w:sz w:val="32"/>
          <w:szCs w:val="32"/>
          <w:lang w:val="zh-CN"/>
        </w:rPr>
        <w:t>1</w:t>
      </w:r>
      <w:r>
        <w:rPr>
          <w:rFonts w:ascii="Times New Roman" w:hAnsi="Times New Roman" w:eastAsia="仿宋_GB2312"/>
          <w:color w:val="auto"/>
          <w:sz w:val="32"/>
          <w:szCs w:val="32"/>
        </w:rPr>
        <w:t>2</w:t>
      </w:r>
      <w:r>
        <w:rPr>
          <w:rFonts w:ascii="Times New Roman" w:hAnsi="Times New Roman" w:eastAsia="仿宋_GB2312"/>
          <w:color w:val="auto"/>
          <w:sz w:val="32"/>
          <w:szCs w:val="32"/>
          <w:lang w:val="zh-CN"/>
        </w:rPr>
        <w:t>月预算执行总体进度为</w:t>
      </w:r>
      <w:r>
        <w:rPr>
          <w:rFonts w:hint="eastAsia" w:eastAsia="仿宋_GB2312"/>
          <w:color w:val="auto"/>
          <w:sz w:val="32"/>
          <w:szCs w:val="32"/>
          <w:lang w:val="en-US" w:eastAsia="zh-CN"/>
        </w:rPr>
        <w:t>0</w:t>
      </w:r>
      <w:r>
        <w:rPr>
          <w:rFonts w:ascii="Times New Roman" w:hAnsi="Times New Roman" w:eastAsia="仿宋_GB2312"/>
          <w:color w:val="auto"/>
          <w:sz w:val="32"/>
          <w:szCs w:val="32"/>
          <w:lang w:val="zh-CN"/>
        </w:rPr>
        <w:t>%，其中：预算结余率大于</w:t>
      </w:r>
      <w:r>
        <w:rPr>
          <w:rFonts w:ascii="Times New Roman" w:hAnsi="Times New Roman" w:eastAsia="仿宋_GB2312"/>
          <w:color w:val="auto"/>
          <w:sz w:val="32"/>
          <w:szCs w:val="32"/>
        </w:rPr>
        <w:t>10%</w:t>
      </w:r>
      <w:r>
        <w:rPr>
          <w:rFonts w:ascii="Times New Roman" w:hAnsi="Times New Roman" w:eastAsia="仿宋_GB2312"/>
          <w:color w:val="auto"/>
          <w:sz w:val="32"/>
          <w:szCs w:val="32"/>
          <w:lang w:val="zh-CN"/>
        </w:rPr>
        <w:t>的项目共计</w:t>
      </w:r>
      <w:r>
        <w:rPr>
          <w:rFonts w:hint="eastAsia" w:eastAsia="仿宋_GB2312"/>
          <w:color w:val="auto"/>
          <w:sz w:val="32"/>
          <w:szCs w:val="32"/>
          <w:lang w:val="en-US" w:eastAsia="zh-CN"/>
        </w:rPr>
        <w:t>0</w:t>
      </w:r>
      <w:r>
        <w:rPr>
          <w:rFonts w:ascii="Times New Roman" w:hAnsi="Times New Roman" w:eastAsia="仿宋_GB2312"/>
          <w:color w:val="auto"/>
          <w:sz w:val="32"/>
          <w:szCs w:val="32"/>
          <w:lang w:val="zh-CN"/>
        </w:rPr>
        <w:t>个。</w:t>
      </w:r>
    </w:p>
    <w:p>
      <w:pPr>
        <w:numPr>
          <w:ilvl w:val="0"/>
          <w:numId w:val="0"/>
        </w:numPr>
        <w:adjustRightInd w:val="0"/>
        <w:snapToGrid w:val="0"/>
        <w:spacing w:line="578" w:lineRule="exact"/>
        <w:ind w:firstLine="640" w:firstLineChars="200"/>
        <w:contextualSpacing/>
        <w:jc w:val="left"/>
        <w:rPr>
          <w:rFonts w:hint="eastAsia" w:ascii="Times New Roman" w:hAnsi="Times New Roman" w:eastAsia="仿宋_GB2312"/>
          <w:color w:val="auto"/>
          <w:sz w:val="32"/>
          <w:szCs w:val="32"/>
          <w:lang w:val="zh-CN"/>
        </w:rPr>
      </w:pPr>
      <w:r>
        <w:rPr>
          <w:rFonts w:hint="eastAsia" w:ascii="楷体_GB2312" w:hAnsi="楷体_GB2312" w:eastAsia="楷体_GB2312" w:cs="楷体_GB2312"/>
          <w:color w:val="auto"/>
          <w:kern w:val="0"/>
          <w:sz w:val="32"/>
          <w:szCs w:val="32"/>
          <w:shd w:val="clear" w:color="auto" w:fill="FFFFFF"/>
          <w:lang w:val="en-US" w:eastAsia="zh-CN"/>
        </w:rPr>
        <w:t>1.</w:t>
      </w:r>
      <w:r>
        <w:rPr>
          <w:rFonts w:hint="eastAsia" w:ascii="楷体_GB2312" w:hAnsi="楷体_GB2312" w:eastAsia="楷体_GB2312" w:cs="楷体_GB2312"/>
          <w:color w:val="auto"/>
          <w:kern w:val="0"/>
          <w:sz w:val="32"/>
          <w:szCs w:val="32"/>
          <w:shd w:val="clear" w:color="auto" w:fill="FFFFFF"/>
          <w:lang w:val="zh-CN"/>
        </w:rPr>
        <w:t>项目决策</w:t>
      </w:r>
    </w:p>
    <w:p>
      <w:pPr>
        <w:widowControl/>
        <w:adjustRightInd w:val="0"/>
        <w:snapToGrid w:val="0"/>
        <w:spacing w:line="578" w:lineRule="exact"/>
        <w:ind w:firstLine="640" w:firstLineChars="200"/>
        <w:contextualSpacing/>
        <w:jc w:val="left"/>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本</w:t>
      </w:r>
      <w:r>
        <w:rPr>
          <w:rFonts w:hint="eastAsia" w:ascii="Times New Roman" w:hAnsi="Times New Roman" w:eastAsia="仿宋_GB2312"/>
          <w:color w:val="auto"/>
          <w:sz w:val="32"/>
          <w:szCs w:val="32"/>
          <w:lang w:val="zh-CN" w:eastAsia="zh-CN"/>
        </w:rPr>
        <w:t>部门</w:t>
      </w:r>
      <w:r>
        <w:rPr>
          <w:rFonts w:hint="eastAsia" w:eastAsia="仿宋_GB2312"/>
          <w:color w:val="auto"/>
          <w:sz w:val="32"/>
          <w:szCs w:val="32"/>
          <w:lang w:val="en-US" w:eastAsia="zh-CN"/>
        </w:rPr>
        <w:t>按上级部门相关规定，</w:t>
      </w:r>
      <w:r>
        <w:rPr>
          <w:rFonts w:hint="eastAsia" w:ascii="Times New Roman" w:hAnsi="Times New Roman" w:eastAsia="仿宋_GB2312"/>
          <w:color w:val="auto"/>
          <w:sz w:val="32"/>
          <w:szCs w:val="32"/>
          <w:lang w:val="en-US" w:eastAsia="zh-CN"/>
        </w:rPr>
        <w:t>年初认真编制各个项目</w:t>
      </w:r>
      <w:r>
        <w:rPr>
          <w:rFonts w:hint="eastAsia" w:ascii="Times New Roman" w:hAnsi="Times New Roman" w:eastAsia="仿宋_GB2312"/>
          <w:color w:val="auto"/>
          <w:sz w:val="32"/>
          <w:szCs w:val="32"/>
          <w:lang w:val="zh-CN" w:eastAsia="zh-CN"/>
        </w:rPr>
        <w:t>绩效目标，</w:t>
      </w:r>
      <w:r>
        <w:rPr>
          <w:rFonts w:hint="eastAsia" w:ascii="Times New Roman" w:hAnsi="Times New Roman" w:eastAsia="仿宋_GB2312"/>
          <w:color w:val="auto"/>
          <w:sz w:val="32"/>
          <w:szCs w:val="32"/>
          <w:lang w:val="en-US" w:eastAsia="zh-CN"/>
        </w:rPr>
        <w:t>做到编制</w:t>
      </w:r>
      <w:r>
        <w:rPr>
          <w:rFonts w:hint="eastAsia" w:ascii="Times New Roman" w:hAnsi="Times New Roman" w:eastAsia="仿宋_GB2312"/>
          <w:color w:val="auto"/>
          <w:sz w:val="32"/>
          <w:szCs w:val="32"/>
          <w:lang w:val="zh-CN" w:eastAsia="zh-CN"/>
        </w:rPr>
        <w:t>要素完整、</w:t>
      </w:r>
      <w:r>
        <w:rPr>
          <w:rFonts w:hint="eastAsia" w:ascii="Times New Roman" w:hAnsi="Times New Roman" w:eastAsia="仿宋_GB2312"/>
          <w:color w:val="auto"/>
          <w:sz w:val="32"/>
          <w:szCs w:val="32"/>
          <w:lang w:val="en-US" w:eastAsia="zh-CN"/>
        </w:rPr>
        <w:t>绩效指标</w:t>
      </w:r>
      <w:r>
        <w:rPr>
          <w:rFonts w:hint="eastAsia" w:ascii="Times New Roman" w:hAnsi="Times New Roman" w:eastAsia="仿宋_GB2312"/>
          <w:color w:val="auto"/>
          <w:sz w:val="32"/>
          <w:szCs w:val="32"/>
          <w:lang w:val="zh-CN" w:eastAsia="zh-CN"/>
        </w:rPr>
        <w:t>细化量化、</w:t>
      </w:r>
      <w:r>
        <w:rPr>
          <w:rFonts w:hint="eastAsia" w:ascii="Times New Roman" w:hAnsi="Times New Roman" w:eastAsia="仿宋_GB2312"/>
          <w:color w:val="auto"/>
          <w:sz w:val="32"/>
          <w:szCs w:val="32"/>
          <w:lang w:val="en-US" w:eastAsia="zh-CN"/>
        </w:rPr>
        <w:t>将项目</w:t>
      </w:r>
      <w:r>
        <w:rPr>
          <w:rFonts w:hint="eastAsia" w:ascii="Times New Roman" w:hAnsi="Times New Roman" w:eastAsia="仿宋_GB2312"/>
          <w:color w:val="auto"/>
          <w:sz w:val="32"/>
          <w:szCs w:val="32"/>
          <w:lang w:val="zh-CN" w:eastAsia="zh-CN"/>
        </w:rPr>
        <w:t>绩效目标纳入</w:t>
      </w:r>
      <w:r>
        <w:rPr>
          <w:rFonts w:hint="eastAsia" w:ascii="Times New Roman" w:hAnsi="Times New Roman" w:eastAsia="仿宋_GB2312"/>
          <w:color w:val="auto"/>
          <w:sz w:val="32"/>
          <w:szCs w:val="32"/>
          <w:lang w:val="en-US" w:eastAsia="zh-CN"/>
        </w:rPr>
        <w:t>局</w:t>
      </w:r>
      <w:r>
        <w:rPr>
          <w:rFonts w:hint="eastAsia" w:ascii="Times New Roman" w:hAnsi="Times New Roman" w:eastAsia="仿宋_GB2312"/>
          <w:color w:val="auto"/>
          <w:sz w:val="32"/>
          <w:szCs w:val="32"/>
          <w:lang w:val="zh-CN" w:eastAsia="zh-CN"/>
        </w:rPr>
        <w:t>党组会集体</w:t>
      </w:r>
      <w:r>
        <w:rPr>
          <w:rFonts w:hint="eastAsia" w:ascii="Times New Roman" w:hAnsi="Times New Roman" w:eastAsia="仿宋_GB2312"/>
          <w:color w:val="auto"/>
          <w:sz w:val="32"/>
          <w:szCs w:val="32"/>
          <w:lang w:val="en-US" w:eastAsia="zh-CN"/>
        </w:rPr>
        <w:t>讨论</w:t>
      </w:r>
      <w:r>
        <w:rPr>
          <w:rFonts w:hint="eastAsia" w:ascii="Times New Roman" w:hAnsi="Times New Roman" w:eastAsia="仿宋_GB2312"/>
          <w:color w:val="auto"/>
          <w:sz w:val="32"/>
          <w:szCs w:val="32"/>
          <w:lang w:val="zh-CN" w:eastAsia="zh-CN"/>
        </w:rPr>
        <w:t>决策范围</w:t>
      </w:r>
      <w:r>
        <w:rPr>
          <w:rFonts w:hint="eastAsia" w:eastAsia="仿宋_GB2312"/>
          <w:color w:val="auto"/>
          <w:sz w:val="32"/>
          <w:szCs w:val="32"/>
          <w:lang w:val="zh-CN" w:eastAsia="zh-CN"/>
        </w:rPr>
        <w:t>，</w:t>
      </w:r>
      <w:r>
        <w:rPr>
          <w:rFonts w:hint="eastAsia" w:eastAsia="仿宋_GB2312"/>
          <w:color w:val="auto"/>
          <w:sz w:val="32"/>
          <w:szCs w:val="32"/>
          <w:lang w:val="en-US" w:eastAsia="zh-CN"/>
        </w:rPr>
        <w:t>加强项目库管理，做实做细项目基础信息，及时</w:t>
      </w:r>
      <w:r>
        <w:rPr>
          <w:rFonts w:hint="eastAsia" w:ascii="Times New Roman" w:hAnsi="Times New Roman" w:eastAsia="仿宋_GB2312"/>
          <w:color w:val="auto"/>
          <w:sz w:val="32"/>
          <w:szCs w:val="32"/>
          <w:lang w:val="en-US" w:eastAsia="zh-CN"/>
        </w:rPr>
        <w:t>完成项目</w:t>
      </w:r>
      <w:r>
        <w:rPr>
          <w:rFonts w:hint="eastAsia" w:eastAsia="仿宋_GB2312"/>
          <w:color w:val="auto"/>
          <w:sz w:val="32"/>
          <w:szCs w:val="32"/>
          <w:lang w:val="en-US" w:eastAsia="zh-CN"/>
        </w:rPr>
        <w:t>入</w:t>
      </w:r>
      <w:r>
        <w:rPr>
          <w:rFonts w:hint="eastAsia" w:ascii="Times New Roman" w:hAnsi="Times New Roman" w:eastAsia="仿宋_GB2312"/>
          <w:color w:val="auto"/>
          <w:sz w:val="32"/>
          <w:szCs w:val="32"/>
          <w:lang w:val="en-US" w:eastAsia="zh-CN"/>
        </w:rPr>
        <w:t>库报送工作。</w:t>
      </w:r>
    </w:p>
    <w:p>
      <w:pPr>
        <w:pStyle w:val="2"/>
        <w:numPr>
          <w:ilvl w:val="0"/>
          <w:numId w:val="0"/>
        </w:numPr>
        <w:ind w:left="640" w:leftChars="0"/>
        <w:rPr>
          <w:rFonts w:hint="eastAsia" w:ascii="Times New Roman" w:hAnsi="Times New Roman" w:eastAsia="仿宋_GB2312"/>
          <w:color w:val="auto"/>
          <w:sz w:val="32"/>
          <w:szCs w:val="32"/>
          <w:lang w:val="zh-CN"/>
        </w:rPr>
      </w:pPr>
      <w:r>
        <w:rPr>
          <w:rFonts w:hint="eastAsia" w:ascii="楷体_GB2312" w:hAnsi="楷体_GB2312" w:eastAsia="楷体_GB2312" w:cs="楷体_GB2312"/>
          <w:color w:val="auto"/>
          <w:kern w:val="0"/>
          <w:sz w:val="32"/>
          <w:szCs w:val="32"/>
          <w:shd w:val="clear" w:color="auto" w:fill="FFFFFF"/>
          <w:lang w:val="en-US" w:eastAsia="zh-CN"/>
        </w:rPr>
        <w:t>2.</w:t>
      </w:r>
      <w:r>
        <w:rPr>
          <w:rFonts w:hint="eastAsia" w:ascii="楷体_GB2312" w:hAnsi="楷体_GB2312" w:eastAsia="楷体_GB2312" w:cs="楷体_GB2312"/>
          <w:color w:val="auto"/>
          <w:kern w:val="0"/>
          <w:sz w:val="32"/>
          <w:szCs w:val="32"/>
          <w:shd w:val="clear" w:color="auto" w:fill="FFFFFF"/>
        </w:rPr>
        <w:t>项目执行</w:t>
      </w:r>
    </w:p>
    <w:p>
      <w:pPr>
        <w:spacing w:beforeLines="0" w:afterLines="0" w:line="576" w:lineRule="exact"/>
        <w:ind w:firstLine="640"/>
        <w:jc w:val="both"/>
        <w:rPr>
          <w:rFonts w:hint="eastAsia" w:ascii="Times New Roman" w:hAnsi="Times New Roman" w:eastAsia="仿宋_GB2312"/>
          <w:color w:val="auto"/>
          <w:sz w:val="32"/>
          <w:szCs w:val="32"/>
          <w:lang w:val="zh-CN" w:eastAsia="zh-CN"/>
        </w:rPr>
      </w:pPr>
      <w:r>
        <w:rPr>
          <w:rFonts w:hint="eastAsia" w:eastAsia="仿宋_GB2312"/>
          <w:color w:val="auto"/>
          <w:sz w:val="32"/>
          <w:szCs w:val="32"/>
          <w:lang w:val="en-US" w:eastAsia="zh-CN"/>
        </w:rPr>
        <w:t>一是本部门</w:t>
      </w:r>
      <w:r>
        <w:rPr>
          <w:rFonts w:hint="eastAsia" w:ascii="Times New Roman" w:hAnsi="Times New Roman" w:eastAsia="仿宋_GB2312"/>
          <w:color w:val="auto"/>
          <w:sz w:val="32"/>
          <w:szCs w:val="32"/>
          <w:lang w:val="zh-CN" w:eastAsia="zh-CN"/>
        </w:rPr>
        <w:t>项目资金符合国家财经法规和财务管理制度及有关专项资金管理办法规定</w:t>
      </w:r>
      <w:r>
        <w:rPr>
          <w:rFonts w:hint="eastAsia" w:eastAsia="仿宋_GB2312"/>
          <w:color w:val="auto"/>
          <w:sz w:val="32"/>
          <w:szCs w:val="32"/>
          <w:lang w:val="zh-CN" w:eastAsia="zh-CN"/>
        </w:rPr>
        <w:t>，</w:t>
      </w:r>
      <w:r>
        <w:rPr>
          <w:rFonts w:hint="eastAsia" w:ascii="Times New Roman" w:hAnsi="Times New Roman" w:eastAsia="仿宋_GB2312"/>
          <w:color w:val="auto"/>
          <w:sz w:val="32"/>
          <w:szCs w:val="32"/>
          <w:lang w:val="zh-CN" w:eastAsia="zh-CN"/>
        </w:rPr>
        <w:t>资金拨付有完整的审批程序和手续</w:t>
      </w:r>
      <w:r>
        <w:rPr>
          <w:rFonts w:hint="eastAsia" w:eastAsia="仿宋_GB2312"/>
          <w:color w:val="auto"/>
          <w:sz w:val="32"/>
          <w:szCs w:val="32"/>
          <w:lang w:val="zh-CN" w:eastAsia="zh-CN"/>
        </w:rPr>
        <w:t>，</w:t>
      </w:r>
      <w:r>
        <w:rPr>
          <w:rFonts w:hint="eastAsia" w:ascii="仿宋_GB2312" w:hAnsi="仿宋_GB2312" w:eastAsia="仿宋_GB2312" w:cs="Times New Roman"/>
          <w:color w:val="auto"/>
          <w:kern w:val="2"/>
          <w:sz w:val="32"/>
          <w:szCs w:val="24"/>
          <w:lang w:val="zh-CN" w:eastAsia="zh-CN"/>
        </w:rPr>
        <w:t>严格按照资金管理办法，做到项目资金专款专用，</w:t>
      </w:r>
      <w:r>
        <w:rPr>
          <w:rFonts w:hint="eastAsia" w:eastAsia="仿宋_GB2312"/>
          <w:color w:val="auto"/>
          <w:sz w:val="32"/>
          <w:szCs w:val="32"/>
          <w:lang w:val="en-US" w:eastAsia="zh-CN"/>
        </w:rPr>
        <w:t>不</w:t>
      </w:r>
      <w:r>
        <w:rPr>
          <w:rFonts w:hint="eastAsia" w:ascii="Times New Roman" w:hAnsi="Times New Roman" w:eastAsia="仿宋_GB2312"/>
          <w:color w:val="auto"/>
          <w:sz w:val="32"/>
          <w:szCs w:val="32"/>
          <w:lang w:val="zh-CN" w:eastAsia="zh-CN"/>
        </w:rPr>
        <w:t>存在截留、挤占、挪用、虚列支出等情况。</w:t>
      </w:r>
      <w:r>
        <w:rPr>
          <w:rFonts w:hint="eastAsia" w:eastAsia="仿宋_GB2312"/>
          <w:color w:val="auto"/>
          <w:sz w:val="32"/>
          <w:szCs w:val="32"/>
          <w:lang w:val="en-US" w:eastAsia="zh-CN"/>
        </w:rPr>
        <w:t>二是按照</w:t>
      </w:r>
      <w:r>
        <w:rPr>
          <w:rFonts w:hint="eastAsia" w:ascii="Times New Roman" w:hAnsi="Times New Roman" w:eastAsia="仿宋_GB2312"/>
          <w:color w:val="auto"/>
          <w:sz w:val="32"/>
          <w:szCs w:val="32"/>
          <w:lang w:val="zh-CN" w:eastAsia="zh-CN"/>
        </w:rPr>
        <w:t>相关法律法规</w:t>
      </w:r>
      <w:r>
        <w:rPr>
          <w:rFonts w:hint="eastAsia" w:eastAsia="仿宋_GB2312"/>
          <w:color w:val="auto"/>
          <w:sz w:val="32"/>
          <w:szCs w:val="32"/>
          <w:lang w:val="en-US" w:eastAsia="zh-CN"/>
        </w:rPr>
        <w:t>进行</w:t>
      </w:r>
      <w:r>
        <w:rPr>
          <w:rFonts w:hint="eastAsia" w:ascii="Times New Roman" w:hAnsi="Times New Roman" w:eastAsia="仿宋_GB2312"/>
          <w:color w:val="auto"/>
          <w:sz w:val="32"/>
          <w:szCs w:val="32"/>
          <w:lang w:val="zh-CN" w:eastAsia="zh-CN"/>
        </w:rPr>
        <w:t>项目实施</w:t>
      </w:r>
      <w:r>
        <w:rPr>
          <w:rFonts w:hint="eastAsia" w:eastAsia="仿宋_GB2312"/>
          <w:color w:val="auto"/>
          <w:sz w:val="32"/>
          <w:szCs w:val="32"/>
          <w:lang w:val="zh-CN" w:eastAsia="zh-CN"/>
        </w:rPr>
        <w:t>，</w:t>
      </w:r>
      <w:r>
        <w:rPr>
          <w:rFonts w:hint="eastAsia" w:ascii="Times New Roman" w:hAnsi="Times New Roman" w:eastAsia="仿宋_GB2312"/>
          <w:color w:val="auto"/>
          <w:sz w:val="32"/>
          <w:szCs w:val="32"/>
          <w:lang w:val="zh-CN" w:eastAsia="zh-CN"/>
        </w:rPr>
        <w:t>项目调整手续完备</w:t>
      </w:r>
      <w:r>
        <w:rPr>
          <w:rFonts w:hint="eastAsia" w:eastAsia="仿宋_GB2312"/>
          <w:color w:val="auto"/>
          <w:sz w:val="32"/>
          <w:szCs w:val="32"/>
          <w:lang w:val="zh-CN" w:eastAsia="zh-CN"/>
        </w:rPr>
        <w:t>，</w:t>
      </w:r>
      <w:r>
        <w:rPr>
          <w:rFonts w:hint="eastAsia" w:ascii="Times New Roman" w:hAnsi="Times New Roman" w:eastAsia="仿宋_GB2312"/>
          <w:color w:val="auto"/>
          <w:sz w:val="32"/>
          <w:szCs w:val="32"/>
          <w:lang w:val="zh-CN" w:eastAsia="zh-CN"/>
        </w:rPr>
        <w:t>项目合同、验收报告等资料齐全并及时归档</w:t>
      </w:r>
      <w:r>
        <w:rPr>
          <w:rFonts w:hint="eastAsia" w:eastAsia="仿宋_GB2312"/>
          <w:color w:val="auto"/>
          <w:sz w:val="32"/>
          <w:szCs w:val="32"/>
          <w:lang w:val="zh-CN" w:eastAsia="zh-CN"/>
        </w:rPr>
        <w:t>。</w:t>
      </w:r>
    </w:p>
    <w:p>
      <w:pPr>
        <w:adjustRightInd w:val="0"/>
        <w:snapToGrid w:val="0"/>
        <w:spacing w:line="578" w:lineRule="exact"/>
        <w:ind w:firstLine="640" w:firstLineChars="200"/>
        <w:contextualSpacing/>
        <w:jc w:val="left"/>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rPr>
        <w:t>3.</w:t>
      </w:r>
      <w:r>
        <w:rPr>
          <w:rFonts w:hint="eastAsia" w:ascii="楷体_GB2312" w:hAnsi="楷体_GB2312" w:eastAsia="楷体_GB2312" w:cs="楷体_GB2312"/>
          <w:color w:val="auto"/>
          <w:kern w:val="0"/>
          <w:sz w:val="32"/>
          <w:szCs w:val="32"/>
          <w:shd w:val="clear" w:color="auto" w:fill="FFFFFF"/>
          <w:lang w:val="zh-CN"/>
        </w:rPr>
        <w:t>目标实现</w:t>
      </w:r>
    </w:p>
    <w:p>
      <w:pPr>
        <w:spacing w:beforeLines="0" w:afterLines="0" w:line="576" w:lineRule="exact"/>
        <w:ind w:firstLine="640"/>
        <w:jc w:val="both"/>
        <w:rPr>
          <w:rFonts w:ascii="Times New Roman" w:hAnsi="Times New Roman" w:eastAsia="仿宋_GB2312"/>
          <w:color w:val="auto"/>
          <w:sz w:val="32"/>
          <w:szCs w:val="32"/>
        </w:rPr>
      </w:pPr>
      <w:r>
        <w:rPr>
          <w:rFonts w:hint="eastAsia" w:ascii="仿宋_GB2312" w:hAnsi="仿宋_GB2312" w:eastAsia="仿宋_GB2312" w:cs="Times New Roman"/>
          <w:color w:val="auto"/>
          <w:kern w:val="2"/>
          <w:sz w:val="32"/>
          <w:szCs w:val="24"/>
          <w:lang w:val="en-US" w:eastAsia="zh-CN"/>
        </w:rPr>
        <w:t>一</w:t>
      </w:r>
      <w:r>
        <w:rPr>
          <w:rFonts w:hint="eastAsia" w:ascii="仿宋_GB2312" w:hAnsi="仿宋_GB2312" w:eastAsia="仿宋_GB2312" w:cs="Times New Roman"/>
          <w:color w:val="auto"/>
          <w:kern w:val="2"/>
          <w:sz w:val="32"/>
          <w:szCs w:val="24"/>
          <w:lang w:val="zh-CN" w:eastAsia="zh-CN"/>
        </w:rPr>
        <w:t>是强化项目管理，做好项目前期工作，理顺工作流程，加快项目推进，进而加快资金支出进度。</w:t>
      </w:r>
      <w:r>
        <w:rPr>
          <w:rFonts w:hint="eastAsia" w:ascii="仿宋_GB2312" w:hAnsi="仿宋_GB2312" w:eastAsia="仿宋_GB2312" w:cs="Times New Roman"/>
          <w:color w:val="auto"/>
          <w:kern w:val="2"/>
          <w:sz w:val="32"/>
          <w:szCs w:val="24"/>
          <w:lang w:val="en-US" w:eastAsia="zh-CN"/>
        </w:rPr>
        <w:t>二</w:t>
      </w:r>
      <w:r>
        <w:rPr>
          <w:rFonts w:hint="eastAsia" w:ascii="仿宋_GB2312" w:hAnsi="仿宋_GB2312" w:eastAsia="仿宋_GB2312" w:cs="Times New Roman"/>
          <w:color w:val="auto"/>
          <w:kern w:val="2"/>
          <w:sz w:val="32"/>
          <w:szCs w:val="24"/>
          <w:lang w:val="zh-CN" w:eastAsia="zh-CN"/>
        </w:rPr>
        <w:t>是加强项目实施过程中的监督审核。建立健全财政专项资金的公开机制、评审机制、跟踪检查机制，</w:t>
      </w:r>
      <w:r>
        <w:rPr>
          <w:rFonts w:hint="eastAsia" w:ascii="仿宋_GB2312" w:hAnsi="仿宋_GB2312" w:eastAsia="仿宋_GB2312" w:cs="Times New Roman"/>
          <w:color w:val="auto"/>
          <w:kern w:val="2"/>
          <w:sz w:val="32"/>
          <w:szCs w:val="24"/>
          <w:lang w:val="en-US" w:eastAsia="zh-CN"/>
        </w:rPr>
        <w:t>实行</w:t>
      </w:r>
      <w:r>
        <w:rPr>
          <w:rFonts w:hint="eastAsia" w:ascii="Times New Roman" w:hAnsi="Times New Roman" w:eastAsia="仿宋_GB2312"/>
          <w:color w:val="auto"/>
          <w:sz w:val="32"/>
          <w:szCs w:val="32"/>
          <w:lang w:val="en-US" w:eastAsia="zh-CN"/>
        </w:rPr>
        <w:t>动态监控绩效</w:t>
      </w:r>
      <w:r>
        <w:rPr>
          <w:rFonts w:hint="eastAsia" w:eastAsia="仿宋_GB2312"/>
          <w:color w:val="auto"/>
          <w:sz w:val="32"/>
          <w:szCs w:val="32"/>
          <w:lang w:val="en-US" w:eastAsia="zh-CN"/>
        </w:rPr>
        <w:t>，</w:t>
      </w:r>
      <w:r>
        <w:rPr>
          <w:rFonts w:hint="eastAsia" w:ascii="仿宋_GB2312" w:hAnsi="仿宋_GB2312" w:eastAsia="仿宋_GB2312" w:cs="Times New Roman"/>
          <w:color w:val="auto"/>
          <w:kern w:val="2"/>
          <w:sz w:val="32"/>
          <w:szCs w:val="24"/>
          <w:lang w:val="zh-CN" w:eastAsia="zh-CN"/>
        </w:rPr>
        <w:t>确保财政资金安全高效使用。</w:t>
      </w:r>
      <w:r>
        <w:rPr>
          <w:rFonts w:hint="eastAsia" w:ascii="仿宋_GB2312" w:hAnsi="仿宋_GB2312" w:eastAsia="仿宋_GB2312" w:cs="Times New Roman"/>
          <w:color w:val="auto"/>
          <w:kern w:val="2"/>
          <w:sz w:val="32"/>
          <w:szCs w:val="24"/>
          <w:lang w:val="en-US" w:eastAsia="zh-CN"/>
        </w:rPr>
        <w:t>三</w:t>
      </w:r>
      <w:r>
        <w:rPr>
          <w:rFonts w:hint="eastAsia" w:ascii="仿宋_GB2312" w:hAnsi="仿宋_GB2312" w:eastAsia="仿宋_GB2312" w:cs="Times New Roman"/>
          <w:color w:val="auto"/>
          <w:kern w:val="2"/>
          <w:sz w:val="32"/>
          <w:szCs w:val="24"/>
          <w:lang w:val="zh-CN" w:eastAsia="zh-CN"/>
        </w:rPr>
        <w:t>是切实抓好财政专项资金的分配、使用、管理和效益情况的评价</w:t>
      </w:r>
      <w:r>
        <w:rPr>
          <w:rFonts w:hint="eastAsia" w:ascii="仿宋_GB2312" w:hAnsi="仿宋_GB2312" w:eastAsia="仿宋_GB2312" w:cs="Times New Roman"/>
          <w:color w:val="auto"/>
          <w:kern w:val="2"/>
          <w:sz w:val="32"/>
          <w:szCs w:val="24"/>
          <w:lang w:val="en-US" w:eastAsia="zh-CN"/>
        </w:rPr>
        <w:t>工作，评价</w:t>
      </w:r>
      <w:r>
        <w:rPr>
          <w:rFonts w:hint="eastAsia" w:ascii="仿宋_GB2312" w:hAnsi="仿宋_GB2312" w:eastAsia="仿宋_GB2312" w:cs="Times New Roman"/>
          <w:color w:val="auto"/>
          <w:kern w:val="2"/>
          <w:sz w:val="32"/>
          <w:szCs w:val="24"/>
          <w:lang w:val="zh-CN" w:eastAsia="zh-CN"/>
        </w:rPr>
        <w:t>结果作为预算安排的重要依据，不断强化绩效理念，推动部门绩效管理水平提升。</w:t>
      </w:r>
    </w:p>
    <w:p>
      <w:pPr>
        <w:widowControl/>
        <w:numPr>
          <w:ilvl w:val="0"/>
          <w:numId w:val="0"/>
        </w:numPr>
        <w:adjustRightInd w:val="0"/>
        <w:snapToGrid w:val="0"/>
        <w:spacing w:line="578" w:lineRule="exact"/>
        <w:ind w:firstLine="640" w:firstLineChars="200"/>
        <w:contextualSpacing/>
        <w:jc w:val="left"/>
        <w:rPr>
          <w:rFonts w:ascii="Times New Roman" w:hAnsi="Times New Roman" w:eastAsia="仿宋_GB2312"/>
          <w:color w:val="auto"/>
          <w:sz w:val="32"/>
          <w:szCs w:val="32"/>
        </w:rPr>
      </w:pPr>
      <w:r>
        <w:rPr>
          <w:rFonts w:hint="eastAsia" w:eastAsia="楷体_GB2312"/>
          <w:b/>
          <w:bCs/>
          <w:color w:val="auto"/>
          <w:kern w:val="0"/>
          <w:sz w:val="32"/>
          <w:szCs w:val="32"/>
          <w:shd w:val="clear" w:color="auto" w:fill="FFFFFF"/>
          <w:lang w:val="zh-CN"/>
        </w:rPr>
        <w:t>（</w:t>
      </w:r>
      <w:r>
        <w:rPr>
          <w:rFonts w:hint="eastAsia" w:eastAsia="楷体_GB2312"/>
          <w:b/>
          <w:bCs/>
          <w:color w:val="auto"/>
          <w:kern w:val="0"/>
          <w:sz w:val="32"/>
          <w:szCs w:val="32"/>
          <w:shd w:val="clear" w:color="auto" w:fill="FFFFFF"/>
          <w:lang w:val="en-US" w:eastAsia="zh-CN"/>
        </w:rPr>
        <w:t>三</w:t>
      </w:r>
      <w:r>
        <w:rPr>
          <w:rFonts w:hint="eastAsia" w:eastAsia="楷体_GB2312"/>
          <w:b/>
          <w:bCs/>
          <w:color w:val="auto"/>
          <w:kern w:val="0"/>
          <w:sz w:val="32"/>
          <w:szCs w:val="32"/>
          <w:shd w:val="clear" w:color="auto" w:fill="FFFFFF"/>
          <w:lang w:val="zh-CN"/>
        </w:rPr>
        <w:t>）</w:t>
      </w:r>
      <w:r>
        <w:rPr>
          <w:rFonts w:ascii="Times New Roman" w:hAnsi="Times New Roman" w:eastAsia="楷体_GB2312"/>
          <w:b/>
          <w:bCs/>
          <w:color w:val="auto"/>
          <w:kern w:val="0"/>
          <w:sz w:val="32"/>
          <w:szCs w:val="32"/>
          <w:shd w:val="clear" w:color="auto" w:fill="FFFFFF"/>
          <w:lang w:val="zh-CN"/>
        </w:rPr>
        <w:t>重点领域绩效分析</w:t>
      </w:r>
    </w:p>
    <w:p>
      <w:pPr>
        <w:widowControl/>
        <w:numPr>
          <w:ilvl w:val="0"/>
          <w:numId w:val="0"/>
        </w:numPr>
        <w:adjustRightInd w:val="0"/>
        <w:snapToGrid w:val="0"/>
        <w:spacing w:line="578" w:lineRule="exact"/>
        <w:ind w:firstLine="640" w:firstLineChars="200"/>
        <w:contextualSpacing/>
        <w:jc w:val="left"/>
        <w:rPr>
          <w:color w:val="auto"/>
        </w:rPr>
      </w:pPr>
      <w:r>
        <w:rPr>
          <w:rFonts w:hint="default" w:ascii="Times New Roman" w:hAnsi="Times New Roman" w:eastAsia="仿宋_GB2312"/>
          <w:color w:val="auto"/>
          <w:sz w:val="32"/>
          <w:szCs w:val="32"/>
          <w:lang w:val="en-US" w:eastAsia="zh-CN"/>
        </w:rPr>
        <w:t>202</w:t>
      </w:r>
      <w:r>
        <w:rPr>
          <w:rFonts w:hint="eastAsia" w:eastAsia="仿宋_GB2312"/>
          <w:color w:val="auto"/>
          <w:sz w:val="32"/>
          <w:szCs w:val="32"/>
          <w:lang w:val="en-US" w:eastAsia="zh-CN"/>
        </w:rPr>
        <w:t>4</w:t>
      </w:r>
      <w:r>
        <w:rPr>
          <w:rFonts w:ascii="Times New Roman" w:hAnsi="Times New Roman" w:eastAsia="仿宋_GB2312"/>
          <w:color w:val="auto"/>
          <w:sz w:val="32"/>
          <w:szCs w:val="32"/>
          <w:lang w:val="en-US" w:eastAsia="zh-CN"/>
        </w:rPr>
        <w:t>年，</w:t>
      </w:r>
      <w:r>
        <w:rPr>
          <w:rFonts w:hint="eastAsia" w:eastAsia="仿宋_GB2312"/>
          <w:color w:val="auto"/>
          <w:sz w:val="32"/>
          <w:szCs w:val="32"/>
          <w:lang w:val="en-US" w:eastAsia="zh-CN"/>
        </w:rPr>
        <w:t>本部门</w:t>
      </w:r>
      <w:r>
        <w:rPr>
          <w:rFonts w:ascii="Times New Roman" w:hAnsi="Times New Roman" w:eastAsia="仿宋_GB2312"/>
          <w:color w:val="auto"/>
          <w:sz w:val="32"/>
          <w:szCs w:val="32"/>
          <w:lang w:val="en-US" w:eastAsia="zh-CN"/>
        </w:rPr>
        <w:t>严格</w:t>
      </w:r>
      <w:r>
        <w:rPr>
          <w:rFonts w:hint="eastAsia" w:eastAsia="仿宋_GB2312"/>
          <w:color w:val="auto"/>
          <w:sz w:val="32"/>
          <w:szCs w:val="32"/>
          <w:lang w:val="en-US" w:eastAsia="zh-CN"/>
        </w:rPr>
        <w:t>按照</w:t>
      </w:r>
      <w:r>
        <w:rPr>
          <w:rFonts w:ascii="Times New Roman" w:hAnsi="Times New Roman" w:eastAsia="仿宋_GB2312"/>
          <w:color w:val="auto"/>
          <w:sz w:val="32"/>
          <w:szCs w:val="32"/>
          <w:lang w:val="en-US" w:eastAsia="zh-CN"/>
        </w:rPr>
        <w:t>区级财政预算编制</w:t>
      </w:r>
      <w:r>
        <w:rPr>
          <w:rFonts w:hint="eastAsia" w:eastAsia="仿宋_GB2312"/>
          <w:color w:val="auto"/>
          <w:sz w:val="32"/>
          <w:szCs w:val="32"/>
          <w:lang w:val="en-US" w:eastAsia="zh-CN"/>
        </w:rPr>
        <w:t>要求</w:t>
      </w:r>
      <w:r>
        <w:rPr>
          <w:rFonts w:ascii="Times New Roman" w:hAnsi="Times New Roman" w:eastAsia="仿宋_GB2312"/>
          <w:color w:val="auto"/>
          <w:sz w:val="32"/>
          <w:szCs w:val="32"/>
          <w:lang w:val="en-US" w:eastAsia="zh-CN"/>
        </w:rPr>
        <w:t>保障序列</w:t>
      </w:r>
      <w:r>
        <w:rPr>
          <w:rFonts w:hint="eastAsia" w:eastAsia="仿宋_GB2312"/>
          <w:color w:val="auto"/>
          <w:sz w:val="32"/>
          <w:szCs w:val="32"/>
          <w:lang w:val="en-US" w:eastAsia="zh-CN"/>
        </w:rPr>
        <w:t>完成预算编制工作，优先保障</w:t>
      </w:r>
      <w:r>
        <w:rPr>
          <w:rFonts w:ascii="Times New Roman" w:hAnsi="Times New Roman" w:eastAsia="仿宋_GB2312"/>
          <w:color w:val="auto"/>
          <w:sz w:val="32"/>
          <w:szCs w:val="32"/>
          <w:lang w:val="en-US" w:eastAsia="zh-CN"/>
        </w:rPr>
        <w:t>人员</w:t>
      </w:r>
      <w:r>
        <w:rPr>
          <w:rFonts w:hint="eastAsia" w:eastAsia="仿宋_GB2312"/>
          <w:color w:val="auto"/>
          <w:sz w:val="32"/>
          <w:szCs w:val="32"/>
          <w:lang w:val="en-US" w:eastAsia="zh-CN"/>
        </w:rPr>
        <w:t>类支出、</w:t>
      </w:r>
      <w:r>
        <w:rPr>
          <w:rFonts w:ascii="Times New Roman" w:hAnsi="Times New Roman" w:eastAsia="仿宋_GB2312"/>
          <w:color w:val="auto"/>
          <w:sz w:val="32"/>
          <w:szCs w:val="32"/>
          <w:lang w:val="en-US" w:eastAsia="zh-CN"/>
        </w:rPr>
        <w:t>基本运转</w:t>
      </w:r>
      <w:r>
        <w:rPr>
          <w:rFonts w:hint="eastAsia" w:eastAsia="仿宋_GB2312"/>
          <w:color w:val="auto"/>
          <w:sz w:val="32"/>
          <w:szCs w:val="32"/>
          <w:lang w:val="en-US" w:eastAsia="zh-CN"/>
        </w:rPr>
        <w:t>类支出，预算编制合理，严格控制一般性支出和“三公”经费支出，较好地完成目标绩效任务。</w:t>
      </w:r>
    </w:p>
    <w:p>
      <w:pPr>
        <w:snapToGrid w:val="0"/>
        <w:spacing w:line="600" w:lineRule="exact"/>
        <w:ind w:firstLine="640" w:firstLineChars="200"/>
        <w:rPr>
          <w:rFonts w:hint="eastAsia" w:ascii="Times New Roman" w:hAnsi="Times New Roman" w:eastAsia="仿宋_GB2312"/>
          <w:color w:val="auto"/>
          <w:sz w:val="32"/>
          <w:szCs w:val="32"/>
          <w:lang w:val="zh-CN" w:bidi="ar"/>
        </w:rPr>
      </w:pPr>
      <w:r>
        <w:rPr>
          <w:rFonts w:ascii="Times New Roman" w:hAnsi="Times New Roman" w:eastAsia="楷体_GB2312"/>
          <w:b/>
          <w:bCs/>
          <w:color w:val="auto"/>
          <w:kern w:val="0"/>
          <w:sz w:val="32"/>
          <w:szCs w:val="32"/>
          <w:shd w:val="clear" w:color="auto" w:fill="FFFFFF"/>
          <w:lang w:val="zh-CN"/>
        </w:rPr>
        <w:t>（四）绩效结果应用情况</w:t>
      </w:r>
    </w:p>
    <w:p>
      <w:pPr>
        <w:ind w:firstLine="640" w:firstLineChars="200"/>
        <w:rPr>
          <w:rFonts w:hint="eastAsia" w:ascii="仿宋_GB2312" w:hAnsi="仿宋_GB2312" w:eastAsia="仿宋_GB2312" w:cs="Times New Roman"/>
          <w:color w:val="auto"/>
          <w:kern w:val="2"/>
          <w:sz w:val="32"/>
          <w:szCs w:val="24"/>
          <w:lang w:val="zh-CN" w:eastAsia="zh-CN"/>
        </w:rPr>
      </w:pPr>
      <w:r>
        <w:rPr>
          <w:rFonts w:hint="eastAsia" w:ascii="仿宋_GB2312" w:hAnsi="仿宋_GB2312" w:eastAsia="仿宋_GB2312" w:cs="Times New Roman"/>
          <w:color w:val="auto"/>
          <w:kern w:val="2"/>
          <w:sz w:val="32"/>
          <w:szCs w:val="24"/>
          <w:lang w:val="zh-CN" w:eastAsia="zh-CN"/>
        </w:rPr>
        <w:t>根据绩效评估结果和反馈意见，总结经验，持续改进部门的工作流程、管理制度和服务质量。不断</w:t>
      </w:r>
      <w:r>
        <w:rPr>
          <w:rFonts w:hint="eastAsia" w:ascii="仿宋_GB2312" w:hAnsi="仿宋_GB2312" w:eastAsia="仿宋_GB2312" w:cs="Times New Roman"/>
          <w:color w:val="auto"/>
          <w:kern w:val="2"/>
          <w:sz w:val="32"/>
          <w:szCs w:val="24"/>
          <w:lang w:val="en-US" w:eastAsia="zh-CN"/>
        </w:rPr>
        <w:t>完善</w:t>
      </w:r>
      <w:r>
        <w:rPr>
          <w:rFonts w:hint="eastAsia" w:ascii="仿宋_GB2312" w:hAnsi="仿宋_GB2312" w:eastAsia="仿宋_GB2312" w:cs="Times New Roman"/>
          <w:color w:val="auto"/>
          <w:kern w:val="2"/>
          <w:sz w:val="32"/>
          <w:szCs w:val="24"/>
          <w:lang w:val="zh-CN" w:eastAsia="zh-CN"/>
        </w:rPr>
        <w:t>预算绩效管理体系，提高预算绩效管理履职效能，</w:t>
      </w:r>
      <w:r>
        <w:rPr>
          <w:rFonts w:hint="eastAsia" w:ascii="仿宋_GB2312" w:hAnsi="仿宋_GB2312" w:eastAsia="仿宋_GB2312" w:cs="Times New Roman"/>
          <w:color w:val="auto"/>
          <w:kern w:val="2"/>
          <w:sz w:val="32"/>
          <w:szCs w:val="24"/>
          <w:lang w:val="en-US" w:eastAsia="zh-CN"/>
        </w:rPr>
        <w:t>持续</w:t>
      </w:r>
      <w:r>
        <w:rPr>
          <w:rFonts w:hint="eastAsia" w:ascii="仿宋_GB2312" w:hAnsi="仿宋_GB2312" w:eastAsia="仿宋_GB2312" w:cs="Times New Roman"/>
          <w:color w:val="auto"/>
          <w:kern w:val="2"/>
          <w:sz w:val="32"/>
          <w:szCs w:val="24"/>
          <w:lang w:val="zh-CN" w:eastAsia="zh-CN"/>
        </w:rPr>
        <w:t>推进政务服务“三化”建设，优化政务服务环境，提高</w:t>
      </w:r>
      <w:r>
        <w:rPr>
          <w:rFonts w:hint="eastAsia" w:ascii="仿宋_GB2312" w:hAnsi="仿宋_GB2312" w:eastAsia="仿宋_GB2312" w:cs="Times New Roman"/>
          <w:color w:val="auto"/>
          <w:kern w:val="2"/>
          <w:sz w:val="32"/>
          <w:szCs w:val="24"/>
          <w:lang w:val="en-US" w:eastAsia="zh-CN"/>
        </w:rPr>
        <w:t>办事</w:t>
      </w:r>
      <w:r>
        <w:rPr>
          <w:rFonts w:hint="eastAsia" w:ascii="仿宋_GB2312" w:hAnsi="仿宋_GB2312" w:eastAsia="仿宋_GB2312" w:cs="Times New Roman"/>
          <w:color w:val="auto"/>
          <w:kern w:val="2"/>
          <w:sz w:val="32"/>
          <w:szCs w:val="24"/>
          <w:lang w:val="zh-CN" w:eastAsia="zh-CN"/>
        </w:rPr>
        <w:t>群众的满意度。</w:t>
      </w:r>
    </w:p>
    <w:p>
      <w:pPr>
        <w:spacing w:beforeLines="0" w:afterLines="0" w:line="576" w:lineRule="exact"/>
        <w:ind w:firstLine="640" w:firstLineChars="200"/>
        <w:jc w:val="both"/>
        <w:rPr>
          <w:rFonts w:hint="eastAsia"/>
          <w:lang w:val="zh-CN" w:eastAsia="zh-CN"/>
        </w:rPr>
      </w:pPr>
      <w:r>
        <w:rPr>
          <w:rFonts w:hint="eastAsia" w:ascii="仿宋_GB2312" w:hAnsi="仿宋_GB2312" w:eastAsia="仿宋_GB2312" w:cs="Times New Roman"/>
          <w:color w:val="auto"/>
          <w:kern w:val="2"/>
          <w:sz w:val="32"/>
          <w:szCs w:val="24"/>
          <w:lang w:val="zh-CN" w:eastAsia="zh-CN"/>
        </w:rPr>
        <w:t>根据财政相关要求在政府门户网站及时进行公开。</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en-US" w:eastAsia="zh-CN"/>
        </w:rPr>
      </w:pPr>
      <w:r>
        <w:rPr>
          <w:rFonts w:hint="eastAsia" w:ascii="Times New Roman" w:hAnsi="Times New Roman" w:eastAsia="黑体" w:cs="Times New Roman"/>
          <w:color w:val="000000"/>
          <w:kern w:val="0"/>
          <w:sz w:val="32"/>
          <w:szCs w:val="32"/>
          <w:highlight w:val="none"/>
          <w:shd w:val="clear" w:color="auto" w:fill="FFFFFF"/>
          <w:lang w:val="en-US" w:eastAsia="zh-CN"/>
        </w:rPr>
        <w:t>四、评价结论及建议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eastAsia="zh-CN"/>
        </w:rPr>
      </w:pPr>
      <w:r>
        <w:rPr>
          <w:rFonts w:hint="eastAsia" w:ascii="Times New Roman" w:hAnsi="Times New Roman" w:eastAsia="楷体_GB2312" w:cs="楷体_GB2312"/>
          <w:b/>
          <w:color w:val="auto"/>
          <w:sz w:val="32"/>
          <w:szCs w:val="32"/>
          <w:highlight w:val="none"/>
          <w:lang w:val="zh-CN" w:eastAsia="zh-CN"/>
        </w:rPr>
        <w:t>（一）评价结论</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en-US" w:eastAsia="zh-CN" w:bidi="ar"/>
        </w:rPr>
        <w:t>通过此次绩效评价，部门年初制定目标基本实现，重点评价数量和质量基本达到预期，资金管理到位、组织和制度保障体系健全。经过对本单位2024年整体支出进行逐项对照自评，自评得分为86分，自评结果为良好。</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eastAsia="zh-CN"/>
        </w:rPr>
      </w:pPr>
      <w:r>
        <w:rPr>
          <w:rFonts w:hint="eastAsia" w:ascii="Times New Roman" w:hAnsi="Times New Roman" w:eastAsia="楷体_GB2312" w:cs="楷体_GB2312"/>
          <w:b/>
          <w:color w:val="auto"/>
          <w:sz w:val="32"/>
          <w:szCs w:val="32"/>
          <w:highlight w:val="none"/>
          <w:lang w:val="zh-CN" w:eastAsia="zh-CN"/>
        </w:rPr>
        <w:t>（</w:t>
      </w:r>
      <w:r>
        <w:rPr>
          <w:rFonts w:hint="eastAsia" w:ascii="Times New Roman" w:hAnsi="Times New Roman" w:eastAsia="楷体_GB2312" w:cs="楷体_GB2312"/>
          <w:b/>
          <w:color w:val="auto"/>
          <w:sz w:val="32"/>
          <w:szCs w:val="32"/>
          <w:highlight w:val="none"/>
          <w:lang w:val="en-US" w:eastAsia="zh-CN"/>
        </w:rPr>
        <w:t>二</w:t>
      </w:r>
      <w:r>
        <w:rPr>
          <w:rFonts w:hint="eastAsia" w:ascii="Times New Roman" w:hAnsi="Times New Roman" w:eastAsia="楷体_GB2312" w:cs="楷体_GB2312"/>
          <w:b/>
          <w:color w:val="auto"/>
          <w:sz w:val="32"/>
          <w:szCs w:val="32"/>
          <w:highlight w:val="none"/>
          <w:lang w:val="zh-CN" w:eastAsia="zh-CN"/>
        </w:rPr>
        <w:t>）存在问题</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楷体_GB2312" w:cs="楷体_GB2312"/>
          <w:b w:val="0"/>
          <w:bCs/>
          <w:color w:val="auto"/>
          <w:sz w:val="32"/>
          <w:szCs w:val="32"/>
          <w:highlight w:val="none"/>
          <w:lang w:val="en-US" w:eastAsia="zh-CN"/>
        </w:rPr>
        <w:t>1.</w:t>
      </w:r>
      <w:r>
        <w:rPr>
          <w:rFonts w:hint="eastAsia" w:ascii="Times New Roman" w:hAnsi="Times New Roman" w:eastAsia="仿宋_GB2312" w:cs="Times New Roman"/>
          <w:sz w:val="32"/>
          <w:szCs w:val="32"/>
          <w:u w:val="none"/>
          <w:lang w:val="en-US" w:eastAsia="zh-CN" w:bidi="ar"/>
        </w:rPr>
        <w:t>编制和绩效管理工作有待加强。</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en-US" w:eastAsia="zh-CN" w:bidi="ar"/>
        </w:rPr>
        <w:t>2.部分项目资金支付进度有待提高。</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1.加强财务人员和部门负责人培训，增强预算编制的专业性和准确性。加强财政项目资金管理，提高财务管理人员业务素质，严格财务审核，保证项目资金使用管理的规范性、安全性和有效性。</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2.加强沟通，提前做好规划，加快预算项目执行进度。</w:t>
      </w: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zh-CN" w:eastAsia="zh-CN" w:bidi="ar"/>
        </w:rPr>
      </w:pPr>
      <w:r>
        <w:rPr>
          <w:rFonts w:hint="eastAsia" w:ascii="Times New Roman" w:hAnsi="Times New Roman" w:eastAsia="仿宋_GB2312" w:cs="Times New Roman"/>
          <w:color w:val="auto"/>
          <w:kern w:val="2"/>
          <w:sz w:val="32"/>
          <w:szCs w:val="32"/>
          <w:u w:val="none"/>
          <w:lang w:val="zh-CN" w:eastAsia="zh-CN" w:bidi="ar"/>
        </w:rPr>
        <w:t>附表：</w:t>
      </w:r>
      <w:r>
        <w:rPr>
          <w:rFonts w:hint="eastAsia" w:ascii="Times New Roman" w:hAnsi="Times New Roman" w:eastAsia="仿宋_GB2312" w:cs="Times New Roman"/>
          <w:color w:val="auto"/>
          <w:kern w:val="2"/>
          <w:sz w:val="32"/>
          <w:szCs w:val="32"/>
          <w:u w:val="none"/>
          <w:lang w:val="en-US" w:eastAsia="zh-CN" w:bidi="ar"/>
        </w:rPr>
        <w:t>部门预算项目支出绩效自评表（2024年度）</w:t>
      </w:r>
    </w:p>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8"/>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pStyle w:val="8"/>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4"/>
        <w:keepNext w:val="0"/>
        <w:keepLines w:val="0"/>
        <w:pageBreakBefore w:val="0"/>
        <w:widowControl w:val="0"/>
        <w:kinsoku/>
        <w:wordWrap/>
        <w:overflowPunct/>
        <w:topLinePunct w:val="0"/>
        <w:autoSpaceDE/>
        <w:autoSpaceDN/>
        <w:bidi w:val="0"/>
        <w:spacing w:line="578" w:lineRule="exact"/>
        <w:jc w:val="both"/>
        <w:textAlignment w:val="auto"/>
        <w:rPr>
          <w:rFonts w:ascii="Times New Roman" w:hAnsi="Times New Roman"/>
          <w:color w:val="auto"/>
          <w:kern w:val="2"/>
          <w:sz w:val="32"/>
          <w:szCs w:val="32"/>
          <w:highlight w:val="none"/>
        </w:rPr>
      </w:pPr>
    </w:p>
    <w:p>
      <w:pPr>
        <w:autoSpaceDE w:val="0"/>
        <w:autoSpaceDN w:val="0"/>
        <w:adjustRightInd w:val="0"/>
        <w:spacing w:line="600" w:lineRule="exact"/>
        <w:jc w:val="center"/>
        <w:rPr>
          <w:rFonts w:eastAsia="仿宋_GB2312"/>
          <w:kern w:val="0"/>
          <w:sz w:val="32"/>
          <w:szCs w:val="32"/>
        </w:rPr>
      </w:pPr>
      <w:r>
        <w:rPr>
          <w:rFonts w:ascii="Times New Roman" w:hAnsi="Times New Roman" w:eastAsia="方正小标宋简体"/>
          <w:color w:val="auto"/>
          <w:kern w:val="2"/>
          <w:sz w:val="40"/>
          <w:szCs w:val="40"/>
          <w:lang w:val="en-US"/>
        </w:rPr>
        <w:t>202</w:t>
      </w:r>
      <w:r>
        <w:rPr>
          <w:rFonts w:hint="eastAsia" w:eastAsia="方正小标宋简体"/>
          <w:color w:val="auto"/>
          <w:kern w:val="2"/>
          <w:sz w:val="40"/>
          <w:szCs w:val="40"/>
          <w:lang w:val="en-US" w:eastAsia="zh-CN"/>
        </w:rPr>
        <w:t>4</w:t>
      </w:r>
      <w:r>
        <w:rPr>
          <w:rFonts w:hint="eastAsia" w:ascii="Times New Roman" w:hAnsi="Times New Roman" w:eastAsia="方正小标宋简体"/>
          <w:color w:val="auto"/>
          <w:kern w:val="2"/>
          <w:sz w:val="40"/>
          <w:szCs w:val="40"/>
          <w:lang w:val="en-US"/>
        </w:rPr>
        <w:t>年度</w:t>
      </w:r>
      <w:r>
        <w:rPr>
          <w:rFonts w:hint="eastAsia" w:eastAsia="方正小标宋简体"/>
          <w:color w:val="auto"/>
          <w:kern w:val="2"/>
          <w:sz w:val="40"/>
          <w:szCs w:val="40"/>
          <w:lang w:val="en-US" w:eastAsia="zh-CN"/>
        </w:rPr>
        <w:t>企业档案扫描项目</w:t>
      </w:r>
      <w:r>
        <w:rPr>
          <w:rFonts w:ascii="Times New Roman" w:hAnsi="Times New Roman" w:eastAsia="方正小标宋简体"/>
          <w:color w:val="auto"/>
          <w:kern w:val="2"/>
          <w:sz w:val="40"/>
          <w:szCs w:val="40"/>
        </w:rPr>
        <w:t>支出绩效报告</w:t>
      </w:r>
    </w:p>
    <w:p>
      <w:pPr>
        <w:pStyle w:val="3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position w:val="0"/>
          <w:sz w:val="32"/>
          <w:szCs w:val="32"/>
          <w:highlight w:val="none"/>
          <w:lang w:val="en-US" w:eastAsia="zh-CN" w:bidi="ar-SA"/>
        </w:rPr>
        <w:t>按照《四川省市场监督管理局办公室关于进一步做好全省登记档案智慧查询系统建设的通知》（川市监办【2022】57号）要求，各级登记机关通过全程电子化登记形成的原始电子申请材料、登记机关电子审核表单及相关数据库文件、图像等符合法律规定的数据，应采取技术手段及时归集，生成电子档案。东区行政审批局承担了东区辖区有限责任公司、合伙企业、个人独资企业、农民专业合作社、个体工商户等市场主体的登记工作，同时需对每年产生的各类登记档案进行扫描，实现登记档案电子化管理。</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b w:val="0"/>
          <w:bCs w:val="0"/>
          <w:color w:val="FF0000"/>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全省自2022年起开通川渝两地登记档案网上查询平台，2022年10月31日前全部实现全省21个市（州）登记档案电子化管理。同时，自2023年7月1日起在全省范围内推进市场主体迁移登记“一件事一次办”，确保迁移的“流程、数据、档案”三大要素，对市场主体迁移优质提升。</w:t>
      </w:r>
    </w:p>
    <w:p>
      <w:pPr>
        <w:ind w:firstLine="640"/>
        <w:jc w:val="left"/>
        <w:rPr>
          <w:rFonts w:hint="eastAsia" w:eastAsia="仿宋_GB2312"/>
          <w:kern w:val="0"/>
          <w:sz w:val="32"/>
          <w:szCs w:val="32"/>
        </w:rPr>
      </w:pPr>
      <w:r>
        <w:rPr>
          <w:rFonts w:hint="eastAsia" w:eastAsia="仿宋_GB2312"/>
          <w:sz w:val="32"/>
          <w:szCs w:val="32"/>
        </w:rPr>
        <w:t>按照省、市要求和财政专项资金管理办法，</w:t>
      </w:r>
      <w:r>
        <w:rPr>
          <w:rFonts w:hint="eastAsia" w:ascii="仿宋_GB2312" w:hAnsi="宋体" w:eastAsia="仿宋_GB2312" w:cs="宋体"/>
          <w:snapToGrid w:val="0"/>
          <w:kern w:val="0"/>
          <w:sz w:val="32"/>
          <w:szCs w:val="32"/>
        </w:rPr>
        <w:t>我局</w:t>
      </w:r>
      <w:r>
        <w:rPr>
          <w:rFonts w:hint="eastAsia" w:eastAsia="仿宋_GB2312"/>
          <w:sz w:val="32"/>
          <w:szCs w:val="32"/>
        </w:rPr>
        <w:t>严格执行财务制度，遵循专款专用</w:t>
      </w:r>
      <w:r>
        <w:rPr>
          <w:rFonts w:hint="eastAsia" w:eastAsia="仿宋_GB2312"/>
          <w:sz w:val="32"/>
          <w:szCs w:val="32"/>
          <w:lang w:val="en-US" w:eastAsia="zh-CN"/>
        </w:rPr>
        <w:t>原则，</w:t>
      </w:r>
      <w:r>
        <w:rPr>
          <w:rFonts w:hint="eastAsia" w:eastAsia="仿宋_GB2312"/>
          <w:kern w:val="0"/>
          <w:sz w:val="32"/>
          <w:szCs w:val="32"/>
        </w:rPr>
        <w:t>此资金用于企业和个体档案扫描等方面的支出。</w:t>
      </w:r>
    </w:p>
    <w:p>
      <w:pPr>
        <w:ind w:firstLine="640"/>
        <w:jc w:val="left"/>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p>
    <w:p>
      <w:pPr>
        <w:spacing w:line="600" w:lineRule="exact"/>
        <w:ind w:firstLine="640" w:firstLineChars="200"/>
        <w:rPr>
          <w:rFonts w:hint="eastAsia"/>
          <w:lang w:val="zh-CN" w:eastAsia="zh-CN"/>
        </w:rPr>
      </w:pPr>
      <w:r>
        <w:rPr>
          <w:rFonts w:hint="eastAsia" w:eastAsia="仿宋_GB2312"/>
          <w:sz w:val="32"/>
          <w:szCs w:val="32"/>
          <w:lang w:val="en-US" w:eastAsia="zh-CN"/>
        </w:rPr>
        <w:t>业务股室根据实际工作开展情况，申报年度预算资金。坚持</w:t>
      </w:r>
      <w:r>
        <w:rPr>
          <w:rFonts w:hint="eastAsia" w:eastAsia="仿宋_GB2312"/>
          <w:sz w:val="32"/>
          <w:szCs w:val="32"/>
        </w:rPr>
        <w:t>专款专用、独立核算的管理原则</w:t>
      </w:r>
      <w:r>
        <w:rPr>
          <w:rFonts w:hint="eastAsia" w:eastAsia="仿宋_GB2312"/>
          <w:kern w:val="0"/>
          <w:sz w:val="32"/>
          <w:szCs w:val="32"/>
        </w:rPr>
        <w:t>。</w:t>
      </w:r>
      <w:r>
        <w:rPr>
          <w:rFonts w:hint="eastAsia" w:eastAsia="仿宋_GB2312"/>
          <w:sz w:val="32"/>
          <w:szCs w:val="32"/>
          <w:lang w:val="en-US" w:eastAsia="zh-CN"/>
        </w:rPr>
        <w:t>该项目年初</w:t>
      </w:r>
      <w:r>
        <w:rPr>
          <w:rFonts w:hint="eastAsia" w:eastAsia="仿宋_GB2312"/>
          <w:sz w:val="32"/>
          <w:szCs w:val="32"/>
          <w:lang w:eastAsia="zh-CN"/>
        </w:rPr>
        <w:t>预算安排</w:t>
      </w:r>
      <w:r>
        <w:rPr>
          <w:rFonts w:hint="eastAsia" w:eastAsia="仿宋_GB2312"/>
          <w:sz w:val="32"/>
          <w:szCs w:val="32"/>
          <w:lang w:val="en-US" w:eastAsia="zh-CN"/>
        </w:rPr>
        <w:t>13.25万元，用于</w:t>
      </w:r>
      <w:r>
        <w:rPr>
          <w:rFonts w:hint="eastAsia" w:eastAsia="仿宋_GB2312"/>
          <w:sz w:val="32"/>
          <w:szCs w:val="32"/>
        </w:rPr>
        <w:t>企业和个体档案</w:t>
      </w:r>
      <w:r>
        <w:rPr>
          <w:rFonts w:hint="eastAsia" w:eastAsia="仿宋_GB2312"/>
          <w:sz w:val="32"/>
          <w:szCs w:val="32"/>
          <w:lang w:val="en-US" w:eastAsia="zh-CN"/>
        </w:rPr>
        <w:t>登记</w:t>
      </w:r>
      <w:r>
        <w:rPr>
          <w:rFonts w:hint="eastAsia" w:eastAsia="仿宋_GB2312"/>
          <w:sz w:val="32"/>
          <w:szCs w:val="32"/>
        </w:rPr>
        <w:t>扫描</w:t>
      </w:r>
      <w:r>
        <w:rPr>
          <w:rFonts w:hint="eastAsia" w:eastAsia="仿宋_GB2312"/>
          <w:sz w:val="32"/>
          <w:szCs w:val="32"/>
          <w:lang w:val="en-US" w:eastAsia="zh-CN"/>
        </w:rPr>
        <w:t>等方面。</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FF000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四</w:t>
      </w:r>
      <w:r>
        <w:rPr>
          <w:rFonts w:hint="eastAsia" w:ascii="楷体_GB2312" w:hAnsi="宋体" w:eastAsia="楷体_GB2312" w:cs="Times New Roman"/>
          <w:b/>
          <w:color w:val="auto"/>
          <w:sz w:val="32"/>
          <w:szCs w:val="32"/>
          <w:highlight w:val="none"/>
          <w:u w:val="none"/>
          <w:lang w:val="zh-CN" w:eastAsia="zh-CN"/>
        </w:rPr>
        <w:t>）项目绩效目标设置</w:t>
      </w:r>
    </w:p>
    <w:p>
      <w:pPr>
        <w:adjustRightInd w:val="0"/>
        <w:snapToGrid w:val="0"/>
        <w:spacing w:line="600" w:lineRule="exact"/>
        <w:ind w:firstLine="720"/>
        <w:rPr>
          <w:rFonts w:hint="default"/>
          <w:lang w:val="zh-CN" w:eastAsia="zh-CN"/>
        </w:rPr>
      </w:pPr>
      <w:r>
        <w:rPr>
          <w:rFonts w:hint="eastAsia" w:ascii="仿宋_GB2312" w:hAnsi="仿宋_GB2312" w:eastAsia="仿宋_GB2312" w:cs="仿宋_GB2312"/>
          <w:b w:val="0"/>
          <w:bCs w:val="0"/>
          <w:color w:val="auto"/>
          <w:kern w:val="0"/>
          <w:position w:val="0"/>
          <w:sz w:val="32"/>
          <w:szCs w:val="32"/>
          <w:highlight w:val="none"/>
          <w:lang w:val="en-US" w:eastAsia="zh-CN" w:bidi="ar-SA"/>
        </w:rPr>
        <w:t>该项目绩效目标为：本年度需完成企业和个体登记档案扫描约26万页左右，扫描费根据合同约定，按照验收合格的实际扫描量计算支付，本年度项目无资金结余。</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val="0"/>
          <w:bCs w:val="0"/>
          <w:color w:val="FF000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（一）评价目的</w:t>
      </w:r>
    </w:p>
    <w:p>
      <w:pPr>
        <w:adjustRightInd w:val="0"/>
        <w:snapToGrid w:val="0"/>
        <w:spacing w:line="600" w:lineRule="exact"/>
        <w:ind w:firstLine="720"/>
        <w:rPr>
          <w:rFonts w:hint="eastAsia"/>
          <w:lang w:val="zh-CN" w:eastAsia="zh-CN"/>
        </w:rPr>
      </w:pPr>
      <w:r>
        <w:rPr>
          <w:rFonts w:hint="eastAsia" w:ascii="仿宋_GB2312" w:hAnsi="仿宋_GB2312" w:eastAsia="仿宋_GB2312" w:cs="仿宋_GB2312"/>
          <w:b w:val="0"/>
          <w:bCs w:val="0"/>
          <w:color w:val="auto"/>
          <w:kern w:val="0"/>
          <w:position w:val="0"/>
          <w:sz w:val="32"/>
          <w:szCs w:val="32"/>
          <w:highlight w:val="none"/>
          <w:lang w:val="en-US" w:eastAsia="zh-CN" w:bidi="ar-SA"/>
        </w:rPr>
        <w:t>按照计划认真落实企业和个体登记档案扫描，提高行政审批效率，提供优质服务，打造良好营商环境，使市场主体登记档案得到有效利用。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300"/>
        <w:textAlignment w:val="auto"/>
        <w:outlineLvl w:val="9"/>
        <w:rPr>
          <w:rFonts w:hint="eastAsia" w:ascii="仿宋_GB2312" w:hAnsi="仿宋_GB2312" w:eastAsia="仿宋_GB2312" w:cs="仿宋_GB2312"/>
          <w:b w:val="0"/>
          <w:bCs w:val="0"/>
          <w:color w:val="FF000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b/>
          <w:color w:val="auto"/>
          <w:sz w:val="32"/>
          <w:szCs w:val="32"/>
          <w:highlight w:val="none"/>
          <w:u w:val="none"/>
          <w:lang w:val="en-US" w:eastAsia="zh-CN"/>
        </w:rPr>
        <w:t>二</w:t>
      </w:r>
      <w:r>
        <w:rPr>
          <w:rFonts w:hint="eastAsia" w:ascii="楷体_GB2312" w:hAnsi="宋体" w:eastAsia="楷体_GB2312"/>
          <w:b/>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eastAsia" w:eastAsia="仿宋_GB2312"/>
          <w:kern w:val="0"/>
          <w:sz w:val="32"/>
          <w:szCs w:val="32"/>
          <w:lang w:val="zh-CN"/>
        </w:rPr>
      </w:pPr>
      <w:r>
        <w:rPr>
          <w:rFonts w:hint="eastAsia" w:eastAsia="仿宋_GB2312"/>
          <w:kern w:val="0"/>
          <w:sz w:val="32"/>
          <w:szCs w:val="32"/>
          <w:lang w:val="zh-CN"/>
        </w:rPr>
        <w:t>企业档案扫描资金支出使用全过程需要严格控制预算、确保</w:t>
      </w:r>
      <w:r>
        <w:rPr>
          <w:rFonts w:hint="eastAsia" w:eastAsia="仿宋_GB2312"/>
          <w:kern w:val="0"/>
          <w:sz w:val="32"/>
          <w:szCs w:val="32"/>
          <w:lang w:val="en-US" w:eastAsia="zh-CN"/>
        </w:rPr>
        <w:t>扫描</w:t>
      </w:r>
      <w:r>
        <w:rPr>
          <w:rFonts w:hint="eastAsia" w:eastAsia="仿宋_GB2312"/>
          <w:kern w:val="0"/>
          <w:sz w:val="32"/>
          <w:szCs w:val="32"/>
          <w:lang w:val="zh-CN"/>
        </w:rPr>
        <w:t>质量、加强实施管理和验收结算等环节。同时，企业档案</w:t>
      </w:r>
      <w:r>
        <w:rPr>
          <w:rFonts w:hint="eastAsia" w:eastAsia="仿宋_GB2312"/>
          <w:kern w:val="0"/>
          <w:sz w:val="32"/>
          <w:szCs w:val="32"/>
          <w:lang w:val="en-US" w:eastAsia="zh-CN"/>
        </w:rPr>
        <w:t>登记</w:t>
      </w:r>
      <w:r>
        <w:rPr>
          <w:rFonts w:hint="eastAsia" w:eastAsia="仿宋_GB2312"/>
          <w:kern w:val="0"/>
          <w:sz w:val="32"/>
          <w:szCs w:val="32"/>
          <w:lang w:val="zh-CN"/>
        </w:rPr>
        <w:t>扫描的实施可以提高工作效率、节省存储空间、保护档案原件和提高档案管理水平等。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eastAsia" w:eastAsia="仿宋_GB2312"/>
          <w:kern w:val="0"/>
          <w:sz w:val="32"/>
          <w:szCs w:val="32"/>
          <w:lang w:val="zh-CN"/>
        </w:rPr>
      </w:pPr>
      <w:r>
        <w:rPr>
          <w:rFonts w:hint="eastAsia" w:eastAsia="仿宋_GB2312"/>
          <w:kern w:val="0"/>
          <w:sz w:val="32"/>
          <w:szCs w:val="32"/>
          <w:lang w:val="en-US" w:eastAsia="zh-CN"/>
        </w:rPr>
        <w:t>本部门按照</w:t>
      </w:r>
      <w:r>
        <w:rPr>
          <w:rFonts w:hint="eastAsia" w:eastAsia="仿宋_GB2312"/>
          <w:kern w:val="0"/>
          <w:sz w:val="32"/>
          <w:szCs w:val="32"/>
          <w:lang w:val="zh-CN"/>
        </w:rPr>
        <w:t>财政资金管理有关规定</w:t>
      </w:r>
      <w:r>
        <w:rPr>
          <w:rFonts w:hint="eastAsia" w:eastAsia="仿宋_GB2312"/>
          <w:kern w:val="0"/>
          <w:sz w:val="32"/>
          <w:szCs w:val="32"/>
          <w:lang w:val="en-US" w:eastAsia="zh-CN"/>
        </w:rPr>
        <w:t>进行经费</w:t>
      </w:r>
      <w:r>
        <w:rPr>
          <w:rFonts w:hint="eastAsia" w:eastAsia="仿宋_GB2312"/>
          <w:kern w:val="0"/>
          <w:sz w:val="32"/>
          <w:szCs w:val="32"/>
          <w:lang w:val="zh-CN"/>
        </w:rPr>
        <w:t>申报，资金到位及时，资金支付依据</w:t>
      </w:r>
      <w:r>
        <w:rPr>
          <w:rFonts w:hint="eastAsia" w:eastAsia="仿宋_GB2312"/>
          <w:kern w:val="0"/>
          <w:sz w:val="32"/>
          <w:szCs w:val="32"/>
          <w:lang w:val="en-US" w:eastAsia="zh-CN"/>
        </w:rPr>
        <w:t>合同约定，验收合格后根据实际扫描量进行结算，</w:t>
      </w:r>
      <w:r>
        <w:rPr>
          <w:rFonts w:hint="eastAsia" w:eastAsia="仿宋_GB2312"/>
          <w:kern w:val="0"/>
          <w:sz w:val="32"/>
          <w:szCs w:val="32"/>
          <w:lang w:val="zh-CN"/>
        </w:rPr>
        <w:t>与预算相符，不存在无预算超预算支出的情况。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eastAsia" w:ascii="仿宋_GB2312" w:hAnsi="仿宋_GB2312" w:eastAsia="仿宋_GB2312" w:cs="仿宋_GB2312"/>
          <w:b w:val="0"/>
          <w:bCs w:val="0"/>
          <w:color w:val="FF000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b/>
          <w:color w:val="auto"/>
          <w:sz w:val="32"/>
          <w:szCs w:val="32"/>
          <w:highlight w:val="none"/>
          <w:u w:val="none"/>
          <w:lang w:val="en-US" w:eastAsia="zh-CN"/>
        </w:rPr>
        <w:t>三</w:t>
      </w:r>
      <w:r>
        <w:rPr>
          <w:rFonts w:hint="eastAsia" w:ascii="楷体_GB2312" w:hAnsi="宋体" w:eastAsia="楷体_GB2312"/>
          <w:b/>
          <w:color w:val="auto"/>
          <w:sz w:val="32"/>
          <w:szCs w:val="32"/>
          <w:highlight w:val="none"/>
          <w:u w:val="none"/>
          <w:lang w:val="zh-CN"/>
        </w:rPr>
        <w:t>）评价选点</w:t>
      </w:r>
    </w:p>
    <w:p>
      <w:pPr>
        <w:autoSpaceDE w:val="0"/>
        <w:autoSpaceDN w:val="0"/>
        <w:adjustRightInd w:val="0"/>
        <w:spacing w:line="600" w:lineRule="exact"/>
        <w:ind w:firstLine="640" w:firstLineChars="200"/>
        <w:jc w:val="left"/>
        <w:rPr>
          <w:rFonts w:hint="eastAsia"/>
          <w:lang w:val="zh-CN" w:eastAsia="zh-CN"/>
        </w:rPr>
      </w:pPr>
      <w:r>
        <w:rPr>
          <w:rFonts w:hint="eastAsia" w:eastAsia="仿宋_GB2312"/>
          <w:kern w:val="0"/>
          <w:sz w:val="32"/>
          <w:szCs w:val="32"/>
          <w:lang w:val="en-US" w:eastAsia="zh-CN"/>
        </w:rPr>
        <w:t>组织人员对扫描的档案类型、数量、质量进行抽样进行对比评价，扫描图像清晰度、完整性和准确性都符合要求，</w:t>
      </w:r>
      <w:r>
        <w:rPr>
          <w:rFonts w:hint="eastAsia" w:eastAsia="仿宋_GB2312"/>
          <w:kern w:val="0"/>
          <w:sz w:val="32"/>
          <w:szCs w:val="32"/>
          <w:lang w:val="zh-CN"/>
        </w:rPr>
        <w:t>项目资金申报内容与实施内容相符。</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b w:val="0"/>
          <w:bCs w:val="0"/>
          <w:color w:val="FF000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b/>
          <w:color w:val="auto"/>
          <w:sz w:val="32"/>
          <w:szCs w:val="32"/>
          <w:highlight w:val="none"/>
          <w:u w:val="none"/>
          <w:lang w:val="en-US" w:eastAsia="zh-CN"/>
        </w:rPr>
        <w:t>四</w:t>
      </w:r>
      <w:r>
        <w:rPr>
          <w:rFonts w:hint="eastAsia" w:ascii="楷体_GB2312" w:hAnsi="宋体" w:eastAsia="楷体_GB2312"/>
          <w:b/>
          <w:color w:val="auto"/>
          <w:sz w:val="32"/>
          <w:szCs w:val="32"/>
          <w:highlight w:val="none"/>
          <w:u w:val="none"/>
          <w:lang w:val="zh-CN"/>
        </w:rPr>
        <w:t>）评价方法</w:t>
      </w:r>
    </w:p>
    <w:p>
      <w:pPr>
        <w:autoSpaceDE w:val="0"/>
        <w:autoSpaceDN w:val="0"/>
        <w:adjustRightInd w:val="0"/>
        <w:spacing w:line="600" w:lineRule="exact"/>
        <w:ind w:firstLine="640" w:firstLineChars="200"/>
        <w:jc w:val="left"/>
        <w:rPr>
          <w:rFonts w:hint="eastAsia"/>
          <w:lang w:val="zh-CN" w:eastAsia="zh-CN"/>
        </w:rPr>
      </w:pPr>
      <w:r>
        <w:rPr>
          <w:rFonts w:hint="eastAsia" w:eastAsia="仿宋_GB2312"/>
          <w:kern w:val="0"/>
          <w:sz w:val="32"/>
          <w:szCs w:val="32"/>
          <w:lang w:val="en-US" w:eastAsia="zh-CN"/>
        </w:rPr>
        <w:t>随机抽取一定数量的扫描档案，对比原始档案扫描后的电子档案，检查数据是否准确，图像是否清晰、完整，无模糊、缺页、污渍等，进行图像质量评估，同时对扫描进度和人员管理进行评估。对达到质量要求的，根据实际完成量按照合同价格计算支付。</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b w:val="0"/>
          <w:bCs w:val="0"/>
          <w:color w:val="FF000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b/>
          <w:color w:val="auto"/>
          <w:sz w:val="32"/>
          <w:szCs w:val="32"/>
          <w:highlight w:val="none"/>
          <w:u w:val="none"/>
          <w:lang w:val="en-US" w:eastAsia="zh-CN"/>
        </w:rPr>
        <w:t>五</w:t>
      </w:r>
      <w:r>
        <w:rPr>
          <w:rFonts w:hint="eastAsia" w:ascii="楷体_GB2312" w:hAnsi="宋体" w:eastAsia="楷体_GB2312"/>
          <w:b/>
          <w:color w:val="auto"/>
          <w:sz w:val="32"/>
          <w:szCs w:val="32"/>
          <w:highlight w:val="none"/>
          <w:u w:val="none"/>
          <w:lang w:val="zh-CN"/>
        </w:rPr>
        <w:t>）评价组织</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lang w:eastAsia="zh-CN"/>
        </w:rPr>
      </w:pPr>
      <w:r>
        <w:rPr>
          <w:rFonts w:hint="default" w:ascii="仿宋_GB2312" w:hAnsi="仿宋_GB2312" w:eastAsia="仿宋_GB2312" w:cs="仿宋_GB2312"/>
          <w:b w:val="0"/>
          <w:bCs w:val="0"/>
          <w:kern w:val="0"/>
          <w:position w:val="0"/>
          <w:sz w:val="32"/>
          <w:szCs w:val="32"/>
          <w:highlight w:val="none"/>
          <w:lang w:val="zh-CN" w:eastAsia="zh-CN" w:bidi="ar-SA"/>
        </w:rPr>
        <w:t>评价组由</w:t>
      </w:r>
      <w:r>
        <w:rPr>
          <w:rFonts w:hint="eastAsia" w:ascii="仿宋_GB2312" w:hAnsi="仿宋_GB2312" w:eastAsia="仿宋_GB2312" w:cs="仿宋_GB2312"/>
          <w:b w:val="0"/>
          <w:bCs w:val="0"/>
          <w:kern w:val="0"/>
          <w:position w:val="0"/>
          <w:sz w:val="32"/>
          <w:szCs w:val="32"/>
          <w:highlight w:val="none"/>
          <w:lang w:val="en-US" w:eastAsia="zh-CN" w:bidi="ar-SA"/>
        </w:rPr>
        <w:t>局办公室和业务股室</w:t>
      </w:r>
      <w:r>
        <w:rPr>
          <w:rFonts w:hint="default" w:ascii="仿宋_GB2312" w:hAnsi="仿宋_GB2312" w:eastAsia="仿宋_GB2312" w:cs="仿宋_GB2312"/>
          <w:b w:val="0"/>
          <w:bCs w:val="0"/>
          <w:kern w:val="0"/>
          <w:position w:val="0"/>
          <w:sz w:val="32"/>
          <w:szCs w:val="32"/>
          <w:highlight w:val="none"/>
          <w:lang w:val="zh-CN" w:eastAsia="zh-CN" w:bidi="ar-SA"/>
        </w:rPr>
        <w:t>相关人员组成，主要职责为相关资料收集、</w:t>
      </w:r>
      <w:r>
        <w:rPr>
          <w:rFonts w:hint="eastAsia" w:ascii="仿宋_GB2312" w:hAnsi="仿宋_GB2312" w:eastAsia="仿宋_GB2312" w:cs="仿宋_GB2312"/>
          <w:b w:val="0"/>
          <w:bCs w:val="0"/>
          <w:kern w:val="0"/>
          <w:position w:val="0"/>
          <w:sz w:val="32"/>
          <w:szCs w:val="32"/>
          <w:highlight w:val="none"/>
          <w:lang w:val="en-US" w:eastAsia="zh-CN" w:bidi="ar-SA"/>
        </w:rPr>
        <w:t>项目</w:t>
      </w:r>
      <w:r>
        <w:rPr>
          <w:rFonts w:hint="default" w:ascii="仿宋_GB2312" w:hAnsi="仿宋_GB2312" w:eastAsia="仿宋_GB2312" w:cs="仿宋_GB2312"/>
          <w:b w:val="0"/>
          <w:bCs w:val="0"/>
          <w:kern w:val="0"/>
          <w:position w:val="0"/>
          <w:sz w:val="32"/>
          <w:szCs w:val="32"/>
          <w:highlight w:val="none"/>
          <w:lang w:val="zh-CN" w:eastAsia="zh-CN" w:bidi="ar-SA"/>
        </w:rPr>
        <w:t>经费自评、评价报告撰写等。</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b w:val="0"/>
          <w:bCs w:val="0"/>
          <w:color w:val="FF000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p>
    <w:p>
      <w:pPr>
        <w:autoSpaceDE w:val="0"/>
        <w:autoSpaceDN w:val="0"/>
        <w:adjustRightInd w:val="0"/>
        <w:spacing w:line="600" w:lineRule="exact"/>
        <w:ind w:firstLine="640" w:firstLineChars="200"/>
        <w:jc w:val="left"/>
        <w:rPr>
          <w:rFonts w:hint="eastAsia" w:eastAsia="仿宋_GB2312"/>
          <w:kern w:val="0"/>
          <w:sz w:val="32"/>
          <w:szCs w:val="32"/>
          <w:lang w:val="zh-CN" w:eastAsia="zh-CN"/>
        </w:rPr>
      </w:pPr>
      <w:r>
        <w:rPr>
          <w:rFonts w:hint="eastAsia" w:eastAsia="仿宋_GB2312"/>
          <w:kern w:val="0"/>
          <w:sz w:val="32"/>
          <w:szCs w:val="32"/>
          <w:lang w:val="zh-CN" w:eastAsia="zh-CN"/>
        </w:rPr>
        <w:t>项目设立经过事前评估或可行性论证，符合专项设立的基本规范和程序要求，</w:t>
      </w:r>
      <w:r>
        <w:rPr>
          <w:rFonts w:hint="eastAsia" w:eastAsia="仿宋_GB2312"/>
          <w:kern w:val="0"/>
          <w:sz w:val="32"/>
          <w:szCs w:val="32"/>
          <w:lang w:val="en-US" w:eastAsia="zh-CN"/>
        </w:rPr>
        <w:t>与</w:t>
      </w:r>
      <w:r>
        <w:rPr>
          <w:rFonts w:hint="eastAsia" w:eastAsia="仿宋_GB2312"/>
          <w:kern w:val="0"/>
          <w:sz w:val="32"/>
          <w:szCs w:val="32"/>
          <w:lang w:val="zh-CN" w:eastAsia="zh-CN"/>
        </w:rPr>
        <w:t>部门职责相符，属于公共财政支持范围。规划与现实需求</w:t>
      </w:r>
      <w:r>
        <w:rPr>
          <w:rFonts w:hint="eastAsia" w:eastAsia="仿宋_GB2312"/>
          <w:kern w:val="0"/>
          <w:sz w:val="32"/>
          <w:szCs w:val="32"/>
          <w:lang w:val="en-US" w:eastAsia="zh-CN"/>
        </w:rPr>
        <w:t>相</w:t>
      </w:r>
      <w:r>
        <w:rPr>
          <w:rFonts w:hint="eastAsia" w:eastAsia="仿宋_GB2312"/>
          <w:kern w:val="0"/>
          <w:sz w:val="32"/>
          <w:szCs w:val="32"/>
          <w:lang w:val="zh-CN" w:eastAsia="zh-CN"/>
        </w:rPr>
        <w:t>匹配，规划合理，在项目执行过程中，</w:t>
      </w:r>
      <w:r>
        <w:rPr>
          <w:rFonts w:hint="eastAsia" w:eastAsia="仿宋_GB2312"/>
          <w:kern w:val="0"/>
          <w:sz w:val="32"/>
          <w:szCs w:val="32"/>
          <w:lang w:val="en-US" w:eastAsia="zh-CN"/>
        </w:rPr>
        <w:t>严格按照相关</w:t>
      </w:r>
      <w:r>
        <w:rPr>
          <w:rFonts w:hint="eastAsia" w:eastAsia="仿宋_GB2312"/>
          <w:kern w:val="0"/>
          <w:sz w:val="32"/>
          <w:szCs w:val="32"/>
          <w:lang w:val="zh-CN" w:eastAsia="zh-CN"/>
        </w:rPr>
        <w:t>管理制度</w:t>
      </w:r>
      <w:r>
        <w:rPr>
          <w:rFonts w:hint="eastAsia" w:eastAsia="仿宋_GB2312"/>
          <w:kern w:val="0"/>
          <w:sz w:val="32"/>
          <w:szCs w:val="32"/>
          <w:lang w:val="en-US" w:eastAsia="zh-CN"/>
        </w:rPr>
        <w:t>执行。</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color w:val="FF000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p>
    <w:p>
      <w:pPr>
        <w:autoSpaceDE w:val="0"/>
        <w:autoSpaceDN w:val="0"/>
        <w:adjustRightInd w:val="0"/>
        <w:spacing w:line="600" w:lineRule="exact"/>
        <w:ind w:firstLine="640" w:firstLineChars="200"/>
        <w:jc w:val="left"/>
        <w:rPr>
          <w:rFonts w:ascii="仿宋_GB2312" w:eastAsia="仿宋_GB2312"/>
          <w:kern w:val="0"/>
          <w:sz w:val="32"/>
          <w:szCs w:val="32"/>
        </w:rPr>
      </w:pPr>
      <w:r>
        <w:rPr>
          <w:rFonts w:hint="eastAsia" w:eastAsia="仿宋_GB2312"/>
          <w:kern w:val="0"/>
          <w:sz w:val="32"/>
          <w:szCs w:val="32"/>
          <w:lang w:val="en-US" w:eastAsia="zh-CN"/>
        </w:rPr>
        <w:t>根据项目</w:t>
      </w:r>
      <w:r>
        <w:rPr>
          <w:rFonts w:hint="eastAsia" w:eastAsia="仿宋_GB2312"/>
          <w:kern w:val="0"/>
          <w:sz w:val="32"/>
          <w:szCs w:val="32"/>
          <w:lang w:val="zh-CN" w:eastAsia="zh-CN"/>
        </w:rPr>
        <w:t>规划</w:t>
      </w:r>
      <w:r>
        <w:rPr>
          <w:rFonts w:hint="eastAsia" w:ascii="仿宋_GB2312" w:eastAsia="仿宋_GB2312"/>
          <w:kern w:val="0"/>
          <w:sz w:val="32"/>
          <w:szCs w:val="32"/>
        </w:rPr>
        <w:t>纳入年度预算</w:t>
      </w:r>
      <w:r>
        <w:rPr>
          <w:rFonts w:hint="eastAsia" w:eastAsia="仿宋_GB2312"/>
          <w:kern w:val="0"/>
          <w:sz w:val="32"/>
          <w:szCs w:val="32"/>
          <w:lang w:val="zh-CN" w:eastAsia="zh-CN"/>
        </w:rPr>
        <w:t>，按规定及时分配专项预算资金，</w:t>
      </w:r>
      <w:r>
        <w:rPr>
          <w:rFonts w:hint="eastAsia" w:ascii="仿宋_GB2312" w:eastAsia="仿宋_GB2312"/>
          <w:kern w:val="0"/>
          <w:sz w:val="32"/>
          <w:szCs w:val="32"/>
        </w:rPr>
        <w:t>严格按照项目要求及财经法律法规等要求</w:t>
      </w:r>
      <w:r>
        <w:rPr>
          <w:rFonts w:hint="eastAsia" w:ascii="仿宋_GB2312" w:eastAsia="仿宋_GB2312"/>
          <w:kern w:val="0"/>
          <w:sz w:val="32"/>
          <w:szCs w:val="32"/>
          <w:lang w:val="en-US" w:eastAsia="zh-CN"/>
        </w:rPr>
        <w:t>执行</w:t>
      </w:r>
      <w:r>
        <w:rPr>
          <w:rFonts w:hint="eastAsia" w:eastAsia="楷体_GB2312"/>
          <w:kern w:val="0"/>
          <w:sz w:val="32"/>
          <w:szCs w:val="32"/>
        </w:rPr>
        <w:t>。</w:t>
      </w:r>
      <w:r>
        <w:rPr>
          <w:rFonts w:hint="eastAsia" w:eastAsia="仿宋_GB2312"/>
          <w:kern w:val="0"/>
          <w:sz w:val="32"/>
          <w:szCs w:val="32"/>
          <w:lang w:val="zh-CN" w:eastAsia="zh-CN"/>
        </w:rPr>
        <w:t>资金拨付有完整的审批程序和手续，</w:t>
      </w:r>
      <w:r>
        <w:rPr>
          <w:rFonts w:hint="eastAsia" w:eastAsia="仿宋_GB2312"/>
          <w:kern w:val="0"/>
          <w:sz w:val="32"/>
          <w:szCs w:val="32"/>
          <w:lang w:val="en-US" w:eastAsia="zh-CN"/>
        </w:rPr>
        <w:t>与</w:t>
      </w:r>
      <w:r>
        <w:rPr>
          <w:rFonts w:hint="eastAsia" w:eastAsia="仿宋_GB2312"/>
          <w:kern w:val="0"/>
          <w:sz w:val="32"/>
          <w:szCs w:val="32"/>
          <w:lang w:val="zh-CN" w:eastAsia="zh-CN"/>
        </w:rPr>
        <w:t>项目预算批复</w:t>
      </w:r>
      <w:r>
        <w:rPr>
          <w:rFonts w:hint="eastAsia" w:eastAsia="仿宋_GB2312"/>
          <w:kern w:val="0"/>
          <w:sz w:val="32"/>
          <w:szCs w:val="32"/>
          <w:lang w:val="en-US" w:eastAsia="zh-CN"/>
        </w:rPr>
        <w:t>和</w:t>
      </w:r>
      <w:r>
        <w:rPr>
          <w:rFonts w:hint="eastAsia" w:eastAsia="仿宋_GB2312"/>
          <w:kern w:val="0"/>
          <w:sz w:val="32"/>
          <w:szCs w:val="32"/>
          <w:lang w:val="zh-CN" w:eastAsia="zh-CN"/>
        </w:rPr>
        <w:t>合同规定用途</w:t>
      </w:r>
      <w:r>
        <w:rPr>
          <w:rFonts w:hint="eastAsia" w:eastAsia="仿宋_GB2312"/>
          <w:kern w:val="0"/>
          <w:sz w:val="32"/>
          <w:szCs w:val="32"/>
          <w:lang w:val="en-US" w:eastAsia="zh-CN"/>
        </w:rPr>
        <w:t>相符，不</w:t>
      </w:r>
      <w:r>
        <w:rPr>
          <w:rFonts w:hint="eastAsia" w:eastAsia="仿宋_GB2312"/>
          <w:kern w:val="0"/>
          <w:sz w:val="32"/>
          <w:szCs w:val="32"/>
          <w:lang w:val="zh-CN" w:eastAsia="zh-CN"/>
        </w:rPr>
        <w:t>存在截留、挤占、挪用、虚列支出等情况。</w:t>
      </w:r>
      <w:r>
        <w:rPr>
          <w:rFonts w:hint="eastAsia" w:ascii="仿宋_GB2312" w:eastAsia="仿宋_GB2312"/>
          <w:kern w:val="0"/>
          <w:sz w:val="32"/>
          <w:szCs w:val="32"/>
        </w:rPr>
        <w:t>项目完成情况每年都要向上级财政部门填写相关的绩效分析评价，并上报相关对口管理部门检查。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3.项目实施</w:t>
      </w:r>
    </w:p>
    <w:p>
      <w:pPr>
        <w:adjustRightInd w:val="0"/>
        <w:snapToGrid w:val="0"/>
        <w:spacing w:line="600" w:lineRule="exact"/>
        <w:ind w:firstLine="720"/>
        <w:rPr>
          <w:rFonts w:hint="eastAsia" w:eastAsia="仿宋_GB2312"/>
          <w:kern w:val="0"/>
          <w:sz w:val="32"/>
          <w:szCs w:val="32"/>
          <w:lang w:val="zh-CN" w:eastAsia="zh-CN"/>
        </w:rPr>
      </w:pPr>
      <w:r>
        <w:rPr>
          <w:rFonts w:hint="eastAsia" w:eastAsia="仿宋_GB2312"/>
          <w:kern w:val="0"/>
          <w:sz w:val="32"/>
          <w:szCs w:val="32"/>
          <w:lang w:val="en-US" w:eastAsia="zh-CN"/>
        </w:rPr>
        <w:t>按照</w:t>
      </w:r>
      <w:r>
        <w:rPr>
          <w:rFonts w:hint="eastAsia" w:eastAsia="仿宋_GB2312"/>
          <w:kern w:val="0"/>
          <w:sz w:val="32"/>
          <w:szCs w:val="32"/>
          <w:lang w:val="zh-CN" w:eastAsia="zh-CN"/>
        </w:rPr>
        <w:t>相关法律法规</w:t>
      </w:r>
      <w:r>
        <w:rPr>
          <w:rFonts w:hint="eastAsia" w:eastAsia="仿宋_GB2312"/>
          <w:kern w:val="0"/>
          <w:sz w:val="32"/>
          <w:szCs w:val="32"/>
          <w:lang w:val="en-US" w:eastAsia="zh-CN"/>
        </w:rPr>
        <w:t>进行项目</w:t>
      </w:r>
      <w:r>
        <w:rPr>
          <w:rFonts w:hint="eastAsia" w:eastAsia="仿宋_GB2312"/>
          <w:kern w:val="0"/>
          <w:sz w:val="32"/>
          <w:szCs w:val="32"/>
          <w:lang w:val="zh-CN" w:eastAsia="zh-CN"/>
        </w:rPr>
        <w:t>实施，项目调整手续完备，项目合同、验收报告、技术鉴定等资料齐全并及时归档。202</w:t>
      </w:r>
      <w:r>
        <w:rPr>
          <w:rFonts w:hint="eastAsia" w:eastAsia="仿宋_GB2312"/>
          <w:kern w:val="0"/>
          <w:sz w:val="32"/>
          <w:szCs w:val="32"/>
          <w:lang w:val="en-US" w:eastAsia="zh-CN"/>
        </w:rPr>
        <w:t>4</w:t>
      </w:r>
      <w:r>
        <w:rPr>
          <w:rFonts w:hint="eastAsia" w:eastAsia="仿宋_GB2312"/>
          <w:kern w:val="0"/>
          <w:sz w:val="32"/>
          <w:szCs w:val="32"/>
          <w:lang w:val="zh-CN" w:eastAsia="zh-CN"/>
        </w:rPr>
        <w:t>年安排预算资金</w:t>
      </w:r>
      <w:r>
        <w:rPr>
          <w:rFonts w:hint="eastAsia" w:eastAsia="仿宋_GB2312"/>
          <w:kern w:val="0"/>
          <w:sz w:val="32"/>
          <w:szCs w:val="32"/>
          <w:lang w:val="en-US" w:eastAsia="zh-CN"/>
        </w:rPr>
        <w:t>13.25</w:t>
      </w:r>
      <w:r>
        <w:rPr>
          <w:rFonts w:hint="eastAsia" w:eastAsia="仿宋_GB2312"/>
          <w:kern w:val="0"/>
          <w:sz w:val="32"/>
          <w:szCs w:val="32"/>
          <w:lang w:val="zh-CN" w:eastAsia="zh-CN"/>
        </w:rPr>
        <w:t>万元，截至评价时点实际到位资金</w:t>
      </w:r>
      <w:r>
        <w:rPr>
          <w:rFonts w:hint="eastAsia" w:eastAsia="仿宋_GB2312"/>
          <w:kern w:val="0"/>
          <w:sz w:val="32"/>
          <w:szCs w:val="32"/>
          <w:lang w:val="en-US" w:eastAsia="zh-CN"/>
        </w:rPr>
        <w:t>13.25</w:t>
      </w:r>
      <w:r>
        <w:rPr>
          <w:rFonts w:hint="eastAsia" w:eastAsia="仿宋_GB2312"/>
          <w:kern w:val="0"/>
          <w:sz w:val="32"/>
          <w:szCs w:val="32"/>
          <w:lang w:val="zh-CN" w:eastAsia="zh-CN"/>
        </w:rPr>
        <w:t>万元，资金到位及时，全部资金用于</w:t>
      </w:r>
      <w:r>
        <w:rPr>
          <w:rFonts w:hint="eastAsia" w:eastAsia="仿宋_GB2312"/>
          <w:kern w:val="0"/>
          <w:sz w:val="32"/>
          <w:szCs w:val="32"/>
          <w:lang w:val="en-US" w:eastAsia="zh-CN"/>
        </w:rPr>
        <w:t>企业和个体档案登记扫描</w:t>
      </w:r>
      <w:r>
        <w:rPr>
          <w:rFonts w:hint="eastAsia" w:eastAsia="仿宋_GB2312"/>
          <w:kern w:val="0"/>
          <w:sz w:val="32"/>
          <w:szCs w:val="32"/>
          <w:lang w:val="zh-CN" w:eastAsia="zh-CN"/>
        </w:rPr>
        <w:t>，</w:t>
      </w:r>
      <w:r>
        <w:rPr>
          <w:rFonts w:hint="eastAsia" w:eastAsia="仿宋_GB2312"/>
          <w:kern w:val="0"/>
          <w:sz w:val="32"/>
          <w:szCs w:val="32"/>
          <w:lang w:val="en-US" w:eastAsia="zh-CN"/>
        </w:rPr>
        <w:t>预算执行率100%</w:t>
      </w:r>
      <w:r>
        <w:rPr>
          <w:rFonts w:hint="eastAsia" w:eastAsia="仿宋_GB2312"/>
          <w:kern w:val="0"/>
          <w:sz w:val="32"/>
          <w:szCs w:val="32"/>
          <w:lang w:val="zh-CN" w:eastAsia="zh-CN"/>
        </w:rPr>
        <w:t>。</w:t>
      </w:r>
    </w:p>
    <w:p>
      <w:pPr>
        <w:adjustRightInd w:val="0"/>
        <w:snapToGrid w:val="0"/>
        <w:spacing w:line="600" w:lineRule="exact"/>
        <w:ind w:firstLine="640" w:firstLineChars="200"/>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p>
    <w:p>
      <w:pPr>
        <w:adjustRightInd w:val="0"/>
        <w:snapToGrid w:val="0"/>
        <w:spacing w:line="600" w:lineRule="exact"/>
        <w:ind w:firstLine="720"/>
        <w:rPr>
          <w:rFonts w:hint="eastAsia" w:eastAsia="仿宋_GB2312"/>
          <w:kern w:val="0"/>
          <w:sz w:val="32"/>
          <w:szCs w:val="32"/>
          <w:lang w:val="zh-CN" w:eastAsia="zh-CN"/>
        </w:rPr>
      </w:pPr>
      <w:r>
        <w:rPr>
          <w:rFonts w:hint="eastAsia" w:eastAsia="仿宋_GB2312"/>
          <w:kern w:val="0"/>
          <w:sz w:val="32"/>
          <w:szCs w:val="32"/>
          <w:lang w:val="en-US" w:eastAsia="zh-CN"/>
        </w:rPr>
        <w:t>项目</w:t>
      </w:r>
      <w:r>
        <w:rPr>
          <w:rFonts w:hint="eastAsia" w:eastAsia="仿宋_GB2312"/>
          <w:kern w:val="0"/>
          <w:sz w:val="32"/>
          <w:szCs w:val="32"/>
        </w:rPr>
        <w:t>申报内容与实际相符，申报目标合理可行</w:t>
      </w:r>
      <w:r>
        <w:rPr>
          <w:rFonts w:hint="eastAsia" w:eastAsia="仿宋_GB2312"/>
          <w:kern w:val="0"/>
          <w:sz w:val="32"/>
          <w:szCs w:val="32"/>
          <w:lang w:eastAsia="zh-CN"/>
        </w:rPr>
        <w:t>，</w:t>
      </w:r>
      <w:r>
        <w:rPr>
          <w:rFonts w:hint="eastAsia" w:eastAsia="仿宋_GB2312"/>
          <w:kern w:val="0"/>
          <w:sz w:val="32"/>
          <w:szCs w:val="32"/>
          <w:lang w:val="zh-CN" w:eastAsia="zh-CN"/>
        </w:rPr>
        <w:t>项目</w:t>
      </w:r>
      <w:r>
        <w:rPr>
          <w:rFonts w:hint="eastAsia" w:eastAsia="仿宋_GB2312"/>
          <w:kern w:val="0"/>
          <w:sz w:val="32"/>
          <w:szCs w:val="32"/>
          <w:lang w:val="en-US" w:eastAsia="zh-CN"/>
        </w:rPr>
        <w:t>按照进度实施，达到</w:t>
      </w:r>
      <w:r>
        <w:rPr>
          <w:rFonts w:hint="eastAsia" w:eastAsia="仿宋_GB2312"/>
          <w:kern w:val="0"/>
          <w:sz w:val="32"/>
          <w:szCs w:val="32"/>
          <w:lang w:val="zh-CN" w:eastAsia="zh-CN"/>
        </w:rPr>
        <w:t>预期目标，资金拨付</w:t>
      </w:r>
      <w:r>
        <w:rPr>
          <w:rFonts w:hint="eastAsia" w:eastAsia="仿宋_GB2312"/>
          <w:kern w:val="0"/>
          <w:sz w:val="32"/>
          <w:szCs w:val="32"/>
          <w:lang w:val="en-US" w:eastAsia="zh-CN"/>
        </w:rPr>
        <w:t>13.25万元</w:t>
      </w:r>
      <w:r>
        <w:rPr>
          <w:rFonts w:hint="eastAsia" w:eastAsia="仿宋_GB2312"/>
          <w:kern w:val="0"/>
          <w:sz w:val="32"/>
          <w:szCs w:val="32"/>
          <w:lang w:val="zh-CN" w:eastAsia="zh-CN"/>
        </w:rPr>
        <w:t>，配套预算到位率</w:t>
      </w:r>
      <w:r>
        <w:rPr>
          <w:rFonts w:hint="eastAsia" w:eastAsia="仿宋_GB2312"/>
          <w:kern w:val="0"/>
          <w:sz w:val="32"/>
          <w:szCs w:val="32"/>
          <w:lang w:val="en-US" w:eastAsia="zh-CN"/>
        </w:rPr>
        <w:t>100%，</w:t>
      </w:r>
      <w:r>
        <w:rPr>
          <w:rFonts w:hint="eastAsia" w:eastAsia="仿宋_GB2312"/>
          <w:kern w:val="0"/>
          <w:sz w:val="32"/>
          <w:szCs w:val="32"/>
          <w:lang w:val="zh-CN" w:eastAsia="zh-CN"/>
        </w:rPr>
        <w:t>项目</w:t>
      </w:r>
      <w:r>
        <w:rPr>
          <w:rFonts w:hint="eastAsia" w:eastAsia="仿宋_GB2312"/>
          <w:kern w:val="0"/>
          <w:sz w:val="32"/>
          <w:szCs w:val="32"/>
          <w:lang w:val="en-US" w:eastAsia="zh-CN"/>
        </w:rPr>
        <w:t>无</w:t>
      </w:r>
      <w:r>
        <w:rPr>
          <w:rFonts w:hint="eastAsia" w:eastAsia="仿宋_GB2312"/>
          <w:kern w:val="0"/>
          <w:sz w:val="32"/>
          <w:szCs w:val="32"/>
          <w:lang w:val="zh-CN" w:eastAsia="zh-CN"/>
        </w:rPr>
        <w:t>资金结余。</w:t>
      </w:r>
      <w:r>
        <w:rPr>
          <w:rFonts w:hint="eastAsia" w:eastAsia="仿宋_GB2312"/>
          <w:kern w:val="0"/>
          <w:sz w:val="32"/>
          <w:szCs w:val="32"/>
        </w:rPr>
        <w:t>服务对象满意度</w:t>
      </w:r>
      <w:r>
        <w:rPr>
          <w:rFonts w:hint="eastAsia" w:eastAsia="仿宋_GB2312"/>
          <w:kern w:val="0"/>
          <w:sz w:val="32"/>
          <w:szCs w:val="32"/>
          <w:lang w:val="en-US" w:eastAsia="zh-CN"/>
        </w:rPr>
        <w:t>达到预期</w:t>
      </w:r>
      <w:r>
        <w:rPr>
          <w:rFonts w:hint="eastAsia" w:eastAsia="仿宋_GB2312"/>
          <w:kern w:val="0"/>
          <w:sz w:val="32"/>
          <w:szCs w:val="32"/>
          <w:lang w:val="zh-CN" w:eastAsia="zh-CN"/>
        </w:rPr>
        <w:t>。</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pPr>
        <w:autoSpaceDE w:val="0"/>
        <w:autoSpaceDN w:val="0"/>
        <w:adjustRightInd w:val="0"/>
        <w:spacing w:line="600" w:lineRule="exact"/>
        <w:ind w:firstLine="640" w:firstLineChars="200"/>
        <w:jc w:val="left"/>
        <w:rPr>
          <w:rFonts w:hint="eastAsia" w:eastAsia="仿宋_GB2312"/>
          <w:kern w:val="0"/>
          <w:sz w:val="32"/>
          <w:szCs w:val="32"/>
        </w:rPr>
      </w:pPr>
      <w:r>
        <w:rPr>
          <w:rFonts w:hint="eastAsia" w:eastAsia="仿宋_GB2312"/>
          <w:kern w:val="0"/>
          <w:sz w:val="32"/>
          <w:szCs w:val="32"/>
        </w:rPr>
        <w:t>企业档案扫描项目在实施过程中，目标明确，组织管理较为规范，资金使用合</w:t>
      </w:r>
      <w:r>
        <w:rPr>
          <w:rFonts w:hint="eastAsia" w:eastAsia="仿宋_GB2312"/>
          <w:kern w:val="0"/>
          <w:sz w:val="32"/>
          <w:szCs w:val="32"/>
          <w:lang w:val="en-US" w:eastAsia="zh-CN"/>
        </w:rPr>
        <w:t>规</w:t>
      </w:r>
      <w:r>
        <w:rPr>
          <w:rFonts w:hint="eastAsia" w:eastAsia="仿宋_GB2312"/>
          <w:kern w:val="0"/>
          <w:sz w:val="32"/>
          <w:szCs w:val="32"/>
        </w:rPr>
        <w:t>。项目成果在质量方面表现良好，基本实现了预期目标。</w:t>
      </w:r>
      <w:r>
        <w:rPr>
          <w:rFonts w:hint="eastAsia" w:eastAsia="仿宋_GB2312"/>
          <w:kern w:val="0"/>
          <w:sz w:val="32"/>
          <w:szCs w:val="32"/>
          <w:lang w:val="en-US" w:eastAsia="zh-CN"/>
        </w:rPr>
        <w:t>但是</w:t>
      </w:r>
      <w:r>
        <w:rPr>
          <w:rFonts w:hint="eastAsia" w:eastAsia="仿宋_GB2312"/>
          <w:kern w:val="0"/>
          <w:sz w:val="32"/>
          <w:szCs w:val="32"/>
        </w:rPr>
        <w:t>，在</w:t>
      </w:r>
      <w:r>
        <w:rPr>
          <w:rFonts w:hint="eastAsia" w:eastAsia="仿宋_GB2312"/>
          <w:kern w:val="0"/>
          <w:sz w:val="32"/>
          <w:szCs w:val="32"/>
          <w:lang w:val="en-US" w:eastAsia="zh-CN"/>
        </w:rPr>
        <w:t>执行</w:t>
      </w:r>
      <w:r>
        <w:rPr>
          <w:rFonts w:hint="eastAsia" w:eastAsia="仿宋_GB2312"/>
          <w:kern w:val="0"/>
          <w:sz w:val="32"/>
          <w:szCs w:val="32"/>
        </w:rPr>
        <w:t>进度方面存在一定的</w:t>
      </w:r>
      <w:r>
        <w:rPr>
          <w:rFonts w:hint="eastAsia" w:eastAsia="仿宋_GB2312"/>
          <w:kern w:val="0"/>
          <w:sz w:val="32"/>
          <w:szCs w:val="32"/>
          <w:lang w:val="en-US" w:eastAsia="zh-CN"/>
        </w:rPr>
        <w:t>滞后</w:t>
      </w:r>
      <w:r>
        <w:rPr>
          <w:rFonts w:hint="eastAsia" w:eastAsia="仿宋_GB2312"/>
          <w:kern w:val="0"/>
          <w:sz w:val="32"/>
          <w:szCs w:val="32"/>
        </w:rPr>
        <w:t>，需要进一步加强管理。项目支出绩效自评</w:t>
      </w:r>
      <w:r>
        <w:rPr>
          <w:rFonts w:hint="eastAsia" w:eastAsia="仿宋_GB2312"/>
          <w:kern w:val="0"/>
          <w:sz w:val="32"/>
          <w:szCs w:val="32"/>
          <w:lang w:val="en-US" w:eastAsia="zh-CN"/>
        </w:rPr>
        <w:t>得分</w:t>
      </w:r>
      <w:r>
        <w:rPr>
          <w:rFonts w:hint="eastAsia" w:eastAsia="仿宋_GB2312"/>
          <w:kern w:val="0"/>
          <w:sz w:val="32"/>
          <w:szCs w:val="32"/>
        </w:rPr>
        <w:t>为</w:t>
      </w:r>
      <w:r>
        <w:rPr>
          <w:rFonts w:hint="eastAsia" w:eastAsia="仿宋_GB2312"/>
          <w:kern w:val="0"/>
          <w:sz w:val="32"/>
          <w:szCs w:val="32"/>
          <w:lang w:val="en-US" w:eastAsia="zh-CN"/>
        </w:rPr>
        <w:t>97.8</w:t>
      </w:r>
      <w:r>
        <w:rPr>
          <w:rFonts w:hint="eastAsia" w:eastAsia="仿宋_GB2312"/>
          <w:kern w:val="0"/>
          <w:sz w:val="32"/>
          <w:szCs w:val="32"/>
        </w:rPr>
        <w:t>分，</w:t>
      </w:r>
      <w:r>
        <w:rPr>
          <w:rFonts w:hint="eastAsia" w:eastAsia="仿宋_GB2312"/>
          <w:kern w:val="0"/>
          <w:sz w:val="32"/>
          <w:szCs w:val="32"/>
          <w:lang w:val="en-US" w:eastAsia="zh-CN"/>
        </w:rPr>
        <w:t>自评结果为优秀</w:t>
      </w:r>
      <w:r>
        <w:rPr>
          <w:rFonts w:hint="eastAsia" w:eastAsia="仿宋_GB2312"/>
          <w:kern w:val="0"/>
          <w:sz w:val="32"/>
          <w:szCs w:val="32"/>
        </w:rPr>
        <w:t>。</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hAnsi="仿宋_GB2312" w:cs="仿宋_GB2312"/>
          <w:b w:val="0"/>
          <w:bCs w:val="0"/>
          <w:kern w:val="0"/>
          <w:position w:val="0"/>
          <w:sz w:val="32"/>
          <w:szCs w:val="32"/>
          <w:highlight w:val="none"/>
          <w:lang w:val="en-US" w:eastAsia="zh-CN" w:bidi="ar-SA"/>
        </w:rPr>
      </w:pPr>
      <w:r>
        <w:rPr>
          <w:rFonts w:hint="eastAsia" w:hAnsi="仿宋_GB2312" w:cs="仿宋_GB2312"/>
          <w:b w:val="0"/>
          <w:bCs w:val="0"/>
          <w:kern w:val="0"/>
          <w:position w:val="0"/>
          <w:sz w:val="32"/>
          <w:szCs w:val="32"/>
          <w:highlight w:val="none"/>
          <w:lang w:val="en-US" w:eastAsia="zh-CN" w:bidi="ar-SA"/>
        </w:rPr>
        <w:t>年度所需资金未全额纳入年初预算予以保障。</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pPr>
        <w:tabs>
          <w:tab w:val="left" w:pos="1911"/>
        </w:tabs>
        <w:jc w:val="left"/>
        <w:rPr>
          <w:rFonts w:hAnsi="Calibri" w:cs="仿宋"/>
          <w:sz w:val="32"/>
          <w:szCs w:val="32"/>
        </w:rPr>
      </w:pPr>
      <w:r>
        <w:rPr>
          <w:rFonts w:hint="eastAsia" w:ascii="仿宋_GB2312" w:hAnsi="仿宋_GB2312" w:eastAsia="仿宋_GB2312" w:cs="仿宋_GB2312"/>
          <w:b w:val="0"/>
          <w:bCs w:val="0"/>
          <w:kern w:val="0"/>
          <w:position w:val="0"/>
          <w:sz w:val="32"/>
          <w:szCs w:val="32"/>
          <w:highlight w:val="none"/>
          <w:lang w:val="zh-CN" w:eastAsia="zh-CN" w:bidi="ar-SA"/>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结合财力，向区财政争取全额纳入年初</w:t>
      </w:r>
      <w:r>
        <w:rPr>
          <w:rFonts w:hint="eastAsia" w:ascii="仿宋_GB2312" w:hAnsi="仿宋_GB2312" w:eastAsia="仿宋_GB2312" w:cs="仿宋_GB2312"/>
          <w:b w:val="0"/>
          <w:bCs w:val="0"/>
          <w:kern w:val="0"/>
          <w:position w:val="0"/>
          <w:sz w:val="32"/>
          <w:szCs w:val="32"/>
          <w:highlight w:val="none"/>
          <w:lang w:val="en" w:eastAsia="zh-CN" w:bidi="ar-SA"/>
        </w:rPr>
        <w:t>预算</w:t>
      </w:r>
      <w:r>
        <w:rPr>
          <w:rFonts w:hint="eastAsia" w:ascii="仿宋_GB2312" w:hAnsi="仿宋_GB2312" w:eastAsia="仿宋_GB2312" w:cs="仿宋_GB2312"/>
          <w:b w:val="0"/>
          <w:bCs w:val="0"/>
          <w:kern w:val="0"/>
          <w:position w:val="0"/>
          <w:sz w:val="32"/>
          <w:szCs w:val="32"/>
          <w:highlight w:val="none"/>
          <w:lang w:val="en-US" w:eastAsia="zh-CN" w:bidi="ar-SA"/>
        </w:rPr>
        <w:t>足额保障。</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7"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5"/>
          <w:rFonts w:hint="eastAsia" w:ascii="Times New Roman" w:hAnsi="Times New Roman" w:eastAsia="黑体"/>
          <w:b w:val="0"/>
          <w:color w:val="auto"/>
          <w:highlight w:val="none"/>
        </w:rPr>
        <w:t>五部分 附表</w:t>
      </w:r>
      <w:bookmarkEnd w:id="55"/>
      <w:bookmarkEnd w:id="57"/>
      <w:bookmarkStart w:id="58"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0"/>
      <w:r>
        <w:rPr>
          <w:rFonts w:hint="eastAsia" w:ascii="Times New Roman" w:hAnsi="Times New Roman" w:eastAsia="仿宋_GB2312" w:cs="仿宋_GB2312"/>
          <w:color w:val="auto"/>
          <w:sz w:val="32"/>
          <w:szCs w:val="32"/>
          <w:highlight w:val="none"/>
        </w:rPr>
        <w:t>二、收入决算表</w:t>
      </w:r>
      <w:bookmarkEnd w:id="5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1"/>
      <w:r>
        <w:rPr>
          <w:rFonts w:hint="eastAsia" w:ascii="Times New Roman" w:hAnsi="Times New Roman" w:eastAsia="仿宋_GB2312" w:cs="仿宋_GB2312"/>
          <w:color w:val="auto"/>
          <w:sz w:val="32"/>
          <w:szCs w:val="32"/>
          <w:highlight w:val="none"/>
        </w:rPr>
        <w:t>三、支出决算表</w:t>
      </w:r>
      <w:bookmarkEnd w:id="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2"/>
      <w:r>
        <w:rPr>
          <w:rFonts w:hint="eastAsia" w:ascii="Times New Roman" w:hAnsi="Times New Roman" w:eastAsia="仿宋_GB2312" w:cs="仿宋_GB2312"/>
          <w:color w:val="auto"/>
          <w:sz w:val="32"/>
          <w:szCs w:val="32"/>
          <w:highlight w:val="none"/>
        </w:rPr>
        <w:t>四、财政拨款收入支出决算总表</w:t>
      </w:r>
      <w:bookmarkEnd w:id="6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3"/>
      <w:r>
        <w:rPr>
          <w:rFonts w:hint="eastAsia" w:ascii="Times New Roman" w:hAnsi="Times New Roman" w:eastAsia="仿宋_GB2312" w:cs="仿宋_GB2312"/>
          <w:color w:val="auto"/>
          <w:sz w:val="32"/>
          <w:szCs w:val="32"/>
          <w:highlight w:val="none"/>
        </w:rPr>
        <w:t>五、财政拨款支出决算明细表</w:t>
      </w:r>
      <w:bookmarkEnd w:id="62"/>
      <w:bookmarkStart w:id="63"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5"/>
      <w:r>
        <w:rPr>
          <w:rFonts w:hint="eastAsia" w:ascii="Times New Roman" w:hAnsi="Times New Roman" w:eastAsia="仿宋_GB2312" w:cs="仿宋_GB2312"/>
          <w:color w:val="auto"/>
          <w:sz w:val="32"/>
          <w:szCs w:val="32"/>
          <w:highlight w:val="none"/>
        </w:rPr>
        <w:t>七、一般公共预算财政拨款支出决算明细表</w:t>
      </w:r>
      <w:bookmarkEnd w:id="6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6"/>
      <w:r>
        <w:rPr>
          <w:rFonts w:hint="eastAsia" w:ascii="Times New Roman" w:hAnsi="Times New Roman" w:eastAsia="仿宋_GB2312" w:cs="仿宋_GB2312"/>
          <w:color w:val="auto"/>
          <w:sz w:val="32"/>
          <w:szCs w:val="32"/>
          <w:highlight w:val="none"/>
        </w:rPr>
        <w:t>八、一般公共预算财政拨款基本支出决算表</w:t>
      </w:r>
      <w:bookmarkEnd w:id="6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7"/>
      <w:r>
        <w:rPr>
          <w:rFonts w:hint="eastAsia" w:ascii="Times New Roman" w:hAnsi="Times New Roman" w:eastAsia="仿宋_GB2312" w:cs="仿宋_GB2312"/>
          <w:color w:val="auto"/>
          <w:sz w:val="32"/>
          <w:szCs w:val="32"/>
          <w:highlight w:val="none"/>
        </w:rPr>
        <w:t>九、一般公共预算财政拨款项目支出决算表</w:t>
      </w:r>
      <w:bookmarkEnd w:id="6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8"/>
      <w:r>
        <w:rPr>
          <w:rFonts w:hint="eastAsia" w:ascii="Times New Roman" w:hAnsi="Times New Roman" w:eastAsia="仿宋_GB2312" w:cs="仿宋_GB2312"/>
          <w:color w:val="auto"/>
          <w:sz w:val="32"/>
          <w:szCs w:val="32"/>
          <w:highlight w:val="none"/>
        </w:rPr>
        <w:t>十、</w:t>
      </w:r>
      <w:bookmarkEnd w:id="67"/>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9"/>
      <w:r>
        <w:rPr>
          <w:rFonts w:hint="eastAsia" w:ascii="Times New Roman" w:hAnsi="Times New Roman" w:eastAsia="仿宋_GB2312" w:cs="仿宋_GB2312"/>
          <w:color w:val="auto"/>
          <w:sz w:val="32"/>
          <w:szCs w:val="32"/>
          <w:highlight w:val="none"/>
        </w:rPr>
        <w:t>十一、</w:t>
      </w:r>
      <w:bookmarkEnd w:id="6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30"/>
      <w:r>
        <w:rPr>
          <w:rFonts w:hint="eastAsia" w:ascii="Times New Roman" w:hAnsi="Times New Roman" w:eastAsia="仿宋_GB2312" w:cs="仿宋_GB2312"/>
          <w:color w:val="auto"/>
          <w:sz w:val="32"/>
          <w:szCs w:val="32"/>
          <w:highlight w:val="none"/>
        </w:rPr>
        <w:t>十二、</w:t>
      </w:r>
      <w:bookmarkEnd w:id="69"/>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0" w:name="_Toc15396631"/>
      <w:r>
        <w:rPr>
          <w:rFonts w:hint="eastAsia" w:ascii="Times New Roman" w:hAnsi="Times New Roman" w:eastAsia="仿宋_GB2312" w:cs="仿宋_GB2312"/>
          <w:color w:val="auto"/>
          <w:sz w:val="32"/>
          <w:szCs w:val="32"/>
          <w:highlight w:val="none"/>
        </w:rPr>
        <w:t>十三、</w:t>
      </w:r>
      <w:bookmarkEnd w:id="70"/>
      <w:r>
        <w:rPr>
          <w:rFonts w:hint="eastAsia" w:ascii="Times New Roman" w:hAnsi="Times New Roman" w:eastAsia="仿宋_GB2312" w:cs="仿宋_GB2312"/>
          <w:color w:val="auto"/>
          <w:sz w:val="32"/>
          <w:szCs w:val="32"/>
          <w:highlight w:val="none"/>
          <w:lang w:eastAsia="zh-CN"/>
        </w:rPr>
        <w:t>财政拨款“三公”经费支出决算表</w:t>
      </w:r>
    </w:p>
    <w:p>
      <w:pPr>
        <w:pStyle w:val="3"/>
        <w:rPr>
          <w:rFonts w:eastAsia="黑体"/>
          <w:sz w:val="44"/>
          <w:szCs w:val="44"/>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Arial Unicode MS"/>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6F59"/>
    <w:rsid w:val="00142216"/>
    <w:rsid w:val="00144D6A"/>
    <w:rsid w:val="0014729F"/>
    <w:rsid w:val="00157BAB"/>
    <w:rsid w:val="001654D1"/>
    <w:rsid w:val="00170048"/>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3751"/>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5797"/>
    <w:rsid w:val="004464F4"/>
    <w:rsid w:val="00471401"/>
    <w:rsid w:val="00473F31"/>
    <w:rsid w:val="0048263A"/>
    <w:rsid w:val="00487E5D"/>
    <w:rsid w:val="00491A7B"/>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E5D1E"/>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7381"/>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B731D"/>
    <w:rsid w:val="00AC3C6A"/>
    <w:rsid w:val="00AD5620"/>
    <w:rsid w:val="00AD656B"/>
    <w:rsid w:val="00AD7C1B"/>
    <w:rsid w:val="00AE16BA"/>
    <w:rsid w:val="00AE1EBE"/>
    <w:rsid w:val="00B03C9D"/>
    <w:rsid w:val="00B060AE"/>
    <w:rsid w:val="00B0750C"/>
    <w:rsid w:val="00B10517"/>
    <w:rsid w:val="00B14E76"/>
    <w:rsid w:val="00B161B8"/>
    <w:rsid w:val="00B2048C"/>
    <w:rsid w:val="00B30ADA"/>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65A2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19D1"/>
    <w:rsid w:val="00E472B1"/>
    <w:rsid w:val="00E50624"/>
    <w:rsid w:val="00E54633"/>
    <w:rsid w:val="00E568DF"/>
    <w:rsid w:val="00E62C73"/>
    <w:rsid w:val="00E64269"/>
    <w:rsid w:val="00E82267"/>
    <w:rsid w:val="00E853CE"/>
    <w:rsid w:val="00E867B6"/>
    <w:rsid w:val="00EA010F"/>
    <w:rsid w:val="00ED1B63"/>
    <w:rsid w:val="00ED3C1F"/>
    <w:rsid w:val="00ED4085"/>
    <w:rsid w:val="00ED420E"/>
    <w:rsid w:val="00ED6FBE"/>
    <w:rsid w:val="00EE2F57"/>
    <w:rsid w:val="00EE6C69"/>
    <w:rsid w:val="00EF4C34"/>
    <w:rsid w:val="00EF77C6"/>
    <w:rsid w:val="00F05438"/>
    <w:rsid w:val="00F1361C"/>
    <w:rsid w:val="00F156F0"/>
    <w:rsid w:val="00F160C7"/>
    <w:rsid w:val="00F2408F"/>
    <w:rsid w:val="00F240E9"/>
    <w:rsid w:val="00F36D8F"/>
    <w:rsid w:val="00F417B1"/>
    <w:rsid w:val="00F432AB"/>
    <w:rsid w:val="00F45853"/>
    <w:rsid w:val="00F602DF"/>
    <w:rsid w:val="00F754A1"/>
    <w:rsid w:val="00F76EE0"/>
    <w:rsid w:val="00F778AB"/>
    <w:rsid w:val="00F81FD9"/>
    <w:rsid w:val="00F841AA"/>
    <w:rsid w:val="00F84A94"/>
    <w:rsid w:val="00F87E96"/>
    <w:rsid w:val="00FA23E8"/>
    <w:rsid w:val="00FD3CC1"/>
    <w:rsid w:val="00FE46F1"/>
    <w:rsid w:val="00FF1E02"/>
    <w:rsid w:val="00FF30B4"/>
    <w:rsid w:val="012A5EC2"/>
    <w:rsid w:val="015975B8"/>
    <w:rsid w:val="018D707D"/>
    <w:rsid w:val="01BE01FA"/>
    <w:rsid w:val="020B3C99"/>
    <w:rsid w:val="02596E91"/>
    <w:rsid w:val="025D344C"/>
    <w:rsid w:val="029B7164"/>
    <w:rsid w:val="02FEBE30"/>
    <w:rsid w:val="04384DA3"/>
    <w:rsid w:val="043F411E"/>
    <w:rsid w:val="04916F1E"/>
    <w:rsid w:val="04B74A05"/>
    <w:rsid w:val="04CB47F3"/>
    <w:rsid w:val="05365FBB"/>
    <w:rsid w:val="05556F2B"/>
    <w:rsid w:val="05A63FD4"/>
    <w:rsid w:val="05B0027B"/>
    <w:rsid w:val="05DF1677"/>
    <w:rsid w:val="061E35DE"/>
    <w:rsid w:val="062204CB"/>
    <w:rsid w:val="064102AF"/>
    <w:rsid w:val="06695153"/>
    <w:rsid w:val="066E0107"/>
    <w:rsid w:val="068A2EF6"/>
    <w:rsid w:val="069F7CFC"/>
    <w:rsid w:val="06F5474B"/>
    <w:rsid w:val="07277B3F"/>
    <w:rsid w:val="072A4841"/>
    <w:rsid w:val="074314E3"/>
    <w:rsid w:val="07595D13"/>
    <w:rsid w:val="07996F6E"/>
    <w:rsid w:val="07DFD8BA"/>
    <w:rsid w:val="08222D3A"/>
    <w:rsid w:val="089F1EC1"/>
    <w:rsid w:val="08A84395"/>
    <w:rsid w:val="091B6E43"/>
    <w:rsid w:val="09867E8F"/>
    <w:rsid w:val="0A1059DE"/>
    <w:rsid w:val="0A1C3CC7"/>
    <w:rsid w:val="0A2032A3"/>
    <w:rsid w:val="0A5758A4"/>
    <w:rsid w:val="0ABC6327"/>
    <w:rsid w:val="0B087551"/>
    <w:rsid w:val="0B7578A8"/>
    <w:rsid w:val="0BCC1D05"/>
    <w:rsid w:val="0C05604B"/>
    <w:rsid w:val="0C7954E0"/>
    <w:rsid w:val="0C8702B7"/>
    <w:rsid w:val="0CA8290A"/>
    <w:rsid w:val="0D35B1ED"/>
    <w:rsid w:val="0D395154"/>
    <w:rsid w:val="0D441E1B"/>
    <w:rsid w:val="0D934F1D"/>
    <w:rsid w:val="0D9404BE"/>
    <w:rsid w:val="0D9D3792"/>
    <w:rsid w:val="0DD97303"/>
    <w:rsid w:val="0E254B6B"/>
    <w:rsid w:val="0E2B79C8"/>
    <w:rsid w:val="0E8C1BD6"/>
    <w:rsid w:val="0EAA6D54"/>
    <w:rsid w:val="0EE57F94"/>
    <w:rsid w:val="0F98263C"/>
    <w:rsid w:val="0FE16FA7"/>
    <w:rsid w:val="101860EC"/>
    <w:rsid w:val="101F47CC"/>
    <w:rsid w:val="10621CE7"/>
    <w:rsid w:val="10B564E0"/>
    <w:rsid w:val="10C055FF"/>
    <w:rsid w:val="11694EBD"/>
    <w:rsid w:val="11772AA4"/>
    <w:rsid w:val="118107EC"/>
    <w:rsid w:val="11C856DC"/>
    <w:rsid w:val="12E24EE2"/>
    <w:rsid w:val="13241FA6"/>
    <w:rsid w:val="137D3606"/>
    <w:rsid w:val="13D50BC4"/>
    <w:rsid w:val="14595476"/>
    <w:rsid w:val="145F35AD"/>
    <w:rsid w:val="14B17F78"/>
    <w:rsid w:val="15630323"/>
    <w:rsid w:val="15D501E9"/>
    <w:rsid w:val="165E0673"/>
    <w:rsid w:val="16B831D5"/>
    <w:rsid w:val="16BB723D"/>
    <w:rsid w:val="16C70DB0"/>
    <w:rsid w:val="17A82010"/>
    <w:rsid w:val="17E50567"/>
    <w:rsid w:val="186504BB"/>
    <w:rsid w:val="1868362C"/>
    <w:rsid w:val="186A7DB3"/>
    <w:rsid w:val="18A92EAD"/>
    <w:rsid w:val="18DD00CE"/>
    <w:rsid w:val="18FC791F"/>
    <w:rsid w:val="199E3C4C"/>
    <w:rsid w:val="19A445FC"/>
    <w:rsid w:val="1A1D53A8"/>
    <w:rsid w:val="1A2515A9"/>
    <w:rsid w:val="1AF270BF"/>
    <w:rsid w:val="1BE8440E"/>
    <w:rsid w:val="1BF65D90"/>
    <w:rsid w:val="1C052D57"/>
    <w:rsid w:val="1C21570C"/>
    <w:rsid w:val="1C242B9E"/>
    <w:rsid w:val="1D155CEE"/>
    <w:rsid w:val="1D1638FE"/>
    <w:rsid w:val="1D450A90"/>
    <w:rsid w:val="1D5E5424"/>
    <w:rsid w:val="1DD67FB7"/>
    <w:rsid w:val="1E1B7ED4"/>
    <w:rsid w:val="1E312DEB"/>
    <w:rsid w:val="1E536460"/>
    <w:rsid w:val="1E5B19B0"/>
    <w:rsid w:val="1E5C240A"/>
    <w:rsid w:val="1E740ACF"/>
    <w:rsid w:val="1E7C6CE3"/>
    <w:rsid w:val="1EBB2521"/>
    <w:rsid w:val="1ED35A9E"/>
    <w:rsid w:val="1FA70A44"/>
    <w:rsid w:val="1FF35744"/>
    <w:rsid w:val="1FF6BC77"/>
    <w:rsid w:val="20E62127"/>
    <w:rsid w:val="210571A8"/>
    <w:rsid w:val="2186353C"/>
    <w:rsid w:val="21DA540C"/>
    <w:rsid w:val="223E44B9"/>
    <w:rsid w:val="225D715B"/>
    <w:rsid w:val="22BE0E88"/>
    <w:rsid w:val="22BE688F"/>
    <w:rsid w:val="22C0345C"/>
    <w:rsid w:val="2348049A"/>
    <w:rsid w:val="23860B96"/>
    <w:rsid w:val="240371BF"/>
    <w:rsid w:val="244F3473"/>
    <w:rsid w:val="24640161"/>
    <w:rsid w:val="24657369"/>
    <w:rsid w:val="2486573F"/>
    <w:rsid w:val="249B4FE4"/>
    <w:rsid w:val="24C97D99"/>
    <w:rsid w:val="24F56008"/>
    <w:rsid w:val="25546590"/>
    <w:rsid w:val="25A718F0"/>
    <w:rsid w:val="25BB59F6"/>
    <w:rsid w:val="260F557C"/>
    <w:rsid w:val="26183EC9"/>
    <w:rsid w:val="263A23EB"/>
    <w:rsid w:val="26970054"/>
    <w:rsid w:val="276718B4"/>
    <w:rsid w:val="27985FD1"/>
    <w:rsid w:val="281408E2"/>
    <w:rsid w:val="286F5AAA"/>
    <w:rsid w:val="28D8068A"/>
    <w:rsid w:val="29026853"/>
    <w:rsid w:val="294167B4"/>
    <w:rsid w:val="29697B44"/>
    <w:rsid w:val="296A58D4"/>
    <w:rsid w:val="29937700"/>
    <w:rsid w:val="29FD04D3"/>
    <w:rsid w:val="2A027314"/>
    <w:rsid w:val="2A765CFE"/>
    <w:rsid w:val="2A7A3E8A"/>
    <w:rsid w:val="2AEC429E"/>
    <w:rsid w:val="2B484080"/>
    <w:rsid w:val="2BFF7BC6"/>
    <w:rsid w:val="2C8A61B5"/>
    <w:rsid w:val="2DF04E50"/>
    <w:rsid w:val="2E415728"/>
    <w:rsid w:val="2E586DFA"/>
    <w:rsid w:val="2EC326B9"/>
    <w:rsid w:val="2F040D46"/>
    <w:rsid w:val="2F6B035B"/>
    <w:rsid w:val="2F96071B"/>
    <w:rsid w:val="2FAE5751"/>
    <w:rsid w:val="2FB1A395"/>
    <w:rsid w:val="2FD9A7D8"/>
    <w:rsid w:val="2FDBF714"/>
    <w:rsid w:val="3031781D"/>
    <w:rsid w:val="304341B4"/>
    <w:rsid w:val="309C1FC2"/>
    <w:rsid w:val="30AB6865"/>
    <w:rsid w:val="3165408D"/>
    <w:rsid w:val="31694411"/>
    <w:rsid w:val="319F7F4E"/>
    <w:rsid w:val="32261220"/>
    <w:rsid w:val="32BD1EF1"/>
    <w:rsid w:val="32D4210D"/>
    <w:rsid w:val="3304709D"/>
    <w:rsid w:val="33A773CB"/>
    <w:rsid w:val="34137989"/>
    <w:rsid w:val="346A1D25"/>
    <w:rsid w:val="34744B28"/>
    <w:rsid w:val="34897E2A"/>
    <w:rsid w:val="348F4CFD"/>
    <w:rsid w:val="349D6851"/>
    <w:rsid w:val="34C67F11"/>
    <w:rsid w:val="34E239F0"/>
    <w:rsid w:val="365F23F0"/>
    <w:rsid w:val="36AA5135"/>
    <w:rsid w:val="36BE0DA7"/>
    <w:rsid w:val="3726545E"/>
    <w:rsid w:val="373613D7"/>
    <w:rsid w:val="374B7581"/>
    <w:rsid w:val="376B6AA6"/>
    <w:rsid w:val="376D39B2"/>
    <w:rsid w:val="3780694E"/>
    <w:rsid w:val="37BF4EEF"/>
    <w:rsid w:val="37D87513"/>
    <w:rsid w:val="37E16F03"/>
    <w:rsid w:val="37F53A3B"/>
    <w:rsid w:val="385A2AF6"/>
    <w:rsid w:val="38812B3F"/>
    <w:rsid w:val="389B6C89"/>
    <w:rsid w:val="38D469F0"/>
    <w:rsid w:val="38F032DE"/>
    <w:rsid w:val="38F32C55"/>
    <w:rsid w:val="39570CF1"/>
    <w:rsid w:val="39627CCD"/>
    <w:rsid w:val="397BAF1F"/>
    <w:rsid w:val="3A5E4D0C"/>
    <w:rsid w:val="3AB79AF3"/>
    <w:rsid w:val="3AD63C91"/>
    <w:rsid w:val="3AE834C0"/>
    <w:rsid w:val="3B1C273F"/>
    <w:rsid w:val="3B7EF35A"/>
    <w:rsid w:val="3B9FDB6C"/>
    <w:rsid w:val="3BBE1B74"/>
    <w:rsid w:val="3BC207E9"/>
    <w:rsid w:val="3BD9682B"/>
    <w:rsid w:val="3BF5BC2F"/>
    <w:rsid w:val="3CEBA265"/>
    <w:rsid w:val="3D98207C"/>
    <w:rsid w:val="3DEE7CF3"/>
    <w:rsid w:val="3E4875D4"/>
    <w:rsid w:val="3E6F552C"/>
    <w:rsid w:val="3E740A63"/>
    <w:rsid w:val="3E78745D"/>
    <w:rsid w:val="3E986106"/>
    <w:rsid w:val="3EC55606"/>
    <w:rsid w:val="3EE17838"/>
    <w:rsid w:val="3F55381A"/>
    <w:rsid w:val="3F573903"/>
    <w:rsid w:val="3F7F7599"/>
    <w:rsid w:val="3F9656A6"/>
    <w:rsid w:val="3FF4CAE0"/>
    <w:rsid w:val="3FF7B227"/>
    <w:rsid w:val="40276675"/>
    <w:rsid w:val="411936A3"/>
    <w:rsid w:val="412F2E45"/>
    <w:rsid w:val="415C55FA"/>
    <w:rsid w:val="417375AB"/>
    <w:rsid w:val="4187359F"/>
    <w:rsid w:val="41D3614B"/>
    <w:rsid w:val="420C59C5"/>
    <w:rsid w:val="423A11E9"/>
    <w:rsid w:val="42504259"/>
    <w:rsid w:val="427B679C"/>
    <w:rsid w:val="436521D0"/>
    <w:rsid w:val="43BF3B0E"/>
    <w:rsid w:val="44674991"/>
    <w:rsid w:val="448A6C44"/>
    <w:rsid w:val="44D608FA"/>
    <w:rsid w:val="44E268DA"/>
    <w:rsid w:val="450D13D7"/>
    <w:rsid w:val="45506656"/>
    <w:rsid w:val="455768F7"/>
    <w:rsid w:val="456A1AE2"/>
    <w:rsid w:val="45DF0427"/>
    <w:rsid w:val="46035C52"/>
    <w:rsid w:val="46104C69"/>
    <w:rsid w:val="46F52CE7"/>
    <w:rsid w:val="47755D5B"/>
    <w:rsid w:val="478A0673"/>
    <w:rsid w:val="47C84449"/>
    <w:rsid w:val="486A6C7A"/>
    <w:rsid w:val="488248B3"/>
    <w:rsid w:val="49430E0E"/>
    <w:rsid w:val="49E96794"/>
    <w:rsid w:val="4A2740D2"/>
    <w:rsid w:val="4A627F82"/>
    <w:rsid w:val="4A80379B"/>
    <w:rsid w:val="4B0E749A"/>
    <w:rsid w:val="4B2477C4"/>
    <w:rsid w:val="4B4F25DA"/>
    <w:rsid w:val="4BE068DB"/>
    <w:rsid w:val="4C007B61"/>
    <w:rsid w:val="4C8F098F"/>
    <w:rsid w:val="4CF7668D"/>
    <w:rsid w:val="4D0E3BD7"/>
    <w:rsid w:val="4D577224"/>
    <w:rsid w:val="4DBF1CEB"/>
    <w:rsid w:val="4DF0007C"/>
    <w:rsid w:val="4E0A36BC"/>
    <w:rsid w:val="4EAB630A"/>
    <w:rsid w:val="4ECE2238"/>
    <w:rsid w:val="4F321AF7"/>
    <w:rsid w:val="4F550DFC"/>
    <w:rsid w:val="4F833267"/>
    <w:rsid w:val="4FE9BD67"/>
    <w:rsid w:val="4FFB052F"/>
    <w:rsid w:val="501D623F"/>
    <w:rsid w:val="50584D50"/>
    <w:rsid w:val="50C95D89"/>
    <w:rsid w:val="513940FA"/>
    <w:rsid w:val="51AC7119"/>
    <w:rsid w:val="52185176"/>
    <w:rsid w:val="5240300E"/>
    <w:rsid w:val="52F602C9"/>
    <w:rsid w:val="532053D8"/>
    <w:rsid w:val="537E6D0A"/>
    <w:rsid w:val="53F74C96"/>
    <w:rsid w:val="541A1706"/>
    <w:rsid w:val="54575152"/>
    <w:rsid w:val="54787E2C"/>
    <w:rsid w:val="54C413C2"/>
    <w:rsid w:val="55170BA8"/>
    <w:rsid w:val="551E4270"/>
    <w:rsid w:val="55230D29"/>
    <w:rsid w:val="553218C9"/>
    <w:rsid w:val="56066DB2"/>
    <w:rsid w:val="56544590"/>
    <w:rsid w:val="567E1AA5"/>
    <w:rsid w:val="56BF0CB4"/>
    <w:rsid w:val="56E03CA9"/>
    <w:rsid w:val="56E47B74"/>
    <w:rsid w:val="56FB2433"/>
    <w:rsid w:val="57175D52"/>
    <w:rsid w:val="57A6290D"/>
    <w:rsid w:val="57AA573B"/>
    <w:rsid w:val="57BD3DD4"/>
    <w:rsid w:val="582A61C3"/>
    <w:rsid w:val="58FF2456"/>
    <w:rsid w:val="591B7F28"/>
    <w:rsid w:val="596073DA"/>
    <w:rsid w:val="59852746"/>
    <w:rsid w:val="599B516B"/>
    <w:rsid w:val="59A34571"/>
    <w:rsid w:val="59D575D7"/>
    <w:rsid w:val="5AF92295"/>
    <w:rsid w:val="5B250254"/>
    <w:rsid w:val="5B321E18"/>
    <w:rsid w:val="5B6264FD"/>
    <w:rsid w:val="5BA211BF"/>
    <w:rsid w:val="5BDD79E6"/>
    <w:rsid w:val="5BF561CA"/>
    <w:rsid w:val="5BFF5DFC"/>
    <w:rsid w:val="5CD71FC4"/>
    <w:rsid w:val="5D1F11B5"/>
    <w:rsid w:val="5D55434C"/>
    <w:rsid w:val="5D695134"/>
    <w:rsid w:val="5DAE1B18"/>
    <w:rsid w:val="5DE7D9E5"/>
    <w:rsid w:val="5E2B50BA"/>
    <w:rsid w:val="5EB03E06"/>
    <w:rsid w:val="5ECEC941"/>
    <w:rsid w:val="5F0C0534"/>
    <w:rsid w:val="5F5F74A4"/>
    <w:rsid w:val="5F647BCE"/>
    <w:rsid w:val="5FBF9FF3"/>
    <w:rsid w:val="5FCD4E2C"/>
    <w:rsid w:val="5FEA708A"/>
    <w:rsid w:val="5FEF394A"/>
    <w:rsid w:val="5FF67715"/>
    <w:rsid w:val="60010598"/>
    <w:rsid w:val="601C2674"/>
    <w:rsid w:val="6022102B"/>
    <w:rsid w:val="60727165"/>
    <w:rsid w:val="60784A1E"/>
    <w:rsid w:val="61676DD8"/>
    <w:rsid w:val="61A43DF1"/>
    <w:rsid w:val="61AD7E80"/>
    <w:rsid w:val="61ED0B1E"/>
    <w:rsid w:val="62030EE7"/>
    <w:rsid w:val="62BF3928"/>
    <w:rsid w:val="63B3701E"/>
    <w:rsid w:val="63B96CD8"/>
    <w:rsid w:val="63BB5C49"/>
    <w:rsid w:val="63F34020"/>
    <w:rsid w:val="642832A8"/>
    <w:rsid w:val="647F5392"/>
    <w:rsid w:val="657E5CA9"/>
    <w:rsid w:val="659D3440"/>
    <w:rsid w:val="659F52A4"/>
    <w:rsid w:val="65E66580"/>
    <w:rsid w:val="65FB0A5C"/>
    <w:rsid w:val="66453C32"/>
    <w:rsid w:val="664B1D71"/>
    <w:rsid w:val="664B4E8E"/>
    <w:rsid w:val="66600101"/>
    <w:rsid w:val="667B0514"/>
    <w:rsid w:val="67041A55"/>
    <w:rsid w:val="67277B67"/>
    <w:rsid w:val="672E08EA"/>
    <w:rsid w:val="673E3DF7"/>
    <w:rsid w:val="67AA3209"/>
    <w:rsid w:val="67C220AD"/>
    <w:rsid w:val="67E81264"/>
    <w:rsid w:val="681117D1"/>
    <w:rsid w:val="687439AD"/>
    <w:rsid w:val="689B45B1"/>
    <w:rsid w:val="68B4697C"/>
    <w:rsid w:val="69843F12"/>
    <w:rsid w:val="698D0931"/>
    <w:rsid w:val="6A234E3B"/>
    <w:rsid w:val="6A7FE5F3"/>
    <w:rsid w:val="6B053271"/>
    <w:rsid w:val="6B435FE8"/>
    <w:rsid w:val="6B607436"/>
    <w:rsid w:val="6B831E50"/>
    <w:rsid w:val="6B990A41"/>
    <w:rsid w:val="6BDD78B3"/>
    <w:rsid w:val="6C4A05C8"/>
    <w:rsid w:val="6C6F2F90"/>
    <w:rsid w:val="6C8742B8"/>
    <w:rsid w:val="6D9A5401"/>
    <w:rsid w:val="6DBF5E93"/>
    <w:rsid w:val="6DFF077E"/>
    <w:rsid w:val="6E3F3555"/>
    <w:rsid w:val="6E484C84"/>
    <w:rsid w:val="6E714EF0"/>
    <w:rsid w:val="6E7E3605"/>
    <w:rsid w:val="6E7FDCC7"/>
    <w:rsid w:val="6EB72648"/>
    <w:rsid w:val="6EC10E9A"/>
    <w:rsid w:val="6ED6A62E"/>
    <w:rsid w:val="6EE00B15"/>
    <w:rsid w:val="6F6FB3EB"/>
    <w:rsid w:val="6F8731EA"/>
    <w:rsid w:val="6FCE6052"/>
    <w:rsid w:val="6FD57C00"/>
    <w:rsid w:val="6FEFFFD8"/>
    <w:rsid w:val="6FF5CC65"/>
    <w:rsid w:val="6FFB47EC"/>
    <w:rsid w:val="6FFF034A"/>
    <w:rsid w:val="703647E4"/>
    <w:rsid w:val="70484440"/>
    <w:rsid w:val="708754D0"/>
    <w:rsid w:val="71177808"/>
    <w:rsid w:val="712A28F1"/>
    <w:rsid w:val="715A6AF7"/>
    <w:rsid w:val="715C0E4B"/>
    <w:rsid w:val="71992E7C"/>
    <w:rsid w:val="71CB5639"/>
    <w:rsid w:val="72233669"/>
    <w:rsid w:val="72561353"/>
    <w:rsid w:val="72734D90"/>
    <w:rsid w:val="72CD6C28"/>
    <w:rsid w:val="72F32F0E"/>
    <w:rsid w:val="73160E6D"/>
    <w:rsid w:val="7332FE48"/>
    <w:rsid w:val="739F0767"/>
    <w:rsid w:val="73AB61DA"/>
    <w:rsid w:val="73AD73D5"/>
    <w:rsid w:val="73B6EB34"/>
    <w:rsid w:val="73FA497D"/>
    <w:rsid w:val="743849F3"/>
    <w:rsid w:val="744731E5"/>
    <w:rsid w:val="747E016C"/>
    <w:rsid w:val="748B7EC2"/>
    <w:rsid w:val="74BBD01D"/>
    <w:rsid w:val="74CA23AE"/>
    <w:rsid w:val="74DD361D"/>
    <w:rsid w:val="74ED5379"/>
    <w:rsid w:val="74F828C7"/>
    <w:rsid w:val="753426F0"/>
    <w:rsid w:val="75426AB1"/>
    <w:rsid w:val="75DEEEC2"/>
    <w:rsid w:val="75E32345"/>
    <w:rsid w:val="766907A1"/>
    <w:rsid w:val="76E3355F"/>
    <w:rsid w:val="76F70F87"/>
    <w:rsid w:val="76FF5125"/>
    <w:rsid w:val="776F6FFA"/>
    <w:rsid w:val="778769C8"/>
    <w:rsid w:val="77A75DCA"/>
    <w:rsid w:val="77D66561"/>
    <w:rsid w:val="77DC22F5"/>
    <w:rsid w:val="782536D8"/>
    <w:rsid w:val="783E271A"/>
    <w:rsid w:val="78616DE9"/>
    <w:rsid w:val="787E760D"/>
    <w:rsid w:val="78E875D7"/>
    <w:rsid w:val="79015E20"/>
    <w:rsid w:val="79086DAD"/>
    <w:rsid w:val="793850DA"/>
    <w:rsid w:val="795817EB"/>
    <w:rsid w:val="79883186"/>
    <w:rsid w:val="79B80C67"/>
    <w:rsid w:val="79D7FD79"/>
    <w:rsid w:val="79EE5BA4"/>
    <w:rsid w:val="7A894339"/>
    <w:rsid w:val="7ABB340E"/>
    <w:rsid w:val="7AD14D6A"/>
    <w:rsid w:val="7AD284E8"/>
    <w:rsid w:val="7AE102DD"/>
    <w:rsid w:val="7AFF7572"/>
    <w:rsid w:val="7B6C7DFB"/>
    <w:rsid w:val="7BA819CA"/>
    <w:rsid w:val="7BBFBED0"/>
    <w:rsid w:val="7BC3E394"/>
    <w:rsid w:val="7C1F3737"/>
    <w:rsid w:val="7C48656A"/>
    <w:rsid w:val="7C7D10F0"/>
    <w:rsid w:val="7CA90900"/>
    <w:rsid w:val="7CB85696"/>
    <w:rsid w:val="7CBFC87B"/>
    <w:rsid w:val="7CFE0F48"/>
    <w:rsid w:val="7D272ABC"/>
    <w:rsid w:val="7D5363D5"/>
    <w:rsid w:val="7D7EC23E"/>
    <w:rsid w:val="7D9147A5"/>
    <w:rsid w:val="7D9D138C"/>
    <w:rsid w:val="7E123BA4"/>
    <w:rsid w:val="7E416846"/>
    <w:rsid w:val="7E8ADEBF"/>
    <w:rsid w:val="7E8B2912"/>
    <w:rsid w:val="7EEB6646"/>
    <w:rsid w:val="7EEF11D3"/>
    <w:rsid w:val="7EF3224A"/>
    <w:rsid w:val="7EFE4840"/>
    <w:rsid w:val="7F0971A6"/>
    <w:rsid w:val="7F1D62E7"/>
    <w:rsid w:val="7F2F1F16"/>
    <w:rsid w:val="7F3F679B"/>
    <w:rsid w:val="7F4FC4EF"/>
    <w:rsid w:val="7F5E4D54"/>
    <w:rsid w:val="7F6E0135"/>
    <w:rsid w:val="7F79F205"/>
    <w:rsid w:val="7FA30C79"/>
    <w:rsid w:val="7FA79C44"/>
    <w:rsid w:val="7FAF8ABF"/>
    <w:rsid w:val="7FB7269E"/>
    <w:rsid w:val="7FBB213C"/>
    <w:rsid w:val="7FC96657"/>
    <w:rsid w:val="7FDA9588"/>
    <w:rsid w:val="7FDE6A77"/>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字符"/>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5"/>
    <w:link w:val="5"/>
    <w:qFormat/>
    <w:uiPriority w:val="9"/>
    <w:rPr>
      <w:rFonts w:ascii="Times New Roman" w:hAnsi="Times New Roman"/>
      <w:b/>
      <w:bCs/>
      <w:kern w:val="44"/>
      <w:sz w:val="44"/>
      <w:szCs w:val="44"/>
    </w:rPr>
  </w:style>
  <w:style w:type="character" w:customStyle="1" w:styleId="29">
    <w:name w:val="标题 2 字符"/>
    <w:basedOn w:val="15"/>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5"/>
    <w:link w:val="10"/>
    <w:semiHidden/>
    <w:qFormat/>
    <w:uiPriority w:val="99"/>
    <w:rPr>
      <w:rFonts w:ascii="Times New Roman" w:hAnsi="Times New Roman"/>
      <w:kern w:val="2"/>
      <w:sz w:val="18"/>
      <w:szCs w:val="18"/>
    </w:rPr>
  </w:style>
  <w:style w:type="character" w:customStyle="1" w:styleId="32">
    <w:name w:val="标题 3 字符"/>
    <w:basedOn w:val="15"/>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标题 1 Char"/>
    <w:basedOn w:val="15"/>
    <w:link w:val="5"/>
    <w:qFormat/>
    <w:uiPriority w:val="9"/>
    <w:rPr>
      <w:rFonts w:ascii="Times New Roman" w:hAnsi="Times New Roman"/>
      <w:b/>
      <w:bCs/>
      <w:kern w:val="44"/>
      <w:sz w:val="44"/>
      <w:szCs w:val="44"/>
    </w:rPr>
  </w:style>
  <w:style w:type="paragraph" w:customStyle="1" w:styleId="36">
    <w:name w:val="UserStyle_0"/>
    <w:basedOn w:val="1"/>
    <w:qFormat/>
    <w:uiPriority w:val="0"/>
    <w:pPr>
      <w:jc w:val="both"/>
      <w:textAlignment w:val="baseline"/>
    </w:pPr>
    <w:rPr>
      <w:color w:val="000000"/>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cap="all" spc="120" normalizeH="0" baseline="0">
                <a:solidFill>
                  <a:schemeClr val="tx1">
                    <a:lumMod val="65000"/>
                    <a:lumOff val="35000"/>
                  </a:schemeClr>
                </a:solidFill>
                <a:latin typeface="+mn-lt"/>
                <a:ea typeface="+mn-ea"/>
                <a:cs typeface="+mn-cs"/>
              </a:defRPr>
            </a:pPr>
            <a:r>
              <a:t>收入、支出决算总计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defTabSz="914400">
                      <a:defRPr lang="zh-CN" sz="800" b="0" i="0" u="none" strike="noStrike" kern="1200" baseline="0">
                        <a:solidFill>
                          <a:schemeClr val="tx1">
                            <a:lumMod val="50000"/>
                            <a:lumOff val="50000"/>
                          </a:schemeClr>
                        </a:solidFill>
                        <a:latin typeface="+mn-lt"/>
                        <a:ea typeface="+mn-ea"/>
                        <a:cs typeface="+mn-cs"/>
                      </a:defRPr>
                    </a:pPr>
                    <a:r>
                      <a:t>1048.14万元</a:t>
                    </a: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c:f>
              <c:strCache>
                <c:ptCount val="1"/>
                <c:pt idx="0">
                  <c:v>收、支决算总计</c:v>
                </c:pt>
              </c:strCache>
            </c:strRef>
          </c:cat>
          <c:val>
            <c:numRef>
              <c:f>Sheet1!$B$2</c:f>
              <c:numCache>
                <c:formatCode>General</c:formatCode>
                <c:ptCount val="1"/>
                <c:pt idx="0">
                  <c:v>1048.14</c:v>
                </c:pt>
              </c:numCache>
            </c:numRef>
          </c:val>
        </c:ser>
        <c:ser>
          <c:idx val="1"/>
          <c:order val="1"/>
          <c:tx>
            <c:strRef>
              <c:f>Sheet1!$C$1</c:f>
              <c:strCache>
                <c:ptCount val="1"/>
                <c:pt idx="0">
                  <c:v>2023年</c:v>
                </c:pt>
              </c:strCache>
            </c:strRef>
          </c:tx>
          <c:spPr>
            <a:solidFill>
              <a:schemeClr val="accent2"/>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defTabSz="914400">
                      <a:defRPr lang="zh-CN" sz="800" b="0" i="0" u="none" strike="noStrike" kern="1200" baseline="0">
                        <a:solidFill>
                          <a:schemeClr val="tx1">
                            <a:lumMod val="50000"/>
                            <a:lumOff val="50000"/>
                          </a:schemeClr>
                        </a:solidFill>
                        <a:latin typeface="+mn-lt"/>
                        <a:ea typeface="+mn-ea"/>
                        <a:cs typeface="+mn-cs"/>
                      </a:defRPr>
                    </a:pPr>
                    <a:r>
                      <a:t>1197.3万元</a:t>
                    </a: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c:f>
              <c:strCache>
                <c:ptCount val="1"/>
                <c:pt idx="0">
                  <c:v>收、支决算总计</c:v>
                </c:pt>
              </c:strCache>
            </c:strRef>
          </c:cat>
          <c:val>
            <c:numRef>
              <c:f>Sheet1!$C$2</c:f>
              <c:numCache>
                <c:formatCode>General</c:formatCode>
                <c:ptCount val="1"/>
                <c:pt idx="0">
                  <c:v>1197.3</c:v>
                </c:pt>
              </c:numCache>
            </c:numRef>
          </c:val>
        </c:ser>
        <c:dLbls>
          <c:showLegendKey val="0"/>
          <c:showVal val="1"/>
          <c:showCatName val="0"/>
          <c:showSerName val="0"/>
          <c:showPercent val="0"/>
          <c:showBubbleSize val="0"/>
        </c:dLbls>
        <c:gapWidth val="444"/>
        <c:overlap val="-90"/>
        <c:axId val="313847152"/>
        <c:axId val="316143312"/>
      </c:barChart>
      <c:catAx>
        <c:axId val="313847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316143312"/>
        <c:crosses val="autoZero"/>
        <c:auto val="1"/>
        <c:lblAlgn val="ctr"/>
        <c:lblOffset val="100"/>
        <c:noMultiLvlLbl val="0"/>
      </c:catAx>
      <c:valAx>
        <c:axId val="31614331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384715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spc="0" normalizeH="0" baseline="0">
              <a:solidFill>
                <a:schemeClr val="dk1">
                  <a:lumMod val="50000"/>
                  <a:lumOff val="50000"/>
                </a:schemeClr>
              </a:solidFill>
              <a:latin typeface="+mj-lt"/>
              <a:ea typeface="+mj-ea"/>
              <a:cs typeface="+mj-cs"/>
            </a:defRPr>
          </a:pPr>
        </a:p>
      </c:txPr>
    </c:title>
    <c:autoTitleDeleted val="0"/>
    <c:plotArea>
      <c:layout/>
      <c:pieChart>
        <c:varyColors val="1"/>
        <c:ser>
          <c:idx val="0"/>
          <c:order val="0"/>
          <c:tx>
            <c:strRef>
              <c:f>Sheet1!$B$1</c:f>
              <c:strCache>
                <c:ptCount val="1"/>
                <c:pt idx="0">
                  <c:v>收入决算</c:v>
                </c:pt>
              </c:strCache>
            </c:strRef>
          </c:tx>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Lbls>
            <c:dLbl>
              <c:idx val="0"/>
              <c:layout>
                <c:manualLayout>
                  <c:x val="-0.0019651721797986"/>
                  <c:y val="-0.37131054130916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dk1">
                            <a:lumMod val="75000"/>
                            <a:lumOff val="25000"/>
                          </a:schemeClr>
                        </a:solidFill>
                        <a:latin typeface="+mn-lt"/>
                        <a:ea typeface="+mn-ea"/>
                        <a:cs typeface="+mn-cs"/>
                      </a:defRPr>
                    </a:pPr>
                    <a:r>
                      <a:t>一般公共预算财政拨款收入100%</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1048.14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r>
              <a:t>支出决算</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r>
                      <a:t>项目支出82.04%</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r>
                      <a:t>基本支出17.</a:t>
                    </a:r>
                    <a:r>
                      <a:rPr lang="en-US" altLang="zh-CN"/>
                      <a:t>9</a:t>
                    </a:r>
                    <a:r>
                      <a:t>6%</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859.87</c:v>
                </c:pt>
                <c:pt idx="1">
                  <c:v>188.27</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cap="all" spc="120" normalizeH="0" baseline="0">
                <a:solidFill>
                  <a:schemeClr val="tx1">
                    <a:lumMod val="65000"/>
                    <a:lumOff val="35000"/>
                  </a:schemeClr>
                </a:solidFill>
                <a:latin typeface="+mn-lt"/>
                <a:ea typeface="+mn-ea"/>
                <a:cs typeface="+mn-cs"/>
              </a:defRPr>
            </a:pPr>
            <a:r>
              <a:t>财政拨款收、支决算总计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defTabSz="914400">
                      <a:defRPr lang="zh-CN" sz="800" b="0" i="0" u="none" strike="noStrike" kern="1200" baseline="0">
                        <a:solidFill>
                          <a:schemeClr val="tx1">
                            <a:lumMod val="50000"/>
                            <a:lumOff val="50000"/>
                          </a:schemeClr>
                        </a:solidFill>
                        <a:latin typeface="+mn-lt"/>
                        <a:ea typeface="+mn-ea"/>
                        <a:cs typeface="+mn-cs"/>
                      </a:defRPr>
                    </a:pPr>
                    <a:r>
                      <a:t>1048.14万元</a:t>
                    </a: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c:f>
              <c:strCache>
                <c:ptCount val="1"/>
                <c:pt idx="0">
                  <c:v>收、支决算总计</c:v>
                </c:pt>
              </c:strCache>
            </c:strRef>
          </c:cat>
          <c:val>
            <c:numRef>
              <c:f>Sheet1!$B$2</c:f>
              <c:numCache>
                <c:formatCode>General</c:formatCode>
                <c:ptCount val="1"/>
                <c:pt idx="0">
                  <c:v>1048.14</c:v>
                </c:pt>
              </c:numCache>
            </c:numRef>
          </c:val>
        </c:ser>
        <c:ser>
          <c:idx val="1"/>
          <c:order val="1"/>
          <c:tx>
            <c:strRef>
              <c:f>Sheet1!$C$1</c:f>
              <c:strCache>
                <c:ptCount val="1"/>
                <c:pt idx="0">
                  <c:v>2023年</c:v>
                </c:pt>
              </c:strCache>
            </c:strRef>
          </c:tx>
          <c:spPr>
            <a:solidFill>
              <a:schemeClr val="accent2"/>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defTabSz="914400">
                      <a:defRPr lang="zh-CN" sz="800" b="0" i="0" u="none" strike="noStrike" kern="1200" baseline="0">
                        <a:solidFill>
                          <a:schemeClr val="tx1">
                            <a:lumMod val="50000"/>
                            <a:lumOff val="50000"/>
                          </a:schemeClr>
                        </a:solidFill>
                        <a:latin typeface="+mn-lt"/>
                        <a:ea typeface="+mn-ea"/>
                        <a:cs typeface="+mn-cs"/>
                      </a:defRPr>
                    </a:pPr>
                    <a:r>
                      <a:t>1197.3万元</a:t>
                    </a: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c:f>
              <c:strCache>
                <c:ptCount val="1"/>
                <c:pt idx="0">
                  <c:v>收、支决算总计</c:v>
                </c:pt>
              </c:strCache>
            </c:strRef>
          </c:cat>
          <c:val>
            <c:numRef>
              <c:f>Sheet1!$C$2</c:f>
              <c:numCache>
                <c:formatCode>General</c:formatCode>
                <c:ptCount val="1"/>
                <c:pt idx="0">
                  <c:v>1197.3</c:v>
                </c:pt>
              </c:numCache>
            </c:numRef>
          </c:val>
        </c:ser>
        <c:dLbls>
          <c:showLegendKey val="0"/>
          <c:showVal val="1"/>
          <c:showCatName val="0"/>
          <c:showSerName val="0"/>
          <c:showPercent val="0"/>
          <c:showBubbleSize val="0"/>
        </c:dLbls>
        <c:gapWidth val="444"/>
        <c:overlap val="-90"/>
        <c:axId val="313847152"/>
        <c:axId val="316143312"/>
      </c:barChart>
      <c:catAx>
        <c:axId val="313847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316143312"/>
        <c:crosses val="autoZero"/>
        <c:auto val="1"/>
        <c:lblAlgn val="ctr"/>
        <c:lblOffset val="100"/>
        <c:noMultiLvlLbl val="0"/>
      </c:catAx>
      <c:valAx>
        <c:axId val="31614331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384715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cap="all" spc="120" normalizeH="0" baseline="0">
                <a:solidFill>
                  <a:schemeClr val="tx1">
                    <a:lumMod val="65000"/>
                    <a:lumOff val="35000"/>
                  </a:schemeClr>
                </a:solidFill>
                <a:latin typeface="+mn-lt"/>
                <a:ea typeface="+mn-ea"/>
                <a:cs typeface="+mn-cs"/>
              </a:defRPr>
            </a:pPr>
            <a:r>
              <a:t>一般公共预算财政拨款支出决算</a:t>
            </a:r>
          </a:p>
        </c:rich>
      </c:tx>
      <c:layout>
        <c:manualLayout>
          <c:xMode val="edge"/>
          <c:yMode val="edge"/>
          <c:x val="0.188586563929689"/>
          <c:y val="0.0330237358101135"/>
        </c:manualLayout>
      </c:layout>
      <c:overlay val="0"/>
      <c:spPr>
        <a:noFill/>
        <a:ln>
          <a:noFill/>
        </a:ln>
        <a:effectLst/>
      </c:spPr>
    </c:title>
    <c:autoTitleDeleted val="0"/>
    <c:plotArea>
      <c:layout>
        <c:manualLayout>
          <c:layoutTarget val="inner"/>
          <c:xMode val="edge"/>
          <c:yMode val="edge"/>
          <c:x val="0.0365296803652968"/>
          <c:y val="0.22962962962963"/>
          <c:w val="0.942596216568819"/>
          <c:h val="0.52281298171062"/>
        </c:manualLayout>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defTabSz="914400">
                      <a:defRPr lang="zh-CN" sz="800" b="0" i="0" u="none" strike="noStrike" kern="1200" baseline="0">
                        <a:solidFill>
                          <a:schemeClr val="tx1">
                            <a:lumMod val="50000"/>
                            <a:lumOff val="50000"/>
                          </a:schemeClr>
                        </a:solidFill>
                        <a:latin typeface="+mn-lt"/>
                        <a:ea typeface="+mn-ea"/>
                        <a:cs typeface="+mn-cs"/>
                      </a:defRPr>
                    </a:pPr>
                    <a:r>
                      <a:t>1048.14万元</a:t>
                    </a: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c:f>
              <c:strCache>
                <c:ptCount val="1"/>
                <c:pt idx="0">
                  <c:v>一般公共预算财政拨款支出决算</c:v>
                </c:pt>
              </c:strCache>
            </c:strRef>
          </c:cat>
          <c:val>
            <c:numRef>
              <c:f>Sheet1!$B$2</c:f>
              <c:numCache>
                <c:formatCode>General</c:formatCode>
                <c:ptCount val="1"/>
                <c:pt idx="0">
                  <c:v>1048.14</c:v>
                </c:pt>
              </c:numCache>
            </c:numRef>
          </c:val>
        </c:ser>
        <c:ser>
          <c:idx val="1"/>
          <c:order val="1"/>
          <c:tx>
            <c:strRef>
              <c:f>Sheet1!$C$1</c:f>
              <c:strCache>
                <c:ptCount val="1"/>
                <c:pt idx="0">
                  <c:v>2023年</c:v>
                </c:pt>
              </c:strCache>
            </c:strRef>
          </c:tx>
          <c:spPr>
            <a:solidFill>
              <a:schemeClr val="accent2"/>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defTabSz="914400">
                      <a:defRPr lang="zh-CN" sz="800" b="0" i="0" u="none" strike="noStrike" kern="1200" baseline="0">
                        <a:solidFill>
                          <a:schemeClr val="tx1">
                            <a:lumMod val="50000"/>
                            <a:lumOff val="50000"/>
                          </a:schemeClr>
                        </a:solidFill>
                        <a:latin typeface="+mn-lt"/>
                        <a:ea typeface="+mn-ea"/>
                        <a:cs typeface="+mn-cs"/>
                      </a:defRPr>
                    </a:pPr>
                    <a:r>
                      <a:t>1197.3万元</a:t>
                    </a: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c:f>
              <c:strCache>
                <c:ptCount val="1"/>
                <c:pt idx="0">
                  <c:v>一般公共预算财政拨款支出决算</c:v>
                </c:pt>
              </c:strCache>
            </c:strRef>
          </c:cat>
          <c:val>
            <c:numRef>
              <c:f>Sheet1!$C$2</c:f>
              <c:numCache>
                <c:formatCode>General</c:formatCode>
                <c:ptCount val="1"/>
                <c:pt idx="0">
                  <c:v>1197.3</c:v>
                </c:pt>
              </c:numCache>
            </c:numRef>
          </c:val>
        </c:ser>
        <c:dLbls>
          <c:showLegendKey val="0"/>
          <c:showVal val="1"/>
          <c:showCatName val="0"/>
          <c:showSerName val="0"/>
          <c:showPercent val="0"/>
          <c:showBubbleSize val="0"/>
        </c:dLbls>
        <c:gapWidth val="444"/>
        <c:overlap val="-90"/>
        <c:axId val="315043120"/>
        <c:axId val="315042704"/>
      </c:barChart>
      <c:catAx>
        <c:axId val="315043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315042704"/>
        <c:crosses val="autoZero"/>
        <c:auto val="1"/>
        <c:lblAlgn val="ctr"/>
        <c:lblOffset val="100"/>
        <c:noMultiLvlLbl val="0"/>
      </c:catAx>
      <c:valAx>
        <c:axId val="31504270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504312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17174721189591"/>
          <c:y val="0.0303030303030303"/>
        </c:manualLayout>
      </c:layout>
      <c:overlay val="0"/>
      <c:spPr>
        <a:noFill/>
        <a:ln>
          <a:noFill/>
        </a:ln>
        <a:effectLst/>
      </c:spPr>
      <c:txPr>
        <a:bodyPr rot="0" spcFirstLastPara="0" vertOverflow="ellipsis" vert="horz" wrap="square" anchor="ctr" anchorCtr="1"/>
        <a:lstStyle/>
        <a:p>
          <a:pPr>
            <a:defRPr lang="zh-CN" sz="1600" b="1" i="0" u="none" strike="noStrike" kern="1200" spc="0" normalizeH="0" baseline="0">
              <a:solidFill>
                <a:schemeClr val="dk1">
                  <a:lumMod val="50000"/>
                  <a:lumOff val="50000"/>
                </a:schemeClr>
              </a:solidFill>
              <a:latin typeface="+mj-lt"/>
              <a:ea typeface="+mj-ea"/>
              <a:cs typeface="+mj-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r>
                      <a:t>一般公共服务支出78.06%</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r>
                      <a:t>社会保障和就业支出11.02%</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r>
                      <a:t>卫生健康支出5.59%</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r>
                      <a:t>住房保障支出5.33%</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818.2</c:v>
                </c:pt>
                <c:pt idx="1">
                  <c:v>115.52</c:v>
                </c:pt>
                <c:pt idx="2">
                  <c:v>58.6</c:v>
                </c:pt>
                <c:pt idx="3">
                  <c:v>55.82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0108360215381842"/>
                  <c:y val="0.095317853456411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因公出国（境）费支出0.00%</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168673248254274"/>
                      <c:h val="0.129205366357069"/>
                    </c:manualLayout>
                  </c15:layout>
                </c:ext>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公务用车购置及运行维护费支出45.95%</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公务接待费支出54.05%</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0.68</c:v>
                </c:pt>
                <c:pt idx="2">
                  <c:v>0.8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865</Words>
  <Characters>4932</Characters>
  <Lines>41</Lines>
  <Paragraphs>11</Paragraphs>
  <TotalTime>18</TotalTime>
  <ScaleCrop>false</ScaleCrop>
  <LinksUpToDate>false</LinksUpToDate>
  <CharactersWithSpaces>5786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2025-10-24T01:54:00Z</dcterms:created>
  <dc:creator>曹颖</dc:creator>
  <cp:lastModifiedBy>罗敏</cp:lastModifiedBy>
  <cp:lastPrinted>2025-10-21T09:33:00Z</cp:lastPrinted>
  <dcterms:modified xsi:type="dcterms:W3CDTF">2025-10-27T07:47:24Z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04787F2533EB45DC91BCDE4AB213247F</vt:lpwstr>
  </property>
</Properties>
</file>