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15EC7">
      <w:pPr>
        <w:pStyle w:val="6"/>
        <w:spacing w:before="93"/>
        <w:rPr>
          <w:rFonts w:ascii="Times New Roman" w:eastAsia="方正小标宋简体"/>
          <w:kern w:val="2"/>
          <w:sz w:val="72"/>
          <w:szCs w:val="72"/>
        </w:rPr>
      </w:pPr>
      <w:bookmarkStart w:id="0" w:name="_Toc15378441"/>
      <w:bookmarkStart w:id="1" w:name="_Toc15396475"/>
      <w:bookmarkStart w:id="2" w:name="_Toc15396597"/>
      <w:bookmarkStart w:id="3" w:name="_Toc15377193"/>
      <w:bookmarkStart w:id="4" w:name="_Toc15377425"/>
      <w:bookmarkStart w:id="5" w:name="_Toc15306267"/>
    </w:p>
    <w:p w14:paraId="4EFDE4B7">
      <w:pPr>
        <w:pStyle w:val="6"/>
        <w:spacing w:before="93"/>
        <w:rPr>
          <w:rFonts w:ascii="Times New Roman" w:eastAsia="方正小标宋简体"/>
          <w:kern w:val="2"/>
          <w:sz w:val="72"/>
          <w:szCs w:val="72"/>
        </w:rPr>
      </w:pPr>
    </w:p>
    <w:p w14:paraId="7D3C13F2">
      <w:pPr>
        <w:pStyle w:val="6"/>
        <w:spacing w:before="93"/>
        <w:rPr>
          <w:rFonts w:ascii="Times New Roman" w:eastAsia="方正小标宋简体"/>
          <w:kern w:val="2"/>
          <w:sz w:val="72"/>
          <w:szCs w:val="72"/>
        </w:rPr>
      </w:pPr>
    </w:p>
    <w:p w14:paraId="04D63875">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w:t>
      </w:r>
    </w:p>
    <w:p w14:paraId="2E2C0DD7">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攀枝花市东区商务局决算</w:t>
      </w:r>
    </w:p>
    <w:p w14:paraId="6B1BB12B">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公开编制说明</w:t>
      </w:r>
    </w:p>
    <w:p w14:paraId="2068A414">
      <w:pPr>
        <w:spacing w:line="600" w:lineRule="exact"/>
        <w:jc w:val="center"/>
        <w:outlineLvl w:val="0"/>
        <w:rPr>
          <w:rFonts w:eastAsia="方正小标宋简体"/>
          <w:sz w:val="72"/>
          <w:szCs w:val="72"/>
        </w:rPr>
      </w:pPr>
    </w:p>
    <w:p w14:paraId="696B44A4">
      <w:pPr>
        <w:pStyle w:val="23"/>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3353C51"/>
    <w:p w14:paraId="3C57C91E">
      <w:pPr>
        <w:pStyle w:val="6"/>
        <w:spacing w:before="93"/>
        <w:jc w:val="center"/>
        <w:rPr>
          <w:rFonts w:ascii="Times New Roman" w:eastAsia="方正小标宋简体"/>
          <w:kern w:val="2"/>
          <w:sz w:val="44"/>
          <w:szCs w:val="44"/>
        </w:rPr>
      </w:pPr>
    </w:p>
    <w:bookmarkEnd w:id="0"/>
    <w:bookmarkEnd w:id="1"/>
    <w:bookmarkEnd w:id="2"/>
    <w:bookmarkEnd w:id="3"/>
    <w:bookmarkEnd w:id="4"/>
    <w:p w14:paraId="2FD2E54F">
      <w:pPr>
        <w:pStyle w:val="6"/>
        <w:spacing w:before="93"/>
        <w:jc w:val="center"/>
        <w:rPr>
          <w:rFonts w:ascii="Times New Roman" w:eastAsia="方正小标宋简体"/>
          <w:kern w:val="2"/>
          <w:sz w:val="44"/>
          <w:szCs w:val="44"/>
        </w:rPr>
      </w:pPr>
      <w:bookmarkStart w:id="6" w:name="_Toc15378442"/>
      <w:bookmarkStart w:id="7" w:name="_Toc15396476"/>
      <w:bookmarkStart w:id="8" w:name="_Toc15377426"/>
      <w:bookmarkStart w:id="9" w:name="_Toc15396598"/>
      <w:bookmarkStart w:id="10" w:name="_Toc15377194"/>
      <w:r>
        <w:rPr>
          <w:rFonts w:hint="eastAsia" w:ascii="Times New Roman" w:eastAsia="方正小标宋简体"/>
          <w:kern w:val="2"/>
          <w:sz w:val="44"/>
          <w:szCs w:val="44"/>
        </w:rPr>
        <w:t>2024年度四川省</w:t>
      </w:r>
      <w:bookmarkEnd w:id="5"/>
      <w:bookmarkStart w:id="11" w:name="_Toc15306268"/>
    </w:p>
    <w:p w14:paraId="388CB50C">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攀枝花市东区商务局</w:t>
      </w:r>
    </w:p>
    <w:p w14:paraId="0ECB47A3">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r>
        <w:rPr>
          <w:rFonts w:hint="eastAsia" w:ascii="Times New Roman" w:eastAsia="方正小标宋简体"/>
          <w:kern w:val="2"/>
          <w:sz w:val="44"/>
          <w:szCs w:val="44"/>
        </w:rPr>
        <w:t>公开</w:t>
      </w:r>
    </w:p>
    <w:p w14:paraId="130D1BEF">
      <w:pPr>
        <w:widowControl/>
        <w:jc w:val="center"/>
        <w:rPr>
          <w:rFonts w:eastAsia="黑体"/>
          <w:sz w:val="48"/>
          <w:szCs w:val="48"/>
        </w:rPr>
      </w:pPr>
      <w:r>
        <w:rPr>
          <w:rFonts w:eastAsia="方正小标宋简体"/>
          <w:sz w:val="36"/>
          <w:szCs w:val="36"/>
        </w:rPr>
        <w:br w:type="page"/>
      </w:r>
      <w:bookmarkStart w:id="12" w:name="_Toc15396599"/>
      <w:bookmarkStart w:id="13" w:name="_Toc15377196"/>
      <w:r>
        <w:rPr>
          <w:rFonts w:hint="eastAsia" w:eastAsia="黑体"/>
          <w:sz w:val="48"/>
          <w:szCs w:val="48"/>
        </w:rPr>
        <w:t>目录</w:t>
      </w:r>
    </w:p>
    <w:p w14:paraId="78F55E3D">
      <w:pPr>
        <w:widowControl/>
        <w:jc w:val="center"/>
        <w:rPr>
          <w:rFonts w:eastAsia="黑体" w:cstheme="minorBidi"/>
          <w:sz w:val="28"/>
          <w:szCs w:val="28"/>
        </w:rPr>
      </w:pPr>
    </w:p>
    <w:p w14:paraId="782D2FC3">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ascii="Times New Roman" w:hAnsi="Times New Roman" w:eastAsia="仿宋_GB2312" w:cs="仿宋_GB2312"/>
          <w:sz w:val="32"/>
          <w:szCs w:val="32"/>
        </w:rPr>
        <w:t>2025</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10</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28</w:t>
      </w:r>
      <w:r>
        <w:rPr>
          <w:rFonts w:hint="eastAsia" w:ascii="Times New Roman" w:hAnsi="Times New Roman" w:eastAsia="仿宋_GB2312" w:cs="仿宋_GB2312"/>
          <w:sz w:val="32"/>
          <w:szCs w:val="32"/>
        </w:rPr>
        <w:t>日</w:t>
      </w:r>
    </w:p>
    <w:p w14:paraId="7FD25679">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部门概况</w:t>
      </w:r>
    </w:p>
    <w:p w14:paraId="434C686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一、部门职责</w:t>
      </w:r>
      <w:bookmarkStart w:id="14" w:name="OLE_LINK3"/>
      <w:bookmarkStart w:id="15" w:name="OLE_LINK4"/>
      <w:r>
        <w:rPr>
          <w:sz w:val="24"/>
        </w:rPr>
        <w:t>……………………………………………………………</w:t>
      </w:r>
      <w:bookmarkEnd w:id="14"/>
      <w:bookmarkEnd w:id="15"/>
      <w:r>
        <w:rPr>
          <w:sz w:val="24"/>
        </w:rPr>
        <w:t>4</w:t>
      </w:r>
    </w:p>
    <w:p w14:paraId="654E086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二、机构设置</w:t>
      </w:r>
      <w:r>
        <w:rPr>
          <w:sz w:val="24"/>
        </w:rPr>
        <w:t>……………………………………………………………5</w:t>
      </w:r>
    </w:p>
    <w:p w14:paraId="7DA5B1E8">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第二部分</w:t>
      </w:r>
      <w:r>
        <w:rPr>
          <w:rFonts w:eastAsia="黑体" w:cs="黑体"/>
          <w:sz w:val="32"/>
          <w:szCs w:val="32"/>
        </w:rPr>
        <w:t xml:space="preserve"> 2024</w:t>
      </w:r>
      <w:r>
        <w:rPr>
          <w:rFonts w:hint="eastAsia" w:eastAsia="黑体" w:cs="黑体"/>
          <w:sz w:val="32"/>
          <w:szCs w:val="32"/>
        </w:rPr>
        <w:t>年度部门决算情况说明</w:t>
      </w:r>
    </w:p>
    <w:p w14:paraId="58A7049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bookmarkStart w:id="16" w:name="OLE_LINK6"/>
      <w:bookmarkStart w:id="17" w:name="OLE_LINK5"/>
      <w:r>
        <w:rPr>
          <w:sz w:val="24"/>
        </w:rPr>
        <w:t>………………………………</w:t>
      </w:r>
      <w:bookmarkEnd w:id="16"/>
      <w:bookmarkEnd w:id="17"/>
      <w:r>
        <w:rPr>
          <w:sz w:val="24"/>
        </w:rPr>
        <w:t>6</w:t>
      </w:r>
    </w:p>
    <w:p w14:paraId="1A682A0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二、收入决算情况说明</w:t>
      </w:r>
      <w:r>
        <w:rPr>
          <w:sz w:val="24"/>
        </w:rPr>
        <w:t xml:space="preserve">………………………………………………6 </w:t>
      </w:r>
    </w:p>
    <w:p w14:paraId="29218DE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三、支出决算情况说明</w:t>
      </w:r>
      <w:r>
        <w:rPr>
          <w:sz w:val="24"/>
        </w:rPr>
        <w:t>………………………………………………7</w:t>
      </w:r>
    </w:p>
    <w:p w14:paraId="074DFA0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sz w:val="24"/>
        </w:rPr>
        <w:t>…………………8</w:t>
      </w:r>
    </w:p>
    <w:p w14:paraId="557E15A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sz w:val="24"/>
        </w:rPr>
        <w:t>……………8</w:t>
      </w:r>
    </w:p>
    <w:p w14:paraId="6112184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sz w:val="24"/>
        </w:rPr>
        <w:t>……1</w:t>
      </w:r>
      <w:r>
        <w:rPr>
          <w:rFonts w:hint="eastAsia"/>
          <w:sz w:val="24"/>
        </w:rPr>
        <w:t>2</w:t>
      </w:r>
    </w:p>
    <w:p w14:paraId="0E39A5B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sz w:val="24"/>
        </w:rPr>
        <w:t>……………1</w:t>
      </w:r>
      <w:r>
        <w:rPr>
          <w:rFonts w:hint="eastAsia"/>
          <w:sz w:val="24"/>
        </w:rPr>
        <w:t>3</w:t>
      </w:r>
    </w:p>
    <w:p w14:paraId="549671F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sz w:val="24"/>
        </w:rPr>
        <w:t>……………………</w:t>
      </w:r>
      <w:r>
        <w:rPr>
          <w:rFonts w:hint="eastAsia"/>
          <w:sz w:val="24"/>
        </w:rPr>
        <w:t>14</w:t>
      </w:r>
    </w:p>
    <w:p w14:paraId="2A9EAB1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sz w:val="24"/>
        </w:rPr>
        <w:t>…………………</w:t>
      </w:r>
      <w:r>
        <w:rPr>
          <w:rFonts w:hint="eastAsia"/>
          <w:sz w:val="24"/>
        </w:rPr>
        <w:t>15</w:t>
      </w:r>
    </w:p>
    <w:p w14:paraId="2417024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sz w:val="24"/>
        </w:rPr>
        <w:t>……………………………………</w:t>
      </w:r>
      <w:r>
        <w:rPr>
          <w:rFonts w:hint="eastAsia"/>
          <w:sz w:val="24"/>
        </w:rPr>
        <w:t>15</w:t>
      </w:r>
    </w:p>
    <w:p w14:paraId="21BE2A1E">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第三部分</w:t>
      </w:r>
      <w:r>
        <w:rPr>
          <w:rFonts w:eastAsia="黑体" w:cs="黑体"/>
          <w:sz w:val="32"/>
          <w:szCs w:val="32"/>
        </w:rPr>
        <w:t xml:space="preserve"> </w:t>
      </w:r>
      <w:r>
        <w:rPr>
          <w:rFonts w:hint="eastAsia" w:eastAsia="黑体" w:cs="黑体"/>
          <w:sz w:val="32"/>
          <w:szCs w:val="32"/>
        </w:rPr>
        <w:t>名词解释</w:t>
      </w:r>
      <w:r>
        <w:rPr>
          <w:rFonts w:hint="eastAsia" w:ascii="仿宋" w:hAnsi="仿宋" w:eastAsia="仿宋"/>
          <w:sz w:val="24"/>
          <w:szCs w:val="28"/>
        </w:rPr>
        <w:t>…………………………………………………………17</w:t>
      </w:r>
    </w:p>
    <w:p w14:paraId="176284B6">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第四部分</w:t>
      </w:r>
      <w:r>
        <w:rPr>
          <w:rFonts w:eastAsia="黑体" w:cs="黑体"/>
          <w:sz w:val="32"/>
          <w:szCs w:val="32"/>
        </w:rPr>
        <w:t xml:space="preserve"> </w:t>
      </w:r>
      <w:r>
        <w:rPr>
          <w:rFonts w:hint="eastAsia" w:eastAsia="黑体" w:cs="黑体"/>
          <w:sz w:val="32"/>
          <w:szCs w:val="32"/>
        </w:rPr>
        <w:t>附件</w:t>
      </w:r>
      <w:r>
        <w:rPr>
          <w:rFonts w:hint="eastAsia" w:ascii="仿宋" w:hAnsi="仿宋" w:eastAsia="仿宋"/>
          <w:sz w:val="24"/>
          <w:szCs w:val="28"/>
        </w:rPr>
        <w:t>………………………………………………………………21</w:t>
      </w:r>
    </w:p>
    <w:p w14:paraId="3989FC5B">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第五部分</w:t>
      </w:r>
      <w:r>
        <w:rPr>
          <w:rFonts w:eastAsia="黑体" w:cs="黑体"/>
          <w:sz w:val="32"/>
          <w:szCs w:val="32"/>
        </w:rPr>
        <w:t xml:space="preserve"> </w:t>
      </w:r>
      <w:r>
        <w:rPr>
          <w:rFonts w:hint="eastAsia" w:eastAsia="黑体" w:cs="黑体"/>
          <w:sz w:val="32"/>
          <w:szCs w:val="32"/>
        </w:rPr>
        <w:t>附表</w:t>
      </w:r>
      <w:r>
        <w:rPr>
          <w:rFonts w:hint="eastAsia" w:ascii="仿宋" w:hAnsi="仿宋" w:eastAsia="仿宋"/>
          <w:sz w:val="24"/>
          <w:szCs w:val="28"/>
        </w:rPr>
        <w:t>………………………………………………………………58</w:t>
      </w:r>
    </w:p>
    <w:p w14:paraId="7DA2F86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sz w:val="24"/>
        </w:rPr>
        <w:t>…………………………………………58</w:t>
      </w:r>
    </w:p>
    <w:p w14:paraId="7020CDAD">
      <w:pPr>
        <w:tabs>
          <w:tab w:val="right" w:leader="dot" w:pos="8296"/>
        </w:tabs>
        <w:adjustRightInd w:val="0"/>
        <w:snapToGrid w:val="0"/>
        <w:spacing w:before="93" w:line="560" w:lineRule="exact"/>
        <w:ind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sz w:val="24"/>
        </w:rPr>
        <w:t>……………………………………………………58</w:t>
      </w:r>
    </w:p>
    <w:p w14:paraId="357F57A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三、支出决算表</w:t>
      </w:r>
      <w:bookmarkStart w:id="18" w:name="OLE_LINK8"/>
      <w:bookmarkStart w:id="19" w:name="OLE_LINK7"/>
      <w:r>
        <w:rPr>
          <w:rFonts w:hint="eastAsia"/>
          <w:sz w:val="24"/>
        </w:rPr>
        <w:t>………………………………………………………58</w:t>
      </w:r>
      <w:bookmarkEnd w:id="18"/>
      <w:bookmarkEnd w:id="19"/>
    </w:p>
    <w:p w14:paraId="7152EB4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sz w:val="24"/>
        </w:rPr>
        <w:t>……………………………58</w:t>
      </w:r>
    </w:p>
    <w:p w14:paraId="1519BAF2">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sz w:val="24"/>
        </w:rPr>
        <w:t>………………………………58</w:t>
      </w:r>
    </w:p>
    <w:p w14:paraId="1725A4F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sz w:val="24"/>
        </w:rPr>
        <w:t>…………………</w:t>
      </w:r>
      <w:r>
        <w:rPr>
          <w:sz w:val="24"/>
        </w:rPr>
        <w:t>58</w:t>
      </w:r>
    </w:p>
    <w:p w14:paraId="1A36636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bookmarkStart w:id="20" w:name="OLE_LINK10"/>
      <w:bookmarkStart w:id="21" w:name="OLE_LINK9"/>
      <w:r>
        <w:rPr>
          <w:rFonts w:hint="eastAsia"/>
          <w:sz w:val="24"/>
        </w:rPr>
        <w:t>……………</w:t>
      </w:r>
      <w:r>
        <w:rPr>
          <w:sz w:val="24"/>
        </w:rPr>
        <w:t>58</w:t>
      </w:r>
      <w:bookmarkEnd w:id="20"/>
      <w:bookmarkEnd w:id="21"/>
    </w:p>
    <w:p w14:paraId="3390782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sz w:val="24"/>
        </w:rPr>
        <w:t>………</w:t>
      </w:r>
      <w:r>
        <w:rPr>
          <w:sz w:val="24"/>
        </w:rPr>
        <w:t>58</w:t>
      </w:r>
    </w:p>
    <w:p w14:paraId="485E552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sz w:val="24"/>
        </w:rPr>
        <w:t>……………</w:t>
      </w:r>
      <w:r>
        <w:rPr>
          <w:sz w:val="24"/>
        </w:rPr>
        <w:t>58</w:t>
      </w:r>
    </w:p>
    <w:p w14:paraId="65F64D2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sz w:val="24"/>
        </w:rPr>
        <w:t>………</w:t>
      </w:r>
      <w:r>
        <w:rPr>
          <w:sz w:val="24"/>
        </w:rPr>
        <w:t>58</w:t>
      </w:r>
    </w:p>
    <w:p w14:paraId="34F9C42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sz w:val="24"/>
        </w:rPr>
        <w:t>……</w:t>
      </w:r>
      <w:r>
        <w:rPr>
          <w:sz w:val="24"/>
        </w:rPr>
        <w:t>58</w:t>
      </w:r>
    </w:p>
    <w:p w14:paraId="6CE6EBD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sz w:val="24"/>
        </w:rPr>
        <w:t>………</w:t>
      </w:r>
      <w:r>
        <w:rPr>
          <w:sz w:val="24"/>
        </w:rPr>
        <w:t>58</w:t>
      </w:r>
    </w:p>
    <w:p w14:paraId="71F2E24F">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sz w:val="24"/>
        </w:rPr>
        <w:t>……………</w:t>
      </w:r>
      <w:r>
        <w:rPr>
          <w:sz w:val="24"/>
        </w:rPr>
        <w:t>58</w:t>
      </w:r>
    </w:p>
    <w:p w14:paraId="0F677ADF">
      <w:pPr>
        <w:widowControl/>
        <w:jc w:val="center"/>
        <w:rPr>
          <w:rFonts w:eastAsia="仿宋_GB2312" w:cs="仿宋_GB2312"/>
          <w:bCs/>
          <w:kern w:val="44"/>
          <w:sz w:val="32"/>
          <w:szCs w:val="32"/>
        </w:rPr>
      </w:pPr>
      <w:r>
        <w:rPr>
          <w:rFonts w:hint="eastAsia" w:eastAsia="仿宋_GB2312" w:cs="仿宋_GB2312"/>
          <w:b/>
          <w:sz w:val="32"/>
          <w:szCs w:val="32"/>
        </w:rPr>
        <w:br w:type="page"/>
      </w:r>
    </w:p>
    <w:p w14:paraId="0FE1737D">
      <w:pPr>
        <w:pStyle w:val="2"/>
        <w:jc w:val="center"/>
        <w:rPr>
          <w:rStyle w:val="32"/>
          <w:rFonts w:eastAsia="方正小标宋简体" w:cs="方正小标宋简体"/>
          <w:b/>
          <w:bCs w:val="0"/>
        </w:rPr>
      </w:pPr>
      <w:r>
        <w:rPr>
          <w:rFonts w:hint="eastAsia" w:eastAsia="方正小标宋简体" w:cs="方正小标宋简体"/>
          <w:b w:val="0"/>
        </w:rPr>
        <w:t xml:space="preserve">第一部分  </w:t>
      </w:r>
      <w:r>
        <w:rPr>
          <w:rStyle w:val="32"/>
          <w:rFonts w:hint="eastAsia" w:eastAsia="方正小标宋简体" w:cs="方正小标宋简体"/>
          <w:b w:val="0"/>
          <w:bCs w:val="0"/>
        </w:rPr>
        <w:t>部门概况</w:t>
      </w:r>
      <w:bookmarkEnd w:id="12"/>
      <w:bookmarkEnd w:id="13"/>
    </w:p>
    <w:p w14:paraId="571837E8">
      <w:pPr>
        <w:widowControl/>
        <w:jc w:val="left"/>
        <w:rPr>
          <w:rFonts w:eastAsia="黑体"/>
          <w:sz w:val="32"/>
          <w:szCs w:val="32"/>
        </w:rPr>
      </w:pPr>
    </w:p>
    <w:p w14:paraId="5725B3A5">
      <w:pPr>
        <w:pStyle w:val="3"/>
        <w:numPr>
          <w:ilvl w:val="0"/>
          <w:numId w:val="1"/>
        </w:numPr>
        <w:rPr>
          <w:rFonts w:ascii="Times New Roman" w:hAnsi="Times New Roman" w:eastAsia="黑体"/>
          <w:b w:val="0"/>
        </w:rPr>
      </w:pPr>
      <w:r>
        <w:rPr>
          <w:rFonts w:hint="eastAsia" w:ascii="Times New Roman" w:hAnsi="Times New Roman" w:eastAsia="黑体"/>
          <w:b w:val="0"/>
        </w:rPr>
        <w:t>部门职责</w:t>
      </w:r>
    </w:p>
    <w:p w14:paraId="5C699E27">
      <w:pPr>
        <w:ind w:firstLine="640" w:firstLineChars="200"/>
        <w:rPr>
          <w:rFonts w:eastAsia="仿宋_GB2312"/>
        </w:rPr>
      </w:pPr>
      <w:r>
        <w:rPr>
          <w:rFonts w:eastAsia="仿宋_GB2312"/>
          <w:sz w:val="32"/>
          <w:szCs w:val="32"/>
        </w:rPr>
        <w:t>区商务局是区政府主要经济管理职能部门之一。承担全区服务业发展、内贸流通、市场体系建设、节会经济、行业监管统计、商务服务和对外商务交流合作、外向型经济发展、物流业发展等职能。负责研究开展全区的国内外贸易、对外商务交流合作和第三产业监管、内贸流通工作；对全区国内外贸易、对外商务交流合作和第三产业监管、内贸流通领域的经济运行情况进行监测和分析；承担电子商务、现代物流、现代金融、科技服务等现代服务业的促进与发展，为产业发展提供政策咨询服务；培育发展城乡市场，引导推进流通产业结构调整，推广连锁经营、物流配送、电子商务等现代化流通方式；拟定全区各类商品交易专业市场建设和商业网点布局规划；研究制定全区服务业发展战略、规划和政策措施，分析预测服务业发展态势，协调全区服务业发展的组织实施，负责攀枝花现代服务业产业园的管理；指导和监督管理在我区举办的各类展销（览）活动，组织举办节庆会展活动</w:t>
      </w:r>
      <w:r>
        <w:rPr>
          <w:rFonts w:hint="eastAsia" w:eastAsia="仿宋_GB2312"/>
          <w:sz w:val="32"/>
          <w:szCs w:val="32"/>
        </w:rPr>
        <w:t>。</w:t>
      </w:r>
    </w:p>
    <w:p w14:paraId="5AE51682">
      <w:pPr>
        <w:pStyle w:val="3"/>
        <w:rPr>
          <w:rStyle w:val="33"/>
          <w:rFonts w:ascii="Times New Roman" w:hAnsi="Times New Roman"/>
          <w:b w:val="0"/>
          <w:bCs w:val="0"/>
        </w:rPr>
      </w:pPr>
      <w:bookmarkStart w:id="22" w:name="_Toc15396601"/>
      <w:bookmarkStart w:id="23" w:name="_Toc15377200"/>
      <w:r>
        <w:rPr>
          <w:rFonts w:hint="eastAsia" w:ascii="Times New Roman" w:hAnsi="Times New Roman" w:eastAsia="黑体"/>
          <w:b w:val="0"/>
        </w:rPr>
        <w:t>二、机</w:t>
      </w:r>
      <w:r>
        <w:rPr>
          <w:rStyle w:val="33"/>
          <w:rFonts w:hint="eastAsia" w:ascii="Times New Roman" w:hAnsi="Times New Roman" w:eastAsia="黑体"/>
          <w:b w:val="0"/>
          <w:bCs w:val="0"/>
        </w:rPr>
        <w:t>构设置</w:t>
      </w:r>
      <w:bookmarkEnd w:id="22"/>
      <w:bookmarkEnd w:id="23"/>
    </w:p>
    <w:p w14:paraId="219D58FD">
      <w:pPr>
        <w:ind w:firstLine="640" w:firstLineChars="200"/>
        <w:rPr>
          <w:rFonts w:eastAsia="仿宋"/>
          <w:bCs/>
          <w:color w:val="000000"/>
          <w:sz w:val="32"/>
          <w:szCs w:val="32"/>
        </w:rPr>
      </w:pPr>
      <w:r>
        <w:rPr>
          <w:rFonts w:eastAsia="仿宋_GB2312"/>
          <w:sz w:val="32"/>
          <w:szCs w:val="32"/>
        </w:rPr>
        <w:t>攀枝花市东区商务局属于一级预算部门，下属二级预算部门0个，其中行政部门0个，参照公务员法管理的事业部门0个，其他事业部门0个</w:t>
      </w:r>
      <w:r>
        <w:rPr>
          <w:rFonts w:eastAsia="仿宋"/>
          <w:bCs/>
          <w:color w:val="000000"/>
          <w:sz w:val="32"/>
          <w:szCs w:val="32"/>
        </w:rPr>
        <w:t>。</w:t>
      </w:r>
    </w:p>
    <w:p w14:paraId="2C6B9AA2">
      <w:pPr>
        <w:widowControl/>
        <w:ind w:firstLine="640" w:firstLineChars="200"/>
        <w:jc w:val="left"/>
        <w:rPr>
          <w:rFonts w:eastAsia="仿宋"/>
          <w:kern w:val="0"/>
          <w:sz w:val="32"/>
          <w:szCs w:val="32"/>
        </w:rPr>
      </w:pPr>
      <w:r>
        <w:rPr>
          <w:rFonts w:hint="eastAsia" w:ascii="仿宋_GB2312" w:hAnsi="仿宋" w:eastAsia="仿宋_GB2312"/>
          <w:sz w:val="32"/>
          <w:szCs w:val="32"/>
        </w:rPr>
        <w:t>攀枝花市东区商务局未下设二级预算部门。</w:t>
      </w:r>
      <w:r>
        <w:rPr>
          <w:rFonts w:eastAsia="仿宋"/>
          <w:sz w:val="32"/>
          <w:szCs w:val="32"/>
        </w:rPr>
        <w:br w:type="page"/>
      </w:r>
    </w:p>
    <w:p w14:paraId="3717FF96">
      <w:pPr>
        <w:pStyle w:val="2"/>
        <w:jc w:val="center"/>
        <w:rPr>
          <w:rFonts w:eastAsia="方正小标宋简体" w:cs="方正小标宋简体"/>
          <w:b w:val="0"/>
        </w:rPr>
      </w:pPr>
      <w:bookmarkStart w:id="24" w:name="_Toc15377204"/>
      <w:bookmarkStart w:id="25" w:name="_Toc15396602"/>
      <w:r>
        <w:rPr>
          <w:rFonts w:hint="eastAsia" w:eastAsia="方正小标宋简体" w:cs="方正小标宋简体"/>
          <w:b w:val="0"/>
        </w:rPr>
        <w:t>第二部分  2024年度部门决算情况说明</w:t>
      </w:r>
      <w:bookmarkEnd w:id="24"/>
      <w:bookmarkEnd w:id="25"/>
    </w:p>
    <w:p w14:paraId="2EB4E2F4"/>
    <w:p w14:paraId="6C736CBA">
      <w:pPr>
        <w:pStyle w:val="31"/>
        <w:spacing w:line="600" w:lineRule="exact"/>
        <w:ind w:firstLine="640"/>
        <w:outlineLvl w:val="1"/>
        <w:rPr>
          <w:rStyle w:val="33"/>
          <w:rFonts w:ascii="Times New Roman" w:hAnsi="Times New Roman" w:eastAsia="黑体"/>
          <w:b w:val="0"/>
        </w:rPr>
      </w:pPr>
      <w:bookmarkStart w:id="26" w:name="_Toc15396603"/>
      <w:bookmarkStart w:id="27" w:name="_Toc15377205"/>
      <w:r>
        <w:rPr>
          <w:rFonts w:hint="eastAsia" w:eastAsia="黑体"/>
          <w:sz w:val="32"/>
          <w:szCs w:val="32"/>
        </w:rPr>
        <w:t>一、收</w:t>
      </w:r>
      <w:r>
        <w:rPr>
          <w:rStyle w:val="33"/>
          <w:rFonts w:hint="eastAsia" w:ascii="Times New Roman" w:hAnsi="Times New Roman" w:eastAsia="黑体"/>
          <w:b w:val="0"/>
        </w:rPr>
        <w:t>入支出决算总体情况说明</w:t>
      </w:r>
      <w:bookmarkEnd w:id="26"/>
      <w:bookmarkEnd w:id="27"/>
    </w:p>
    <w:p w14:paraId="231EFD5B">
      <w:pPr>
        <w:pStyle w:val="31"/>
        <w:spacing w:line="600" w:lineRule="exact"/>
        <w:ind w:firstLine="640"/>
        <w:outlineLvl w:val="1"/>
        <w:rPr>
          <w:rFonts w:eastAsia="仿宋_GB2312" w:cs="仿宋_GB2312"/>
          <w:sz w:val="32"/>
          <w:szCs w:val="32"/>
        </w:rPr>
      </w:pPr>
      <w:r>
        <w:rPr>
          <w:rFonts w:hint="eastAsia" w:eastAsia="仿宋_GB2312" w:cs="仿宋_GB2312"/>
          <w:sz w:val="32"/>
          <w:szCs w:val="32"/>
        </w:rPr>
        <w:t>2024年度收入为2711.5万元、支出为3231.5万元。与2023年度相比，收入增加953.9万元，增长35.18%，支出增加1237.99万元，增长62.1%。主要变动原因是新增2024年汽车和家电以旧换新财政奖补资金、2024年超长期特别国债资金。</w:t>
      </w:r>
    </w:p>
    <w:p w14:paraId="76EA412E">
      <w:pPr>
        <w:pStyle w:val="31"/>
        <w:spacing w:line="600" w:lineRule="exact"/>
        <w:ind w:firstLine="640"/>
        <w:outlineLvl w:val="1"/>
        <w:rPr>
          <w:rFonts w:eastAsia="仿宋_GB2312" w:cs="仿宋_GB2312"/>
          <w:sz w:val="32"/>
          <w:szCs w:val="32"/>
        </w:rPr>
      </w:pPr>
      <w:r>
        <w:rPr>
          <w:rFonts w:hint="eastAsia" w:eastAsia="仿宋_GB2312" w:cs="仿宋_GB2312"/>
          <w:sz w:val="32"/>
          <w:szCs w:val="32"/>
        </w:rPr>
        <w:drawing>
          <wp:anchor distT="0" distB="0" distL="114300" distR="114300" simplePos="0" relativeHeight="251659264" behindDoc="0" locked="0" layoutInCell="1" allowOverlap="1">
            <wp:simplePos x="0" y="0"/>
            <wp:positionH relativeFrom="column">
              <wp:posOffset>227330</wp:posOffset>
            </wp:positionH>
            <wp:positionV relativeFrom="paragraph">
              <wp:posOffset>130175</wp:posOffset>
            </wp:positionV>
            <wp:extent cx="5256530" cy="2988310"/>
            <wp:effectExtent l="5080" t="4445" r="15240" b="55245"/>
            <wp:wrapNone/>
            <wp:docPr id="1" name="图表 1"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3D37999">
      <w:pPr>
        <w:pStyle w:val="31"/>
        <w:spacing w:line="600" w:lineRule="exact"/>
        <w:ind w:firstLine="640"/>
        <w:outlineLvl w:val="1"/>
        <w:rPr>
          <w:rFonts w:eastAsia="仿宋_GB2312" w:cs="仿宋_GB2312"/>
          <w:sz w:val="32"/>
          <w:szCs w:val="32"/>
        </w:rPr>
      </w:pPr>
    </w:p>
    <w:p w14:paraId="32ECAE09">
      <w:pPr>
        <w:pStyle w:val="31"/>
        <w:spacing w:line="600" w:lineRule="exact"/>
        <w:ind w:firstLine="640"/>
        <w:outlineLvl w:val="1"/>
        <w:rPr>
          <w:rFonts w:eastAsia="仿宋_GB2312" w:cs="仿宋_GB2312"/>
          <w:sz w:val="32"/>
          <w:szCs w:val="32"/>
        </w:rPr>
      </w:pPr>
    </w:p>
    <w:p w14:paraId="3CDD65BD">
      <w:pPr>
        <w:pStyle w:val="31"/>
        <w:spacing w:line="600" w:lineRule="exact"/>
        <w:ind w:firstLine="640"/>
        <w:outlineLvl w:val="1"/>
        <w:rPr>
          <w:rFonts w:eastAsia="仿宋_GB2312" w:cs="仿宋_GB2312"/>
          <w:sz w:val="32"/>
          <w:szCs w:val="32"/>
        </w:rPr>
      </w:pPr>
    </w:p>
    <w:p w14:paraId="1494CEAB">
      <w:pPr>
        <w:pStyle w:val="31"/>
        <w:spacing w:line="600" w:lineRule="exact"/>
        <w:ind w:firstLine="640"/>
        <w:outlineLvl w:val="1"/>
        <w:rPr>
          <w:rFonts w:eastAsia="仿宋_GB2312" w:cs="仿宋_GB2312"/>
          <w:sz w:val="32"/>
          <w:szCs w:val="32"/>
        </w:rPr>
      </w:pPr>
    </w:p>
    <w:p w14:paraId="2BC922C8">
      <w:pPr>
        <w:pStyle w:val="31"/>
        <w:spacing w:line="600" w:lineRule="exact"/>
        <w:ind w:firstLine="640"/>
        <w:outlineLvl w:val="1"/>
        <w:rPr>
          <w:rFonts w:eastAsia="仿宋_GB2312" w:cs="仿宋_GB2312"/>
          <w:sz w:val="32"/>
          <w:szCs w:val="32"/>
        </w:rPr>
      </w:pPr>
    </w:p>
    <w:p w14:paraId="5E481005">
      <w:pPr>
        <w:pStyle w:val="31"/>
        <w:spacing w:line="600" w:lineRule="exact"/>
        <w:ind w:firstLine="640"/>
        <w:outlineLvl w:val="1"/>
        <w:rPr>
          <w:rFonts w:eastAsia="仿宋_GB2312" w:cs="仿宋_GB2312"/>
          <w:sz w:val="32"/>
          <w:szCs w:val="32"/>
        </w:rPr>
      </w:pPr>
    </w:p>
    <w:p w14:paraId="0D9B86F5">
      <w:pPr>
        <w:ind w:firstLine="640" w:firstLineChars="200"/>
        <w:rPr>
          <w:rFonts w:eastAsia="仿宋_GB2312" w:cs="仿宋_GB2312"/>
          <w:sz w:val="32"/>
          <w:szCs w:val="32"/>
        </w:rPr>
      </w:pPr>
    </w:p>
    <w:p w14:paraId="22951124">
      <w:pPr>
        <w:ind w:firstLine="640" w:firstLineChars="200"/>
        <w:rPr>
          <w:rFonts w:eastAsia="仿宋_GB2312" w:cs="仿宋_GB2312"/>
          <w:sz w:val="32"/>
          <w:szCs w:val="32"/>
        </w:rPr>
      </w:pPr>
    </w:p>
    <w:p w14:paraId="4BBF4507">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03C80B2B">
      <w:pPr>
        <w:pStyle w:val="31"/>
        <w:spacing w:line="600" w:lineRule="exact"/>
        <w:ind w:firstLine="640"/>
        <w:outlineLvl w:val="1"/>
        <w:rPr>
          <w:rFonts w:eastAsia="黑体"/>
          <w:sz w:val="32"/>
          <w:szCs w:val="32"/>
        </w:rPr>
      </w:pPr>
      <w:bookmarkStart w:id="28" w:name="_Toc15377206"/>
      <w:bookmarkStart w:id="29" w:name="_Toc15396604"/>
      <w:r>
        <w:rPr>
          <w:rFonts w:hint="eastAsia" w:eastAsia="黑体"/>
          <w:sz w:val="32"/>
          <w:szCs w:val="32"/>
        </w:rPr>
        <w:t>二、收入决算情况说明</w:t>
      </w:r>
      <w:bookmarkEnd w:id="28"/>
      <w:bookmarkEnd w:id="29"/>
    </w:p>
    <w:p w14:paraId="2C611A22">
      <w:pPr>
        <w:pStyle w:val="31"/>
        <w:spacing w:line="600" w:lineRule="exact"/>
        <w:ind w:firstLine="640"/>
        <w:jc w:val="left"/>
        <w:outlineLvl w:val="1"/>
        <w:rPr>
          <w:rFonts w:eastAsia="仿宋_GB2312" w:cs="仿宋_GB2312"/>
          <w:b/>
          <w:bCs/>
          <w:sz w:val="32"/>
          <w:szCs w:val="32"/>
        </w:rPr>
      </w:pPr>
      <w:r>
        <w:rPr>
          <w:rFonts w:hint="eastAsia" w:eastAsia="仿宋_GB2312" w:cs="仿宋_GB2312"/>
          <w:sz w:val="32"/>
          <w:szCs w:val="32"/>
        </w:rPr>
        <w:t>2024年度本年收入合计2711.5万元，其中：一般公共预算财政拨款收入1277.79万元，占47.12%；政府性基金预算财政拨款收入1433.71万元，占52.87%%；国有资本经营预算财政拨款收入0万元，占0%；上级补助收入0万元，占0%；事业收入0万元，占0%；经营收入0万元，占0%；附属部门上缴收入0万元，占0%；其他收入0万元，占0%。</w:t>
      </w:r>
      <w:r>
        <w:rPr>
          <w:rFonts w:hint="eastAsia" w:eastAsia="仿宋_GB2312" w:cs="仿宋_GB2312"/>
          <w:b/>
          <w:bCs/>
          <w:sz w:val="32"/>
          <w:szCs w:val="32"/>
        </w:rPr>
        <w:t>（注：仅罗列本部门涉及的收入）</w:t>
      </w:r>
    </w:p>
    <w:p w14:paraId="243455F5">
      <w:pPr>
        <w:pStyle w:val="31"/>
        <w:spacing w:line="600" w:lineRule="exact"/>
        <w:ind w:firstLine="640"/>
        <w:jc w:val="left"/>
        <w:outlineLvl w:val="1"/>
        <w:rPr>
          <w:rFonts w:eastAsia="仿宋_GB2312" w:cs="仿宋_GB2312"/>
          <w:b/>
          <w:bCs/>
          <w:sz w:val="32"/>
          <w:szCs w:val="32"/>
        </w:rPr>
      </w:pPr>
      <w:r>
        <w:rPr>
          <w:rFonts w:hint="eastAsia" w:eastAsia="仿宋_GB2312" w:cs="仿宋_GB2312"/>
          <w:b/>
          <w:bCs/>
          <w:sz w:val="32"/>
          <w:szCs w:val="32"/>
        </w:rPr>
        <w:drawing>
          <wp:anchor distT="0" distB="0" distL="114300" distR="114300" simplePos="0" relativeHeight="251660288" behindDoc="0" locked="0" layoutInCell="1" allowOverlap="1">
            <wp:simplePos x="0" y="0"/>
            <wp:positionH relativeFrom="column">
              <wp:posOffset>146685</wp:posOffset>
            </wp:positionH>
            <wp:positionV relativeFrom="paragraph">
              <wp:posOffset>104140</wp:posOffset>
            </wp:positionV>
            <wp:extent cx="5256530" cy="2988310"/>
            <wp:effectExtent l="5080" t="4445" r="15240" b="17145"/>
            <wp:wrapNone/>
            <wp:docPr id="2"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6D2560C">
      <w:pPr>
        <w:pStyle w:val="31"/>
        <w:spacing w:line="600" w:lineRule="exact"/>
        <w:ind w:firstLine="640"/>
        <w:jc w:val="left"/>
        <w:outlineLvl w:val="1"/>
        <w:rPr>
          <w:rFonts w:eastAsia="仿宋_GB2312" w:cs="仿宋_GB2312"/>
          <w:b/>
          <w:bCs/>
          <w:sz w:val="32"/>
          <w:szCs w:val="32"/>
        </w:rPr>
      </w:pPr>
    </w:p>
    <w:p w14:paraId="4E3BCD1F">
      <w:pPr>
        <w:pStyle w:val="31"/>
        <w:spacing w:line="600" w:lineRule="exact"/>
        <w:ind w:firstLine="640"/>
        <w:jc w:val="left"/>
        <w:outlineLvl w:val="1"/>
        <w:rPr>
          <w:rFonts w:eastAsia="仿宋_GB2312" w:cs="仿宋_GB2312"/>
          <w:b/>
          <w:bCs/>
          <w:sz w:val="32"/>
          <w:szCs w:val="32"/>
        </w:rPr>
      </w:pPr>
    </w:p>
    <w:p w14:paraId="6738F208">
      <w:pPr>
        <w:pStyle w:val="31"/>
        <w:spacing w:line="600" w:lineRule="exact"/>
        <w:ind w:firstLine="640"/>
        <w:jc w:val="left"/>
        <w:outlineLvl w:val="1"/>
        <w:rPr>
          <w:rFonts w:eastAsia="仿宋_GB2312" w:cs="仿宋_GB2312"/>
          <w:b/>
          <w:bCs/>
          <w:sz w:val="32"/>
          <w:szCs w:val="32"/>
        </w:rPr>
      </w:pPr>
    </w:p>
    <w:p w14:paraId="0EA9F999">
      <w:pPr>
        <w:pStyle w:val="31"/>
        <w:spacing w:line="600" w:lineRule="exact"/>
        <w:ind w:firstLine="640"/>
        <w:jc w:val="left"/>
        <w:outlineLvl w:val="1"/>
        <w:rPr>
          <w:rFonts w:eastAsia="仿宋_GB2312" w:cs="仿宋_GB2312"/>
          <w:b/>
          <w:bCs/>
          <w:sz w:val="32"/>
          <w:szCs w:val="32"/>
        </w:rPr>
      </w:pPr>
    </w:p>
    <w:p w14:paraId="29D90A25">
      <w:pPr>
        <w:pStyle w:val="31"/>
        <w:spacing w:line="600" w:lineRule="exact"/>
        <w:ind w:firstLine="640"/>
        <w:jc w:val="left"/>
        <w:outlineLvl w:val="1"/>
        <w:rPr>
          <w:rFonts w:eastAsia="仿宋_GB2312" w:cs="仿宋_GB2312"/>
          <w:b/>
          <w:bCs/>
          <w:sz w:val="32"/>
          <w:szCs w:val="32"/>
        </w:rPr>
      </w:pPr>
    </w:p>
    <w:p w14:paraId="066703B0">
      <w:pPr>
        <w:pStyle w:val="31"/>
        <w:spacing w:line="600" w:lineRule="exact"/>
        <w:ind w:firstLine="640"/>
        <w:jc w:val="left"/>
        <w:outlineLvl w:val="1"/>
        <w:rPr>
          <w:rFonts w:eastAsia="仿宋_GB2312" w:cs="仿宋_GB2312"/>
          <w:b/>
          <w:bCs/>
          <w:sz w:val="32"/>
          <w:szCs w:val="32"/>
        </w:rPr>
      </w:pPr>
    </w:p>
    <w:p w14:paraId="39052D09">
      <w:pPr>
        <w:ind w:firstLine="800" w:firstLineChars="250"/>
        <w:rPr>
          <w:rFonts w:eastAsia="仿宋_GB2312" w:cs="仿宋_GB2312"/>
          <w:sz w:val="32"/>
          <w:szCs w:val="32"/>
        </w:rPr>
      </w:pPr>
    </w:p>
    <w:p w14:paraId="169D91A8">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35E99646">
      <w:pPr>
        <w:pStyle w:val="31"/>
        <w:spacing w:line="600" w:lineRule="exact"/>
        <w:ind w:firstLine="640"/>
        <w:outlineLvl w:val="1"/>
        <w:rPr>
          <w:rStyle w:val="33"/>
          <w:rFonts w:ascii="Times New Roman" w:hAnsi="Times New Roman" w:eastAsia="黑体"/>
          <w:b w:val="0"/>
        </w:rPr>
      </w:pPr>
      <w:bookmarkStart w:id="30" w:name="_Toc15396605"/>
      <w:bookmarkStart w:id="31" w:name="_Toc15377207"/>
      <w:r>
        <w:rPr>
          <w:rFonts w:hint="eastAsia" w:eastAsia="黑体"/>
          <w:sz w:val="32"/>
          <w:szCs w:val="32"/>
        </w:rPr>
        <w:t>三、支</w:t>
      </w:r>
      <w:r>
        <w:rPr>
          <w:rStyle w:val="33"/>
          <w:rFonts w:hint="eastAsia" w:ascii="Times New Roman" w:hAnsi="Times New Roman" w:eastAsia="黑体"/>
          <w:b w:val="0"/>
        </w:rPr>
        <w:t>出决算情况说明</w:t>
      </w:r>
      <w:bookmarkEnd w:id="30"/>
      <w:bookmarkEnd w:id="31"/>
    </w:p>
    <w:p w14:paraId="5D36D6C4">
      <w:pPr>
        <w:pStyle w:val="31"/>
        <w:spacing w:line="600" w:lineRule="exact"/>
        <w:ind w:firstLine="640"/>
        <w:jc w:val="left"/>
        <w:outlineLvl w:val="1"/>
        <w:rPr>
          <w:rFonts w:eastAsia="仿宋_GB2312" w:cs="仿宋_GB2312"/>
          <w:sz w:val="32"/>
          <w:szCs w:val="32"/>
        </w:rPr>
      </w:pPr>
      <w:r>
        <w:rPr>
          <w:rFonts w:hint="eastAsia" w:eastAsia="仿宋_GB2312" w:cs="仿宋_GB2312"/>
          <w:sz w:val="32"/>
          <w:szCs w:val="32"/>
        </w:rPr>
        <w:t>2024年度本年支出合计3231.5万元，其中：基本支出523.31万元，占16.19%；项目支出2708.2万元，占83.8%；上缴上级支出0万元，占0%；经营支出0万元，占0%；对附属部门补助支出0万元，占0%。</w:t>
      </w:r>
      <w:r>
        <w:rPr>
          <w:rFonts w:hint="eastAsia" w:eastAsia="仿宋_GB2312" w:cs="仿宋_GB2312"/>
          <w:b/>
          <w:bCs/>
          <w:sz w:val="32"/>
          <w:szCs w:val="32"/>
        </w:rPr>
        <w:t xml:space="preserve">（注：仅罗列本部门涉及的支出） </w:t>
      </w:r>
    </w:p>
    <w:p w14:paraId="1BDA0727">
      <w:pPr>
        <w:ind w:firstLine="800" w:firstLineChars="250"/>
        <w:rPr>
          <w:rFonts w:eastAsia="仿宋_GB2312" w:cs="仿宋_GB2312"/>
          <w:sz w:val="32"/>
          <w:szCs w:val="32"/>
        </w:rPr>
      </w:pPr>
    </w:p>
    <w:p w14:paraId="165136DE">
      <w:pPr>
        <w:ind w:firstLine="800" w:firstLineChars="250"/>
        <w:rPr>
          <w:rFonts w:eastAsia="仿宋_GB2312" w:cs="仿宋_GB2312"/>
          <w:sz w:val="32"/>
          <w:szCs w:val="32"/>
        </w:rPr>
      </w:pPr>
    </w:p>
    <w:p w14:paraId="44B29201">
      <w:pPr>
        <w:ind w:firstLine="800" w:firstLineChars="250"/>
        <w:rPr>
          <w:rFonts w:eastAsia="仿宋_GB2312" w:cs="仿宋_GB2312"/>
          <w:sz w:val="32"/>
          <w:szCs w:val="32"/>
        </w:rPr>
      </w:pPr>
    </w:p>
    <w:p w14:paraId="1198026A">
      <w:pPr>
        <w:ind w:firstLine="800" w:firstLineChars="250"/>
        <w:rPr>
          <w:rFonts w:eastAsia="仿宋_GB2312" w:cs="仿宋_GB2312"/>
          <w:sz w:val="32"/>
          <w:szCs w:val="32"/>
        </w:rPr>
      </w:pPr>
    </w:p>
    <w:p w14:paraId="0FA14C04">
      <w:pPr>
        <w:ind w:firstLine="800" w:firstLineChars="250"/>
        <w:rPr>
          <w:rFonts w:eastAsia="仿宋_GB2312" w:cs="仿宋_GB2312"/>
          <w:sz w:val="32"/>
          <w:szCs w:val="32"/>
        </w:rPr>
      </w:pPr>
      <w:r>
        <w:rPr>
          <w:rFonts w:eastAsia="仿宋_GB2312" w:cs="仿宋_GB2312"/>
          <w:sz w:val="32"/>
          <w:szCs w:val="32"/>
        </w:rPr>
        <w:drawing>
          <wp:anchor distT="0" distB="0" distL="114300" distR="114300" simplePos="0" relativeHeight="251661312" behindDoc="0" locked="0" layoutInCell="1" allowOverlap="1">
            <wp:simplePos x="0" y="0"/>
            <wp:positionH relativeFrom="column">
              <wp:posOffset>-27305</wp:posOffset>
            </wp:positionH>
            <wp:positionV relativeFrom="paragraph">
              <wp:posOffset>133985</wp:posOffset>
            </wp:positionV>
            <wp:extent cx="5256530" cy="2988310"/>
            <wp:effectExtent l="5080" t="4445" r="15240" b="17145"/>
            <wp:wrapNone/>
            <wp:docPr id="3" name="图表 3"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9EDEF13">
      <w:pPr>
        <w:ind w:firstLine="800" w:firstLineChars="250"/>
        <w:rPr>
          <w:rFonts w:eastAsia="仿宋_GB2312" w:cs="仿宋_GB2312"/>
          <w:sz w:val="32"/>
          <w:szCs w:val="32"/>
        </w:rPr>
      </w:pPr>
    </w:p>
    <w:p w14:paraId="77F97986">
      <w:pPr>
        <w:ind w:firstLine="800" w:firstLineChars="250"/>
        <w:rPr>
          <w:rFonts w:eastAsia="仿宋_GB2312" w:cs="仿宋_GB2312"/>
          <w:sz w:val="32"/>
          <w:szCs w:val="32"/>
        </w:rPr>
      </w:pPr>
    </w:p>
    <w:p w14:paraId="38B810C7">
      <w:pPr>
        <w:ind w:firstLine="800" w:firstLineChars="250"/>
        <w:rPr>
          <w:rFonts w:eastAsia="仿宋_GB2312" w:cs="仿宋_GB2312"/>
          <w:sz w:val="32"/>
          <w:szCs w:val="32"/>
        </w:rPr>
      </w:pPr>
    </w:p>
    <w:p w14:paraId="086868F4">
      <w:pPr>
        <w:ind w:firstLine="800" w:firstLineChars="250"/>
        <w:rPr>
          <w:rFonts w:eastAsia="仿宋_GB2312" w:cs="仿宋_GB2312"/>
          <w:sz w:val="32"/>
          <w:szCs w:val="32"/>
        </w:rPr>
      </w:pPr>
    </w:p>
    <w:p w14:paraId="288F1722">
      <w:pPr>
        <w:ind w:firstLine="800" w:firstLineChars="250"/>
        <w:rPr>
          <w:rFonts w:eastAsia="仿宋_GB2312" w:cs="仿宋_GB2312"/>
          <w:sz w:val="32"/>
          <w:szCs w:val="32"/>
        </w:rPr>
      </w:pPr>
    </w:p>
    <w:p w14:paraId="14773990">
      <w:pPr>
        <w:ind w:firstLine="800" w:firstLineChars="250"/>
        <w:rPr>
          <w:rFonts w:eastAsia="仿宋_GB2312" w:cs="仿宋_GB2312"/>
          <w:sz w:val="32"/>
          <w:szCs w:val="32"/>
        </w:rPr>
      </w:pPr>
    </w:p>
    <w:p w14:paraId="3CE8045B">
      <w:pPr>
        <w:ind w:firstLine="800" w:firstLineChars="250"/>
        <w:rPr>
          <w:rFonts w:eastAsia="仿宋_GB2312" w:cs="仿宋_GB2312"/>
          <w:sz w:val="32"/>
          <w:szCs w:val="32"/>
        </w:rPr>
      </w:pPr>
    </w:p>
    <w:p w14:paraId="2BFBF5FF">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7C18F06E">
      <w:pPr>
        <w:spacing w:line="600" w:lineRule="exact"/>
        <w:ind w:firstLine="640" w:firstLineChars="200"/>
        <w:outlineLvl w:val="1"/>
        <w:rPr>
          <w:rStyle w:val="33"/>
          <w:rFonts w:ascii="Times New Roman" w:hAnsi="Times New Roman" w:eastAsia="黑体"/>
          <w:b w:val="0"/>
        </w:rPr>
      </w:pPr>
      <w:bookmarkStart w:id="32" w:name="_Toc15377208"/>
      <w:bookmarkStart w:id="33" w:name="_Toc15396606"/>
      <w:r>
        <w:rPr>
          <w:rFonts w:hint="eastAsia" w:eastAsia="黑体"/>
          <w:sz w:val="32"/>
          <w:szCs w:val="32"/>
        </w:rPr>
        <w:t>四、财</w:t>
      </w:r>
      <w:r>
        <w:rPr>
          <w:rStyle w:val="33"/>
          <w:rFonts w:hint="eastAsia" w:ascii="Times New Roman" w:hAnsi="Times New Roman" w:eastAsia="黑体"/>
          <w:b w:val="0"/>
        </w:rPr>
        <w:t>政拨款收入支出决算总体情况说明</w:t>
      </w:r>
      <w:bookmarkEnd w:id="32"/>
      <w:bookmarkEnd w:id="33"/>
    </w:p>
    <w:p w14:paraId="63CCA006">
      <w:pPr>
        <w:spacing w:line="600" w:lineRule="exact"/>
        <w:ind w:firstLine="640"/>
        <w:rPr>
          <w:rFonts w:eastAsia="仿宋_GB2312" w:cs="仿宋_GB2312"/>
          <w:sz w:val="32"/>
          <w:szCs w:val="32"/>
        </w:rPr>
      </w:pPr>
      <w:r>
        <w:rPr>
          <w:rFonts w:hint="eastAsia" w:eastAsia="仿宋_GB2312" w:cs="仿宋_GB2312"/>
          <w:sz w:val="32"/>
          <w:szCs w:val="32"/>
        </w:rPr>
        <w:t>2024年度财政拨款收入2711.5万元、财政拨款支出为3231.5万元。与2023年度相比，财政拨款收入增加953.9万元，增长35.18%，财政拨款支出增加1237.99万元，增长62.10%。主要变动原因是新增2024年汽车和家电以旧换新财政奖补资金、2024年超长期特别国债资金。</w:t>
      </w:r>
    </w:p>
    <w:p w14:paraId="3C23EDF5">
      <w:pPr>
        <w:spacing w:line="600" w:lineRule="exact"/>
        <w:ind w:firstLine="640"/>
        <w:rPr>
          <w:rFonts w:eastAsia="仿宋_GB2312" w:cs="仿宋_GB2312"/>
          <w:sz w:val="32"/>
          <w:szCs w:val="32"/>
        </w:rPr>
      </w:pPr>
      <w:r>
        <w:rPr>
          <w:rFonts w:hint="eastAsia" w:eastAsia="仿宋_GB2312" w:cs="仿宋_GB2312"/>
          <w:sz w:val="32"/>
          <w:szCs w:val="32"/>
        </w:rPr>
        <w:drawing>
          <wp:anchor distT="0" distB="0" distL="114300" distR="114300" simplePos="0" relativeHeight="251662336" behindDoc="0" locked="0" layoutInCell="1" allowOverlap="1">
            <wp:simplePos x="0" y="0"/>
            <wp:positionH relativeFrom="column">
              <wp:posOffset>-10160</wp:posOffset>
            </wp:positionH>
            <wp:positionV relativeFrom="paragraph">
              <wp:posOffset>197485</wp:posOffset>
            </wp:positionV>
            <wp:extent cx="5256530" cy="2988310"/>
            <wp:effectExtent l="5080" t="4445" r="15240" b="55245"/>
            <wp:wrapNone/>
            <wp:docPr id="7" name="图表 7"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96C996F">
      <w:pPr>
        <w:spacing w:line="600" w:lineRule="exact"/>
        <w:ind w:firstLine="640"/>
        <w:rPr>
          <w:rFonts w:eastAsia="仿宋_GB2312" w:cs="仿宋_GB2312"/>
          <w:sz w:val="32"/>
          <w:szCs w:val="32"/>
        </w:rPr>
      </w:pPr>
      <w:r>
        <w:rPr>
          <w:rFonts w:hint="eastAsia" w:eastAsia="仿宋_GB2312" w:cs="仿宋_GB2312"/>
          <w:sz w:val="32"/>
          <w:szCs w:val="32"/>
        </w:rPr>
        <w:t>财政拨款收、支决算总计变动情况财政拨款收、支决算总计变动情况</w:t>
      </w:r>
    </w:p>
    <w:p w14:paraId="66471176">
      <w:pPr>
        <w:spacing w:line="600" w:lineRule="exact"/>
        <w:ind w:firstLine="640"/>
        <w:rPr>
          <w:rFonts w:eastAsia="仿宋_GB2312" w:cs="仿宋_GB2312"/>
          <w:sz w:val="32"/>
          <w:szCs w:val="32"/>
        </w:rPr>
      </w:pPr>
    </w:p>
    <w:p w14:paraId="4F75C969">
      <w:pPr>
        <w:spacing w:line="600" w:lineRule="exact"/>
        <w:ind w:firstLine="640"/>
        <w:rPr>
          <w:rFonts w:eastAsia="仿宋_GB2312" w:cs="仿宋_GB2312"/>
          <w:sz w:val="32"/>
          <w:szCs w:val="32"/>
        </w:rPr>
      </w:pPr>
    </w:p>
    <w:p w14:paraId="74BCB069">
      <w:pPr>
        <w:spacing w:line="600" w:lineRule="exact"/>
        <w:ind w:firstLine="640"/>
        <w:rPr>
          <w:rFonts w:eastAsia="仿宋_GB2312" w:cs="仿宋_GB2312"/>
          <w:sz w:val="32"/>
          <w:szCs w:val="32"/>
        </w:rPr>
      </w:pPr>
    </w:p>
    <w:p w14:paraId="05C8A23C">
      <w:pPr>
        <w:spacing w:line="600" w:lineRule="exact"/>
        <w:ind w:firstLine="640"/>
        <w:rPr>
          <w:rFonts w:eastAsia="仿宋_GB2312" w:cs="仿宋_GB2312"/>
          <w:sz w:val="32"/>
          <w:szCs w:val="32"/>
        </w:rPr>
      </w:pPr>
    </w:p>
    <w:p w14:paraId="7D049576">
      <w:pPr>
        <w:spacing w:line="600" w:lineRule="exact"/>
        <w:ind w:firstLine="640"/>
        <w:rPr>
          <w:rFonts w:eastAsia="仿宋_GB2312" w:cs="仿宋_GB2312"/>
          <w:sz w:val="32"/>
          <w:szCs w:val="32"/>
        </w:rPr>
      </w:pPr>
    </w:p>
    <w:p w14:paraId="33E6BC84">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35DAD61E">
      <w:pPr>
        <w:spacing w:line="600" w:lineRule="exact"/>
        <w:ind w:firstLine="640"/>
        <w:rPr>
          <w:rFonts w:eastAsia="仿宋_GB2312" w:cs="仿宋_GB2312"/>
          <w:sz w:val="32"/>
          <w:szCs w:val="32"/>
        </w:rPr>
      </w:pPr>
    </w:p>
    <w:p w14:paraId="2754FF49">
      <w:pPr>
        <w:spacing w:line="600" w:lineRule="exact"/>
        <w:ind w:firstLine="640" w:firstLineChars="200"/>
        <w:outlineLvl w:val="1"/>
        <w:rPr>
          <w:rStyle w:val="33"/>
          <w:rFonts w:ascii="Times New Roman" w:hAnsi="Times New Roman" w:eastAsia="黑体"/>
          <w:b w:val="0"/>
        </w:rPr>
      </w:pPr>
      <w:bookmarkStart w:id="34" w:name="_Toc15396607"/>
      <w:bookmarkStart w:id="35" w:name="_Toc15377209"/>
      <w:r>
        <w:rPr>
          <w:rFonts w:hint="eastAsia" w:eastAsia="黑体"/>
          <w:sz w:val="32"/>
          <w:szCs w:val="32"/>
        </w:rPr>
        <w:t>五、</w:t>
      </w:r>
      <w:r>
        <w:rPr>
          <w:rFonts w:hint="eastAsia" w:eastAsia="黑体"/>
          <w:b/>
          <w:sz w:val="32"/>
          <w:szCs w:val="32"/>
        </w:rPr>
        <w:t>一</w:t>
      </w:r>
      <w:r>
        <w:rPr>
          <w:rStyle w:val="33"/>
          <w:rFonts w:hint="eastAsia" w:ascii="Times New Roman" w:hAnsi="Times New Roman" w:eastAsia="黑体"/>
          <w:b w:val="0"/>
        </w:rPr>
        <w:t>般公共预算财政拨款支出决算情况说明</w:t>
      </w:r>
      <w:bookmarkEnd w:id="34"/>
      <w:bookmarkEnd w:id="35"/>
    </w:p>
    <w:p w14:paraId="02D26AD1">
      <w:pPr>
        <w:spacing w:line="600" w:lineRule="exact"/>
        <w:ind w:firstLine="643" w:firstLineChars="200"/>
        <w:outlineLvl w:val="2"/>
        <w:rPr>
          <w:rFonts w:eastAsia="楷体_GB2312" w:cs="楷体_GB2312"/>
          <w:b/>
          <w:sz w:val="32"/>
          <w:szCs w:val="32"/>
        </w:rPr>
      </w:pPr>
      <w:bookmarkStart w:id="36" w:name="_Toc15377210"/>
      <w:r>
        <w:rPr>
          <w:rFonts w:hint="eastAsia" w:eastAsia="楷体_GB2312" w:cs="楷体_GB2312"/>
          <w:b/>
          <w:sz w:val="32"/>
          <w:szCs w:val="32"/>
        </w:rPr>
        <w:t>（一）一般公共预算财政拨款支出决算总体情况</w:t>
      </w:r>
      <w:bookmarkEnd w:id="36"/>
    </w:p>
    <w:p w14:paraId="5D58787D">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1797.79万元，占本年支出合计的55.63%。与2023年度相比，一般公共预算财政拨款支出减少195.71万元，下降9.8%。主要变动原因是省级、市级商务发展促进资金（餐饮行业纾困）、中央服务业发展资金、项目包装储备暨争取资金专项经费减少。</w:t>
      </w:r>
    </w:p>
    <w:p w14:paraId="261345D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189230</wp:posOffset>
            </wp:positionH>
            <wp:positionV relativeFrom="paragraph">
              <wp:posOffset>114300</wp:posOffset>
            </wp:positionV>
            <wp:extent cx="5256530" cy="2988310"/>
            <wp:effectExtent l="5080" t="4445" r="15240" b="17145"/>
            <wp:wrapNone/>
            <wp:docPr id="8" name="图表 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C6AAE81">
      <w:pPr>
        <w:spacing w:line="600" w:lineRule="exact"/>
        <w:ind w:firstLine="640"/>
        <w:rPr>
          <w:rFonts w:ascii="仿宋_GB2312" w:hAnsi="仿宋_GB2312" w:eastAsia="仿宋_GB2312" w:cs="仿宋_GB2312"/>
          <w:sz w:val="32"/>
          <w:szCs w:val="32"/>
        </w:rPr>
      </w:pPr>
    </w:p>
    <w:p w14:paraId="33B5788F">
      <w:pPr>
        <w:spacing w:line="600" w:lineRule="exact"/>
        <w:ind w:firstLine="640"/>
        <w:rPr>
          <w:rFonts w:ascii="仿宋_GB2312" w:hAnsi="仿宋_GB2312" w:eastAsia="仿宋_GB2312" w:cs="仿宋_GB2312"/>
          <w:sz w:val="32"/>
          <w:szCs w:val="32"/>
        </w:rPr>
      </w:pPr>
    </w:p>
    <w:p w14:paraId="53DEDCCA">
      <w:pPr>
        <w:spacing w:line="600" w:lineRule="exact"/>
        <w:ind w:firstLine="640"/>
        <w:rPr>
          <w:rFonts w:ascii="仿宋_GB2312" w:hAnsi="仿宋_GB2312" w:eastAsia="仿宋_GB2312" w:cs="仿宋_GB2312"/>
          <w:sz w:val="32"/>
          <w:szCs w:val="32"/>
        </w:rPr>
      </w:pPr>
    </w:p>
    <w:p w14:paraId="27C91F3B">
      <w:pPr>
        <w:spacing w:line="600" w:lineRule="exact"/>
        <w:ind w:firstLine="640"/>
        <w:rPr>
          <w:rFonts w:ascii="仿宋_GB2312" w:hAnsi="仿宋_GB2312" w:eastAsia="仿宋_GB2312" w:cs="仿宋_GB2312"/>
          <w:sz w:val="32"/>
          <w:szCs w:val="32"/>
        </w:rPr>
      </w:pPr>
    </w:p>
    <w:p w14:paraId="69BFD8D9">
      <w:pPr>
        <w:spacing w:line="600" w:lineRule="exact"/>
        <w:ind w:firstLine="640"/>
        <w:rPr>
          <w:rFonts w:ascii="仿宋_GB2312" w:hAnsi="仿宋_GB2312" w:eastAsia="仿宋_GB2312" w:cs="仿宋_GB2312"/>
          <w:sz w:val="32"/>
          <w:szCs w:val="32"/>
        </w:rPr>
      </w:pPr>
    </w:p>
    <w:p w14:paraId="7FEEE26E">
      <w:pPr>
        <w:spacing w:line="600" w:lineRule="exact"/>
        <w:ind w:firstLine="640"/>
        <w:rPr>
          <w:rFonts w:ascii="仿宋_GB2312" w:hAnsi="仿宋_GB2312" w:eastAsia="仿宋_GB2312" w:cs="仿宋_GB2312"/>
          <w:sz w:val="32"/>
          <w:szCs w:val="32"/>
        </w:rPr>
      </w:pPr>
    </w:p>
    <w:p w14:paraId="0A71A1DB">
      <w:pPr>
        <w:spacing w:line="600" w:lineRule="exact"/>
        <w:ind w:firstLine="640"/>
        <w:rPr>
          <w:rFonts w:ascii="仿宋_GB2312" w:hAnsi="仿宋_GB2312" w:eastAsia="仿宋_GB2312" w:cs="仿宋_GB2312"/>
          <w:sz w:val="32"/>
          <w:szCs w:val="32"/>
        </w:rPr>
      </w:pPr>
    </w:p>
    <w:p w14:paraId="445B06D4">
      <w:pPr>
        <w:spacing w:line="600" w:lineRule="exact"/>
        <w:ind w:firstLine="640"/>
        <w:rPr>
          <w:rFonts w:eastAsia="仿宋_GB2312" w:cs="仿宋_GB2312"/>
          <w:sz w:val="32"/>
          <w:szCs w:val="32"/>
        </w:rPr>
      </w:pPr>
    </w:p>
    <w:p w14:paraId="7321DCA9">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751B43F1">
      <w:pPr>
        <w:spacing w:line="600" w:lineRule="exact"/>
        <w:ind w:firstLine="640"/>
        <w:rPr>
          <w:rFonts w:eastAsia="仿宋_GB2312" w:cs="仿宋_GB2312"/>
          <w:sz w:val="32"/>
          <w:szCs w:val="32"/>
        </w:rPr>
      </w:pPr>
    </w:p>
    <w:p w14:paraId="320A5AD4">
      <w:pPr>
        <w:spacing w:line="600" w:lineRule="exact"/>
        <w:ind w:firstLine="643" w:firstLineChars="200"/>
        <w:outlineLvl w:val="2"/>
        <w:rPr>
          <w:rFonts w:eastAsia="楷体_GB2312" w:cs="楷体_GB2312"/>
          <w:b/>
          <w:sz w:val="32"/>
          <w:szCs w:val="32"/>
        </w:rPr>
      </w:pPr>
      <w:bookmarkStart w:id="37" w:name="_Toc15377211"/>
      <w:r>
        <w:rPr>
          <w:rFonts w:hint="eastAsia" w:eastAsia="楷体_GB2312" w:cs="楷体_GB2312"/>
          <w:b/>
          <w:sz w:val="32"/>
          <w:szCs w:val="32"/>
        </w:rPr>
        <w:t>（二）一般公共预算财政拨款支出决算结构情况</w:t>
      </w:r>
      <w:bookmarkEnd w:id="37"/>
    </w:p>
    <w:p w14:paraId="524B4E9B">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1797.79万元，主要用于以下方面：一般公共服务支出929.99万元，占51.73%；社会保障和就业支出81.68万元，占4.54%；卫生健康支出33.73万元，占1.88%；商业服务业等支出198.77万元，占11.06%；住房保障支出33.63万元，占1.87%；其他支出520万元，占28.92%。</w:t>
      </w:r>
      <w:r>
        <w:rPr>
          <w:rFonts w:hint="eastAsia" w:eastAsia="仿宋_GB2312" w:cs="仿宋_GB2312"/>
          <w:b/>
          <w:bCs/>
          <w:sz w:val="32"/>
          <w:szCs w:val="32"/>
        </w:rPr>
        <w:t>（注：仅罗列本部门涉及的全部功能分类科目，至类级）</w:t>
      </w:r>
    </w:p>
    <w:p w14:paraId="2E13771D">
      <w:pPr>
        <w:spacing w:line="600" w:lineRule="exact"/>
        <w:ind w:firstLine="640"/>
        <w:rPr>
          <w:rFonts w:eastAsia="仿宋_GB2312" w:cs="仿宋_GB2312"/>
          <w:b/>
          <w:bCs/>
          <w:sz w:val="32"/>
          <w:szCs w:val="32"/>
        </w:rPr>
      </w:pPr>
      <w:r>
        <w:rPr>
          <w:rFonts w:hint="eastAsia" w:eastAsia="仿宋_GB2312" w:cs="仿宋_GB2312"/>
          <w:b/>
          <w:bCs/>
          <w:sz w:val="32"/>
          <w:szCs w:val="32"/>
        </w:rPr>
        <w:drawing>
          <wp:anchor distT="0" distB="0" distL="114300" distR="114300" simplePos="0" relativeHeight="251664384" behindDoc="0" locked="0" layoutInCell="1" allowOverlap="1">
            <wp:simplePos x="0" y="0"/>
            <wp:positionH relativeFrom="column">
              <wp:posOffset>200025</wp:posOffset>
            </wp:positionH>
            <wp:positionV relativeFrom="paragraph">
              <wp:posOffset>209550</wp:posOffset>
            </wp:positionV>
            <wp:extent cx="5256530" cy="2988310"/>
            <wp:effectExtent l="5080" t="4445" r="15240" b="17145"/>
            <wp:wrapNone/>
            <wp:docPr id="9" name="图表 9"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BCD4F1B">
      <w:pPr>
        <w:spacing w:line="600" w:lineRule="exact"/>
        <w:ind w:firstLine="640"/>
        <w:rPr>
          <w:rFonts w:eastAsia="仿宋_GB2312" w:cs="仿宋_GB2312"/>
          <w:b/>
          <w:bCs/>
          <w:sz w:val="32"/>
          <w:szCs w:val="32"/>
        </w:rPr>
      </w:pPr>
    </w:p>
    <w:p w14:paraId="4E6081CB">
      <w:pPr>
        <w:spacing w:line="600" w:lineRule="exact"/>
        <w:ind w:firstLine="640"/>
        <w:rPr>
          <w:rFonts w:eastAsia="仿宋_GB2312" w:cs="仿宋_GB2312"/>
          <w:b/>
          <w:bCs/>
          <w:sz w:val="32"/>
          <w:szCs w:val="32"/>
        </w:rPr>
      </w:pPr>
    </w:p>
    <w:p w14:paraId="6760316B">
      <w:pPr>
        <w:spacing w:line="600" w:lineRule="exact"/>
        <w:ind w:firstLine="640"/>
        <w:rPr>
          <w:rFonts w:eastAsia="仿宋_GB2312" w:cs="仿宋_GB2312"/>
          <w:b/>
          <w:bCs/>
          <w:sz w:val="32"/>
          <w:szCs w:val="32"/>
        </w:rPr>
      </w:pPr>
    </w:p>
    <w:p w14:paraId="7054CC8E">
      <w:pPr>
        <w:spacing w:line="600" w:lineRule="exact"/>
        <w:ind w:firstLine="640"/>
        <w:rPr>
          <w:rFonts w:eastAsia="仿宋_GB2312" w:cs="仿宋_GB2312"/>
          <w:b/>
          <w:bCs/>
          <w:sz w:val="32"/>
          <w:szCs w:val="32"/>
        </w:rPr>
      </w:pPr>
    </w:p>
    <w:p w14:paraId="00385901">
      <w:pPr>
        <w:spacing w:line="600" w:lineRule="exact"/>
        <w:ind w:firstLine="640"/>
        <w:rPr>
          <w:rFonts w:eastAsia="仿宋_GB2312" w:cs="仿宋_GB2312"/>
          <w:b/>
          <w:bCs/>
          <w:sz w:val="32"/>
          <w:szCs w:val="32"/>
        </w:rPr>
      </w:pPr>
    </w:p>
    <w:p w14:paraId="0CBB20C2">
      <w:pPr>
        <w:spacing w:line="600" w:lineRule="exact"/>
        <w:ind w:firstLine="640"/>
        <w:rPr>
          <w:rFonts w:eastAsia="仿宋_GB2312" w:cs="仿宋_GB2312"/>
          <w:b/>
          <w:bCs/>
          <w:sz w:val="32"/>
          <w:szCs w:val="32"/>
        </w:rPr>
      </w:pPr>
    </w:p>
    <w:p w14:paraId="01E45819">
      <w:pPr>
        <w:spacing w:line="600" w:lineRule="exact"/>
        <w:ind w:firstLine="640"/>
        <w:rPr>
          <w:rFonts w:eastAsia="仿宋_GB2312" w:cs="仿宋_GB2312"/>
          <w:b/>
          <w:bCs/>
          <w:sz w:val="32"/>
          <w:szCs w:val="32"/>
        </w:rPr>
      </w:pPr>
    </w:p>
    <w:p w14:paraId="3014599E">
      <w:pPr>
        <w:spacing w:line="600" w:lineRule="exact"/>
        <w:ind w:firstLine="640"/>
        <w:rPr>
          <w:rFonts w:eastAsia="仿宋_GB2312" w:cs="仿宋_GB2312"/>
          <w:sz w:val="32"/>
          <w:szCs w:val="32"/>
        </w:rPr>
      </w:pPr>
    </w:p>
    <w:p w14:paraId="17BEC2DF">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0C4698A4">
      <w:pPr>
        <w:spacing w:line="600" w:lineRule="exact"/>
        <w:ind w:firstLine="640"/>
        <w:rPr>
          <w:rFonts w:eastAsia="仿宋_GB2312" w:cs="仿宋_GB2312"/>
          <w:sz w:val="32"/>
          <w:szCs w:val="32"/>
        </w:rPr>
      </w:pPr>
    </w:p>
    <w:p w14:paraId="0B5A84D4">
      <w:pPr>
        <w:spacing w:line="600" w:lineRule="exact"/>
        <w:ind w:firstLine="643" w:firstLineChars="200"/>
        <w:outlineLvl w:val="2"/>
        <w:rPr>
          <w:rFonts w:eastAsia="楷体_GB2312" w:cs="楷体_GB2312"/>
          <w:b/>
          <w:sz w:val="32"/>
          <w:szCs w:val="32"/>
        </w:rPr>
      </w:pPr>
      <w:bookmarkStart w:id="38" w:name="_Toc15377212"/>
      <w:r>
        <w:rPr>
          <w:rFonts w:hint="eastAsia" w:eastAsia="楷体_GB2312" w:cs="楷体_GB2312"/>
          <w:b/>
          <w:sz w:val="32"/>
          <w:szCs w:val="32"/>
        </w:rPr>
        <w:t>（三）一般公共预算财政拨款支出决算具体情况</w:t>
      </w:r>
      <w:bookmarkEnd w:id="38"/>
    </w:p>
    <w:p w14:paraId="2AA663CD">
      <w:pPr>
        <w:spacing w:line="600" w:lineRule="exact"/>
        <w:ind w:firstLine="640"/>
        <w:rPr>
          <w:rFonts w:eastAsia="仿宋_GB2312" w:cs="仿宋_GB2312"/>
          <w:sz w:val="32"/>
          <w:szCs w:val="32"/>
        </w:rPr>
      </w:pPr>
      <w:bookmarkStart w:id="39" w:name="_Toc15378460"/>
      <w:bookmarkStart w:id="40" w:name="_Toc15377213"/>
      <w:bookmarkStart w:id="41" w:name="_Toc15377444"/>
      <w:r>
        <w:rPr>
          <w:rFonts w:hint="eastAsia" w:eastAsia="仿宋_GB2312" w:cs="仿宋_GB2312"/>
          <w:sz w:val="32"/>
          <w:szCs w:val="32"/>
        </w:rPr>
        <w:t>2024年度一般公共预算财政拨款支出决算数为1797.79，完成预算100%。其中：</w:t>
      </w:r>
      <w:bookmarkEnd w:id="39"/>
      <w:bookmarkEnd w:id="40"/>
      <w:bookmarkEnd w:id="41"/>
    </w:p>
    <w:p w14:paraId="4C4F7E72">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一般公共服务</w:t>
      </w:r>
    </w:p>
    <w:p w14:paraId="20B2C67D">
      <w:pPr>
        <w:spacing w:line="600" w:lineRule="exact"/>
        <w:ind w:firstLine="640" w:firstLineChars="200"/>
        <w:rPr>
          <w:rFonts w:eastAsia="仿宋_GB2312" w:cs="仿宋_GB2312"/>
          <w:sz w:val="32"/>
          <w:szCs w:val="32"/>
        </w:rPr>
      </w:pPr>
      <w:r>
        <w:rPr>
          <w:rFonts w:hint="eastAsia" w:eastAsia="仿宋_GB2312" w:cs="仿宋_GB2312"/>
          <w:sz w:val="32"/>
          <w:szCs w:val="32"/>
        </w:rPr>
        <w:t>201（类）05（款）05（项）专项统计业务：支出决算为26.64万元，完成预算100%，决算数等于预算数。</w:t>
      </w:r>
    </w:p>
    <w:p w14:paraId="0575728B">
      <w:pPr>
        <w:spacing w:line="600" w:lineRule="exact"/>
        <w:ind w:firstLine="640" w:firstLineChars="200"/>
        <w:rPr>
          <w:rFonts w:eastAsia="仿宋_GB2312" w:cs="仿宋_GB2312"/>
          <w:sz w:val="32"/>
          <w:szCs w:val="32"/>
        </w:rPr>
      </w:pPr>
      <w:r>
        <w:rPr>
          <w:rFonts w:hint="eastAsia" w:eastAsia="仿宋_GB2312" w:cs="仿宋_GB2312"/>
          <w:sz w:val="32"/>
          <w:szCs w:val="32"/>
        </w:rPr>
        <w:t>201（类）06（款）01（项）行政运行：支出决算为1万元，完成预算100%，决算数等于预算数。</w:t>
      </w:r>
    </w:p>
    <w:p w14:paraId="05B7FCC4">
      <w:pPr>
        <w:spacing w:line="600" w:lineRule="exact"/>
        <w:ind w:firstLine="640" w:firstLineChars="200"/>
        <w:rPr>
          <w:rFonts w:eastAsia="仿宋_GB2312" w:cs="仿宋_GB2312"/>
          <w:sz w:val="32"/>
          <w:szCs w:val="32"/>
        </w:rPr>
      </w:pPr>
      <w:r>
        <w:rPr>
          <w:rFonts w:hint="eastAsia" w:eastAsia="仿宋_GB2312" w:cs="仿宋_GB2312"/>
          <w:sz w:val="32"/>
          <w:szCs w:val="32"/>
        </w:rPr>
        <w:t>201（类）13（款）01（项）行政运行：支出决算为148.43万元，完成预算100%，决算数等于预算数。</w:t>
      </w:r>
    </w:p>
    <w:p w14:paraId="7E689C81">
      <w:pPr>
        <w:spacing w:line="600" w:lineRule="exact"/>
        <w:ind w:firstLine="640" w:firstLineChars="200"/>
        <w:rPr>
          <w:rFonts w:eastAsia="仿宋_GB2312" w:cs="仿宋_GB2312"/>
          <w:sz w:val="32"/>
          <w:szCs w:val="32"/>
        </w:rPr>
      </w:pPr>
      <w:r>
        <w:rPr>
          <w:rFonts w:hint="eastAsia" w:eastAsia="仿宋_GB2312" w:cs="仿宋_GB2312"/>
          <w:sz w:val="32"/>
          <w:szCs w:val="32"/>
        </w:rPr>
        <w:t>201（类）13（款）02（项）一般行政管理事务：支出决算为18.06万元，完成预算100%，决算数等于预算数。</w:t>
      </w:r>
    </w:p>
    <w:p w14:paraId="0E48EEA3">
      <w:pPr>
        <w:spacing w:line="600" w:lineRule="exact"/>
        <w:ind w:firstLine="640" w:firstLineChars="200"/>
        <w:rPr>
          <w:rFonts w:eastAsia="仿宋_GB2312" w:cs="仿宋_GB2312"/>
          <w:sz w:val="32"/>
          <w:szCs w:val="32"/>
        </w:rPr>
      </w:pPr>
      <w:r>
        <w:rPr>
          <w:rFonts w:hint="eastAsia" w:eastAsia="仿宋_GB2312" w:cs="仿宋_GB2312"/>
          <w:sz w:val="32"/>
          <w:szCs w:val="32"/>
        </w:rPr>
        <w:t>201（类）13（款）08（项）招商引资：支出决算为0.83万元，完成预算100%，决算数等于预算数。</w:t>
      </w:r>
    </w:p>
    <w:p w14:paraId="1EF79ABD">
      <w:pPr>
        <w:spacing w:line="600" w:lineRule="exact"/>
        <w:ind w:firstLine="640" w:firstLineChars="200"/>
        <w:rPr>
          <w:rFonts w:eastAsia="仿宋_GB2312" w:cs="仿宋_GB2312"/>
          <w:sz w:val="32"/>
          <w:szCs w:val="32"/>
        </w:rPr>
      </w:pPr>
      <w:r>
        <w:rPr>
          <w:rFonts w:hint="eastAsia" w:eastAsia="仿宋_GB2312" w:cs="仿宋_GB2312"/>
          <w:sz w:val="32"/>
          <w:szCs w:val="32"/>
        </w:rPr>
        <w:t>201（类）13（款）50（项）事业运行：支出决算为224.85万元，完成预算100%，决算数等于预算数。</w:t>
      </w:r>
    </w:p>
    <w:p w14:paraId="1BF80EFE">
      <w:pPr>
        <w:spacing w:line="600" w:lineRule="exact"/>
        <w:ind w:firstLine="640" w:firstLineChars="200"/>
        <w:rPr>
          <w:rFonts w:eastAsia="仿宋_GB2312" w:cs="仿宋_GB2312"/>
          <w:sz w:val="32"/>
          <w:szCs w:val="32"/>
        </w:rPr>
      </w:pPr>
      <w:r>
        <w:rPr>
          <w:rFonts w:hint="eastAsia" w:eastAsia="仿宋_GB2312" w:cs="仿宋_GB2312"/>
          <w:sz w:val="32"/>
          <w:szCs w:val="32"/>
        </w:rPr>
        <w:t>201（类）13（款）99（项）其他商贸事务支出：支出决算为510.02万元，完成预算100%，决算数等于预算数。</w:t>
      </w:r>
    </w:p>
    <w:p w14:paraId="1663E0F2">
      <w:pPr>
        <w:spacing w:line="600" w:lineRule="exact"/>
        <w:ind w:firstLine="640" w:firstLineChars="200"/>
        <w:rPr>
          <w:rFonts w:eastAsia="仿宋_GB2312" w:cs="仿宋_GB2312"/>
          <w:sz w:val="32"/>
          <w:szCs w:val="32"/>
        </w:rPr>
      </w:pPr>
      <w:r>
        <w:rPr>
          <w:rFonts w:hint="eastAsia" w:eastAsia="仿宋_GB2312" w:cs="仿宋_GB2312"/>
          <w:sz w:val="32"/>
          <w:szCs w:val="32"/>
        </w:rPr>
        <w:t>201（类）36（款）99（项）其他共产党事务支出：支出决算为0.18万元，完成预算100%，决算数等于预算数。</w:t>
      </w:r>
    </w:p>
    <w:p w14:paraId="10B96003">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社会保障和就业</w:t>
      </w:r>
    </w:p>
    <w:p w14:paraId="32A4FA21">
      <w:pPr>
        <w:spacing w:line="600" w:lineRule="exact"/>
        <w:ind w:firstLine="640" w:firstLineChars="200"/>
        <w:rPr>
          <w:rFonts w:eastAsia="仿宋_GB2312" w:cs="仿宋_GB2312"/>
          <w:sz w:val="32"/>
          <w:szCs w:val="32"/>
        </w:rPr>
      </w:pPr>
      <w:r>
        <w:rPr>
          <w:rFonts w:hint="eastAsia" w:eastAsia="仿宋_GB2312" w:cs="仿宋_GB2312"/>
          <w:sz w:val="32"/>
          <w:szCs w:val="32"/>
        </w:rPr>
        <w:t>208（类）05（款）01（项）行政部门离退休：支出决算为0.03万元，完成预算100%，决算数等于预算数。</w:t>
      </w:r>
    </w:p>
    <w:p w14:paraId="7E1C8FD0">
      <w:pPr>
        <w:spacing w:line="600" w:lineRule="exact"/>
        <w:ind w:firstLine="640"/>
        <w:rPr>
          <w:rFonts w:eastAsia="仿宋_GB2312" w:cs="仿宋_GB2312"/>
          <w:sz w:val="32"/>
          <w:szCs w:val="32"/>
        </w:rPr>
      </w:pPr>
      <w:r>
        <w:rPr>
          <w:rFonts w:hint="eastAsia" w:eastAsia="仿宋_GB2312" w:cs="仿宋_GB2312"/>
          <w:sz w:val="32"/>
          <w:szCs w:val="32"/>
        </w:rPr>
        <w:t>208（类）05（款）02（项）事业部门离退休：支出决算为4.67万元，完成预算100%，决算数等于预算数。</w:t>
      </w:r>
    </w:p>
    <w:p w14:paraId="28C617E0">
      <w:pPr>
        <w:spacing w:line="600" w:lineRule="exact"/>
        <w:ind w:firstLine="640"/>
        <w:rPr>
          <w:rFonts w:eastAsia="仿宋_GB2312" w:cs="仿宋_GB2312"/>
          <w:sz w:val="32"/>
          <w:szCs w:val="32"/>
        </w:rPr>
      </w:pPr>
      <w:r>
        <w:rPr>
          <w:rFonts w:hint="eastAsia" w:eastAsia="仿宋_GB2312" w:cs="仿宋_GB2312"/>
          <w:sz w:val="32"/>
          <w:szCs w:val="32"/>
        </w:rPr>
        <w:t>208（类）05（款）05（项）机关事业部门离退休：支出决算为40.38万元，完成预算100%，决算数等于预算数。</w:t>
      </w:r>
    </w:p>
    <w:p w14:paraId="528EA2D9">
      <w:pPr>
        <w:spacing w:line="600" w:lineRule="exact"/>
        <w:ind w:firstLine="640"/>
        <w:rPr>
          <w:rFonts w:eastAsia="仿宋_GB2312" w:cs="仿宋_GB2312"/>
          <w:sz w:val="32"/>
          <w:szCs w:val="32"/>
        </w:rPr>
      </w:pPr>
    </w:p>
    <w:p w14:paraId="450A3AB2">
      <w:pPr>
        <w:spacing w:line="600" w:lineRule="exact"/>
        <w:ind w:firstLine="640"/>
        <w:rPr>
          <w:rFonts w:eastAsia="仿宋_GB2312" w:cs="仿宋_GB2312"/>
          <w:sz w:val="32"/>
          <w:szCs w:val="32"/>
        </w:rPr>
      </w:pPr>
      <w:r>
        <w:rPr>
          <w:rFonts w:hint="eastAsia" w:eastAsia="仿宋_GB2312" w:cs="仿宋_GB2312"/>
          <w:sz w:val="32"/>
          <w:szCs w:val="32"/>
        </w:rPr>
        <w:t>208（类）05（款）06（项）机关事业部门职业年金缴费支出：支出决算为36.6万元，完成预算100%，决算数等于预算数。</w:t>
      </w:r>
    </w:p>
    <w:p w14:paraId="347A8CAA">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卫生健康</w:t>
      </w:r>
    </w:p>
    <w:p w14:paraId="5C7332F8">
      <w:pPr>
        <w:spacing w:line="600" w:lineRule="exact"/>
        <w:ind w:firstLine="640"/>
        <w:rPr>
          <w:rFonts w:eastAsia="仿宋_GB2312" w:cs="仿宋_GB2312"/>
          <w:sz w:val="32"/>
          <w:szCs w:val="32"/>
        </w:rPr>
      </w:pPr>
      <w:r>
        <w:rPr>
          <w:rFonts w:hint="eastAsia" w:eastAsia="仿宋_GB2312" w:cs="仿宋_GB2312"/>
          <w:sz w:val="32"/>
          <w:szCs w:val="32"/>
        </w:rPr>
        <w:t>210（类）11（款）01（项）行政部门医疗：支出决算为6.83万元，完成预算100%，决算数等于预算数。</w:t>
      </w:r>
    </w:p>
    <w:p w14:paraId="4A772C6F">
      <w:pPr>
        <w:spacing w:line="600" w:lineRule="exact"/>
        <w:ind w:firstLine="640"/>
        <w:rPr>
          <w:rFonts w:eastAsia="仿宋_GB2312" w:cs="仿宋_GB2312"/>
          <w:sz w:val="32"/>
          <w:szCs w:val="32"/>
        </w:rPr>
      </w:pPr>
      <w:r>
        <w:rPr>
          <w:rFonts w:hint="eastAsia" w:eastAsia="仿宋_GB2312" w:cs="仿宋_GB2312"/>
          <w:sz w:val="32"/>
          <w:szCs w:val="32"/>
        </w:rPr>
        <w:t>210（类）11（款）02（项）事业部门医疗：支出决算为14.8万元，完成预算100%，决算数等于预算数。</w:t>
      </w:r>
    </w:p>
    <w:p w14:paraId="58F07E15">
      <w:pPr>
        <w:spacing w:line="600" w:lineRule="exact"/>
        <w:ind w:firstLine="640"/>
        <w:rPr>
          <w:rFonts w:eastAsia="仿宋_GB2312" w:cs="仿宋_GB2312"/>
          <w:sz w:val="32"/>
          <w:szCs w:val="32"/>
        </w:rPr>
      </w:pPr>
      <w:r>
        <w:rPr>
          <w:rFonts w:hint="eastAsia" w:eastAsia="仿宋_GB2312" w:cs="仿宋_GB2312"/>
          <w:sz w:val="32"/>
          <w:szCs w:val="32"/>
        </w:rPr>
        <w:t>210（类）11（款）03（项）公务员医疗补助：支出决算为12.1万元，完成预算100%，决算数等于预算数。</w:t>
      </w:r>
    </w:p>
    <w:p w14:paraId="1D21CAB7">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商业服务业等支出</w:t>
      </w:r>
    </w:p>
    <w:p w14:paraId="346A9537">
      <w:pPr>
        <w:spacing w:line="600" w:lineRule="exact"/>
        <w:ind w:firstLine="640"/>
        <w:rPr>
          <w:rFonts w:eastAsia="仿宋_GB2312" w:cs="仿宋_GB2312"/>
          <w:sz w:val="32"/>
          <w:szCs w:val="32"/>
        </w:rPr>
      </w:pPr>
      <w:r>
        <w:rPr>
          <w:rFonts w:hint="eastAsia" w:eastAsia="仿宋_GB2312" w:cs="仿宋_GB2312"/>
          <w:sz w:val="32"/>
          <w:szCs w:val="32"/>
        </w:rPr>
        <w:t>216（类）02（款）99（项）其他商业流通事务支出：支出决算为174.69万元，完成预算100%，决算数等于预算数。</w:t>
      </w:r>
    </w:p>
    <w:p w14:paraId="77EB2470">
      <w:pPr>
        <w:spacing w:line="600" w:lineRule="exact"/>
        <w:ind w:firstLine="640"/>
        <w:rPr>
          <w:rFonts w:eastAsia="仿宋_GB2312" w:cs="仿宋_GB2312"/>
          <w:sz w:val="32"/>
          <w:szCs w:val="32"/>
        </w:rPr>
      </w:pPr>
      <w:r>
        <w:rPr>
          <w:rFonts w:hint="eastAsia" w:eastAsia="仿宋_GB2312" w:cs="仿宋_GB2312"/>
          <w:sz w:val="32"/>
          <w:szCs w:val="32"/>
        </w:rPr>
        <w:t>216（类）06（款）99（项）其他涉外发展服务支出：支出决算为24.09万元，完成预算100%，决算数等于预算数。</w:t>
      </w:r>
    </w:p>
    <w:p w14:paraId="12E1C524">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住房保障支出</w:t>
      </w:r>
    </w:p>
    <w:p w14:paraId="7A54B1A5">
      <w:pPr>
        <w:spacing w:line="600" w:lineRule="exact"/>
        <w:ind w:firstLine="640"/>
        <w:rPr>
          <w:rFonts w:eastAsia="仿宋_GB2312" w:cs="仿宋_GB2312"/>
          <w:sz w:val="32"/>
          <w:szCs w:val="32"/>
        </w:rPr>
      </w:pPr>
      <w:r>
        <w:rPr>
          <w:rFonts w:hint="eastAsia" w:eastAsia="仿宋_GB2312" w:cs="仿宋_GB2312"/>
          <w:sz w:val="32"/>
          <w:szCs w:val="32"/>
        </w:rPr>
        <w:t>221（类）02（款）01（项）住房公积金：支出决算为33.63万元，完成预算100%，决算数等于预算数。</w:t>
      </w:r>
    </w:p>
    <w:p w14:paraId="1E2FF04B">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其他支出</w:t>
      </w:r>
    </w:p>
    <w:p w14:paraId="30222FB5">
      <w:pPr>
        <w:spacing w:line="600" w:lineRule="exact"/>
        <w:ind w:firstLine="640"/>
        <w:rPr>
          <w:rFonts w:eastAsia="仿宋_GB2312" w:cs="仿宋_GB2312"/>
          <w:sz w:val="32"/>
          <w:szCs w:val="32"/>
        </w:rPr>
      </w:pPr>
      <w:r>
        <w:rPr>
          <w:rFonts w:hint="eastAsia" w:eastAsia="仿宋_GB2312" w:cs="仿宋_GB2312"/>
          <w:sz w:val="32"/>
          <w:szCs w:val="32"/>
        </w:rPr>
        <w:t>229（类）99（款）99（项）住房公积金：支出决算为520万元，完成预算100%，决算数等于预算数。</w:t>
      </w:r>
    </w:p>
    <w:p w14:paraId="2A8D1104">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（注：仅罗列本部门涉及的全部功能分类科目，至项级。上述“预算”口径为全年预算数。增减变动原因为决算数&lt;项级&gt;和全年预算数&lt;项级&gt;比较，与预算数持平可以不写原因）</w:t>
      </w:r>
    </w:p>
    <w:p w14:paraId="00D28D44">
      <w:pPr>
        <w:spacing w:line="600" w:lineRule="exact"/>
        <w:ind w:firstLine="640"/>
        <w:rPr>
          <w:rFonts w:eastAsia="仿宋_GB2312" w:cs="仿宋_GB2312"/>
          <w:sz w:val="32"/>
          <w:szCs w:val="32"/>
        </w:rPr>
      </w:pPr>
    </w:p>
    <w:p w14:paraId="28820FC5">
      <w:pPr>
        <w:tabs>
          <w:tab w:val="right" w:pos="8306"/>
        </w:tabs>
        <w:spacing w:line="600" w:lineRule="exact"/>
        <w:ind w:firstLine="640"/>
        <w:outlineLvl w:val="1"/>
        <w:rPr>
          <w:rStyle w:val="33"/>
          <w:rFonts w:ascii="Times New Roman" w:hAnsi="Times New Roman"/>
        </w:rPr>
      </w:pPr>
      <w:bookmarkStart w:id="42" w:name="_Toc15396608"/>
      <w:bookmarkStart w:id="43" w:name="_Toc15377214"/>
      <w:r>
        <w:rPr>
          <w:rFonts w:hint="eastAsia" w:eastAsia="黑体"/>
          <w:sz w:val="32"/>
          <w:szCs w:val="32"/>
        </w:rPr>
        <w:t>六</w:t>
      </w:r>
      <w:r>
        <w:rPr>
          <w:rFonts w:hint="eastAsia" w:eastAsia="黑体"/>
          <w:b/>
          <w:sz w:val="32"/>
          <w:szCs w:val="32"/>
        </w:rPr>
        <w:t>、一</w:t>
      </w:r>
      <w:r>
        <w:rPr>
          <w:rStyle w:val="33"/>
          <w:rFonts w:hint="eastAsia" w:ascii="Times New Roman" w:hAnsi="Times New Roman" w:eastAsia="黑体"/>
          <w:b w:val="0"/>
        </w:rPr>
        <w:t>般公共预算财政拨款基本支出决算情况说明</w:t>
      </w:r>
      <w:bookmarkEnd w:id="42"/>
      <w:bookmarkEnd w:id="43"/>
      <w:r>
        <w:rPr>
          <w:rStyle w:val="33"/>
          <w:rFonts w:ascii="Times New Roman" w:hAnsi="Times New Roman" w:eastAsia="黑体"/>
          <w:b w:val="0"/>
        </w:rPr>
        <w:tab/>
      </w:r>
    </w:p>
    <w:p w14:paraId="20A3B689">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2024年度一般公共预算财政拨款基本支出523.31万元，其中：</w:t>
      </w:r>
    </w:p>
    <w:p w14:paraId="439E6D10">
      <w:pPr>
        <w:spacing w:line="600" w:lineRule="exact"/>
        <w:ind w:firstLine="640"/>
        <w:rPr>
          <w:rFonts w:eastAsia="仿宋_GB2312" w:cs="仿宋_GB2312"/>
          <w:sz w:val="32"/>
          <w:szCs w:val="32"/>
        </w:rPr>
      </w:pPr>
      <w:r>
        <w:rPr>
          <w:rFonts w:hint="eastAsia" w:eastAsia="仿宋_GB2312" w:cs="仿宋_GB2312"/>
          <w:sz w:val="32"/>
          <w:szCs w:val="32"/>
        </w:rPr>
        <w:t>人员经费482.69万元，主要包括：基本工资93.11万元、津贴补贴34.33万元、奖金36.92万元、伙食补助费0万元、绩效工资124.68万元、机关事业部门基本养老保险缴费40.38万元、职业年金缴费36.6万元、其他社会保障缴费1.47万元、其他工资福利支出43.26万元、离休费0万元、退休费0万元、抚恤金0万元、生活补助4.04万元、医疗费补助0.54万元、奖励金0万元、住房公积金33.63万元、其他对个人和家庭的补助支出0万元、职工基本医疗保险缴费21.63万元、公务员医疗补助缴费12.1万元等。</w:t>
      </w:r>
      <w:r>
        <w:rPr>
          <w:rFonts w:hint="eastAsia" w:eastAsia="仿宋_GB2312" w:cs="仿宋_GB2312"/>
          <w:sz w:val="32"/>
          <w:szCs w:val="32"/>
        </w:rPr>
        <w:br w:type="textWrapping"/>
      </w:r>
      <w:r>
        <w:rPr>
          <w:rFonts w:hint="eastAsia" w:eastAsia="仿宋_GB2312" w:cs="仿宋_GB2312"/>
          <w:sz w:val="32"/>
          <w:szCs w:val="32"/>
        </w:rPr>
        <w:t>　　公用经费40.62万元，主要包括：办公费8万元、印刷费0.24万元、咨询费0万元、手续费0万元、水费0.16万元、电费1.72万元、邮电费3.29万元、取暖费0万元、物业管理费0万元、差旅费7.6万元、因公出国（境）费用0万元、维修（护）费0.29万元、租赁费0万元、会议费0万元、培训费0万元、公务接待费3.8万元、劳务费0万元、委托业务费2.09万元、工会经费6.39万元、福利费0万元、公务用车运行维护费1.4万元、其他交通费5.42万元、税金及附加费用0万元、其他商品和服务支出0.22万元、办公设备购置0万元、专用设备购置0万元、信息网络及软件购置更新0万元、其他资本性支出0万元等。</w:t>
      </w:r>
    </w:p>
    <w:p w14:paraId="2FCAE55A">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14:paraId="15CD8A76">
      <w:pPr>
        <w:spacing w:line="600" w:lineRule="exact"/>
        <w:ind w:firstLine="640"/>
        <w:rPr>
          <w:rFonts w:eastAsia="仿宋_GB2312" w:cs="仿宋_GB2312"/>
          <w:sz w:val="32"/>
          <w:szCs w:val="32"/>
        </w:rPr>
      </w:pPr>
    </w:p>
    <w:p w14:paraId="09457F67">
      <w:pPr>
        <w:spacing w:line="600" w:lineRule="exact"/>
        <w:ind w:firstLine="640"/>
        <w:outlineLvl w:val="1"/>
        <w:rPr>
          <w:rStyle w:val="33"/>
          <w:rFonts w:ascii="Times New Roman" w:hAnsi="Times New Roman" w:eastAsia="黑体"/>
          <w:b w:val="0"/>
        </w:rPr>
      </w:pPr>
      <w:bookmarkStart w:id="44" w:name="_Toc15377215"/>
      <w:bookmarkStart w:id="45" w:name="_Toc15396609"/>
      <w:r>
        <w:rPr>
          <w:rFonts w:hint="eastAsia" w:eastAsia="黑体"/>
          <w:sz w:val="32"/>
          <w:szCs w:val="32"/>
        </w:rPr>
        <w:t>七、</w:t>
      </w:r>
      <w:r>
        <w:rPr>
          <w:rStyle w:val="33"/>
          <w:rFonts w:hint="eastAsia" w:ascii="Times New Roman" w:hAnsi="Times New Roman" w:eastAsia="黑体"/>
          <w:b w:val="0"/>
        </w:rPr>
        <w:t>财政拨款</w:t>
      </w:r>
      <w:r>
        <w:rPr>
          <w:rStyle w:val="33"/>
          <w:rFonts w:hint="eastAsia" w:ascii="Times New Roman" w:hAnsi="Times New Roman" w:eastAsia="黑体"/>
        </w:rPr>
        <w:t>“</w:t>
      </w:r>
      <w:r>
        <w:rPr>
          <w:rStyle w:val="33"/>
          <w:rFonts w:hint="eastAsia" w:ascii="Times New Roman" w:hAnsi="Times New Roman" w:eastAsia="黑体"/>
          <w:b w:val="0"/>
        </w:rPr>
        <w:t>三公”经费支出决算情况说明</w:t>
      </w:r>
      <w:bookmarkEnd w:id="44"/>
      <w:bookmarkEnd w:id="45"/>
    </w:p>
    <w:p w14:paraId="4A353E2D">
      <w:pPr>
        <w:spacing w:line="600" w:lineRule="exact"/>
        <w:ind w:firstLine="643" w:firstLineChars="200"/>
        <w:outlineLvl w:val="2"/>
        <w:rPr>
          <w:rFonts w:eastAsia="楷体_GB2312" w:cs="楷体_GB2312"/>
          <w:b/>
          <w:sz w:val="32"/>
          <w:szCs w:val="32"/>
        </w:rPr>
      </w:pPr>
      <w:bookmarkStart w:id="46" w:name="_Toc15377216"/>
      <w:r>
        <w:rPr>
          <w:rFonts w:hint="eastAsia" w:eastAsia="楷体_GB2312" w:cs="楷体_GB2312"/>
          <w:b/>
          <w:sz w:val="32"/>
          <w:szCs w:val="32"/>
        </w:rPr>
        <w:t>（一）“三公”经费财政拨款支出决算总体情况说明</w:t>
      </w:r>
      <w:bookmarkEnd w:id="46"/>
    </w:p>
    <w:p w14:paraId="779F212E">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2024年度“三公”经费财政拨款支出决算为5.99万元，完成预算100%，较上年度增加1.11万元，增长22.75%。决算数等于预算数。</w:t>
      </w:r>
      <w:r>
        <w:rPr>
          <w:rFonts w:hint="eastAsia" w:eastAsia="仿宋_GB2312" w:cs="仿宋_GB2312"/>
          <w:b/>
          <w:bCs/>
          <w:sz w:val="32"/>
          <w:szCs w:val="32"/>
        </w:rPr>
        <w:t>（注：上述“预算”口径为全年预算数，包括一般公共预算和政府性基金预算财政拨款支出决算情况）</w:t>
      </w:r>
    </w:p>
    <w:p w14:paraId="2EC8E3F0">
      <w:pPr>
        <w:spacing w:line="600" w:lineRule="exact"/>
        <w:ind w:firstLine="643" w:firstLineChars="200"/>
        <w:outlineLvl w:val="2"/>
        <w:rPr>
          <w:rFonts w:eastAsia="楷体_GB2312" w:cs="楷体_GB2312"/>
          <w:b/>
          <w:sz w:val="32"/>
          <w:szCs w:val="32"/>
        </w:rPr>
      </w:pPr>
      <w:bookmarkStart w:id="47" w:name="_Toc15377217"/>
      <w:r>
        <w:rPr>
          <w:rFonts w:hint="eastAsia" w:eastAsia="楷体_GB2312" w:cs="楷体_GB2312"/>
          <w:b/>
          <w:sz w:val="32"/>
          <w:szCs w:val="32"/>
        </w:rPr>
        <w:t>（二）“三公”经费财政拨款支出决算具体情况说明</w:t>
      </w:r>
      <w:bookmarkEnd w:id="47"/>
    </w:p>
    <w:p w14:paraId="6BDD3C56">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2024年度“三公”经费财政拨款支出决算中，因公出国（境）费支出决算0万元，占0%；公务用车购置及运行维护费支出决算1.4万元，占23.27%；公务接待费支出决算4.59万元，占76.73%。具体情况如下：</w:t>
      </w:r>
    </w:p>
    <w:p w14:paraId="21609A6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5408" behindDoc="0" locked="0" layoutInCell="1" allowOverlap="1">
            <wp:simplePos x="0" y="0"/>
            <wp:positionH relativeFrom="column">
              <wp:posOffset>72390</wp:posOffset>
            </wp:positionH>
            <wp:positionV relativeFrom="paragraph">
              <wp:posOffset>51435</wp:posOffset>
            </wp:positionV>
            <wp:extent cx="5140325" cy="2585720"/>
            <wp:effectExtent l="4445" t="4445" r="17780" b="19685"/>
            <wp:wrapNone/>
            <wp:docPr id="4" name="图表 4"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20FBE94">
      <w:pPr>
        <w:spacing w:line="600" w:lineRule="exact"/>
        <w:ind w:firstLine="640"/>
        <w:rPr>
          <w:rFonts w:ascii="仿宋_GB2312" w:hAnsi="仿宋_GB2312" w:eastAsia="仿宋_GB2312" w:cs="仿宋_GB2312"/>
          <w:sz w:val="32"/>
          <w:szCs w:val="32"/>
        </w:rPr>
      </w:pPr>
    </w:p>
    <w:p w14:paraId="010EFBDA">
      <w:pPr>
        <w:spacing w:line="600" w:lineRule="exact"/>
        <w:ind w:firstLine="640"/>
        <w:rPr>
          <w:rFonts w:ascii="仿宋_GB2312" w:hAnsi="仿宋_GB2312" w:eastAsia="仿宋_GB2312" w:cs="仿宋_GB2312"/>
          <w:sz w:val="32"/>
          <w:szCs w:val="32"/>
        </w:rPr>
      </w:pPr>
    </w:p>
    <w:p w14:paraId="36E083A2">
      <w:pPr>
        <w:spacing w:line="600" w:lineRule="exact"/>
        <w:ind w:firstLine="640"/>
        <w:rPr>
          <w:rFonts w:ascii="仿宋_GB2312" w:hAnsi="仿宋_GB2312" w:eastAsia="仿宋_GB2312" w:cs="仿宋_GB2312"/>
          <w:sz w:val="32"/>
          <w:szCs w:val="32"/>
        </w:rPr>
      </w:pPr>
    </w:p>
    <w:p w14:paraId="5E26A27C">
      <w:pPr>
        <w:spacing w:line="600" w:lineRule="exact"/>
        <w:ind w:firstLine="640"/>
        <w:rPr>
          <w:rFonts w:eastAsia="仿宋_GB2312" w:cs="仿宋_GB2312"/>
          <w:sz w:val="32"/>
          <w:szCs w:val="32"/>
        </w:rPr>
      </w:pPr>
    </w:p>
    <w:p w14:paraId="0B34630A">
      <w:pPr>
        <w:spacing w:line="600" w:lineRule="exact"/>
        <w:ind w:firstLine="640"/>
        <w:rPr>
          <w:rFonts w:eastAsia="仿宋_GB2312" w:cs="仿宋_GB2312"/>
          <w:sz w:val="32"/>
          <w:szCs w:val="32"/>
        </w:rPr>
      </w:pPr>
    </w:p>
    <w:p w14:paraId="73C83100">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620CB9F2">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全年安排因公出国（境）团组0次，出国（境）0人。因公出国（境）支出决算比2023年增加0万元，增长0%。</w:t>
      </w:r>
    </w:p>
    <w:p w14:paraId="1D4656F4">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1.4万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公务用车购置及运行维护费支出决算比2023年度减少0.15万元下降9.68%。主要原因是定期维保，未到维保时限因此费用少。</w:t>
      </w:r>
    </w:p>
    <w:p w14:paraId="2E82808B">
      <w:pPr>
        <w:spacing w:line="600" w:lineRule="exact"/>
        <w:ind w:firstLine="640"/>
        <w:rPr>
          <w:rFonts w:eastAsia="仿宋_GB2312" w:cs="仿宋_GB2312"/>
          <w:sz w:val="32"/>
          <w:szCs w:val="32"/>
        </w:rPr>
      </w:pPr>
      <w:r>
        <w:rPr>
          <w:rFonts w:hint="eastAsia" w:eastAsia="仿宋_GB2312" w:cs="仿宋_GB2312"/>
          <w:sz w:val="32"/>
          <w:szCs w:val="32"/>
        </w:rPr>
        <w:t>其中：公务用车购置支出0万元。全年按规定更新购置公务用车0辆，其中：轿车0辆、金额0万元，越野车0辆、金额0万元，载客汽车0辆、金额0万元。截至2024年12月31日，部门共有公务用车1辆，其中：轿车1辆、越野车0辆、载客汽车0辆。</w:t>
      </w:r>
    </w:p>
    <w:p w14:paraId="5F8A2D49">
      <w:pPr>
        <w:spacing w:line="600" w:lineRule="exact"/>
        <w:ind w:firstLine="640"/>
        <w:rPr>
          <w:rFonts w:eastAsia="仿宋_GB2312" w:cs="仿宋_GB2312"/>
          <w:sz w:val="32"/>
          <w:szCs w:val="32"/>
        </w:rPr>
      </w:pPr>
      <w:r>
        <w:rPr>
          <w:rFonts w:hint="eastAsia" w:eastAsia="仿宋_GB2312" w:cs="仿宋_GB2312"/>
          <w:sz w:val="32"/>
          <w:szCs w:val="32"/>
        </w:rPr>
        <w:t>公务用车运行维护费支出1.4万元。主要用于商贸流通企业安全检查、开展调研、紧急资料报送等工作所需的公务用车燃料费、维修费、过路过桥费、保险费等支出。</w:t>
      </w:r>
    </w:p>
    <w:p w14:paraId="52F82CB9">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4.59万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公务接待费支出决算比2023年度增加1.26万元，增长37.84%。主要原因是根据上级要求带动地方经济招商项目增加。其中：</w:t>
      </w:r>
    </w:p>
    <w:p w14:paraId="15D8A1EE">
      <w:pPr>
        <w:spacing w:line="600" w:lineRule="exact"/>
        <w:ind w:firstLine="640"/>
        <w:rPr>
          <w:rFonts w:eastAsia="仿宋_GB2312" w:cs="仿宋_GB2312"/>
          <w:sz w:val="32"/>
          <w:szCs w:val="32"/>
        </w:rPr>
      </w:pPr>
      <w:r>
        <w:rPr>
          <w:rFonts w:hint="eastAsia" w:eastAsia="仿宋_GB2312" w:cs="仿宋_GB2312"/>
          <w:sz w:val="32"/>
          <w:szCs w:val="32"/>
        </w:rPr>
        <w:t>国内公务接待支出4.59万元，主要用于来攀企业招商用餐费。国内公务接待34批次，185人次（不包括陪同人员），共计支出4.59万元，具体内容包括：</w:t>
      </w:r>
    </w:p>
    <w:tbl>
      <w:tblPr>
        <w:tblStyle w:val="16"/>
        <w:tblW w:w="7807" w:type="dxa"/>
        <w:tblInd w:w="93" w:type="dxa"/>
        <w:tblLayout w:type="autofit"/>
        <w:tblCellMar>
          <w:top w:w="0" w:type="dxa"/>
          <w:left w:w="108" w:type="dxa"/>
          <w:bottom w:w="0" w:type="dxa"/>
          <w:right w:w="108" w:type="dxa"/>
        </w:tblCellMar>
      </w:tblPr>
      <w:tblGrid>
        <w:gridCol w:w="3257"/>
        <w:gridCol w:w="2133"/>
        <w:gridCol w:w="933"/>
        <w:gridCol w:w="1484"/>
      </w:tblGrid>
      <w:tr w14:paraId="2AB70F8A">
        <w:tblPrEx>
          <w:tblCellMar>
            <w:top w:w="0" w:type="dxa"/>
            <w:left w:w="108" w:type="dxa"/>
            <w:bottom w:w="0" w:type="dxa"/>
            <w:right w:w="108" w:type="dxa"/>
          </w:tblCellMar>
        </w:tblPrEx>
        <w:trPr>
          <w:trHeight w:val="480" w:hRule="atLeast"/>
        </w:trPr>
        <w:tc>
          <w:tcPr>
            <w:tcW w:w="3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8F07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接待对象</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CF5B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接待事由</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C59E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接待人数 </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2EC7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金额</w:t>
            </w:r>
          </w:p>
        </w:tc>
      </w:tr>
      <w:tr w14:paraId="7BE9F84E">
        <w:tblPrEx>
          <w:tblCellMar>
            <w:top w:w="0" w:type="dxa"/>
            <w:left w:w="108" w:type="dxa"/>
            <w:bottom w:w="0" w:type="dxa"/>
            <w:right w:w="108" w:type="dxa"/>
          </w:tblCellMar>
        </w:tblPrEx>
        <w:trPr>
          <w:trHeight w:val="450" w:hRule="atLeast"/>
        </w:trPr>
        <w:tc>
          <w:tcPr>
            <w:tcW w:w="3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BE757">
            <w:pPr>
              <w:jc w:val="center"/>
              <w:rPr>
                <w:rFonts w:ascii="宋体" w:hAnsi="宋体" w:cs="宋体"/>
                <w:b/>
                <w:bCs/>
                <w:color w:val="000000"/>
                <w:sz w:val="18"/>
                <w:szCs w:val="18"/>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D603">
            <w:pPr>
              <w:jc w:val="center"/>
              <w:rPr>
                <w:rFonts w:ascii="宋体" w:hAnsi="宋体" w:cs="宋体"/>
                <w:b/>
                <w:bCs/>
                <w:color w:val="000000"/>
                <w:sz w:val="18"/>
                <w:szCs w:val="18"/>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1007">
            <w:pPr>
              <w:jc w:val="center"/>
              <w:rPr>
                <w:rFonts w:ascii="宋体" w:hAnsi="宋体" w:cs="宋体"/>
                <w:b/>
                <w:bCs/>
                <w:color w:val="000000"/>
                <w:sz w:val="18"/>
                <w:szCs w:val="18"/>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9556">
            <w:pPr>
              <w:jc w:val="center"/>
              <w:rPr>
                <w:rFonts w:ascii="宋体" w:hAnsi="宋体" w:cs="宋体"/>
                <w:b/>
                <w:bCs/>
                <w:color w:val="000000"/>
                <w:sz w:val="18"/>
                <w:szCs w:val="18"/>
              </w:rPr>
            </w:pPr>
          </w:p>
        </w:tc>
      </w:tr>
      <w:tr w14:paraId="170B73B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0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义乌亚联国际供应链</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321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来攀考察</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0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83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0.11 </w:t>
            </w:r>
          </w:p>
        </w:tc>
      </w:tr>
      <w:tr w14:paraId="1B29B80F">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9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山东德海生物科技有限公司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17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考察宠物饲料市场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9E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BA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0.08 </w:t>
            </w:r>
          </w:p>
        </w:tc>
      </w:tr>
      <w:tr w14:paraId="2597BF5F">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D5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万基泰科</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A6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开展智慧城市建设相关项目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1B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F5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0.14 </w:t>
            </w:r>
          </w:p>
        </w:tc>
      </w:tr>
      <w:tr w14:paraId="361FC30E">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69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成都优采汇供应链科技集团</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E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考察农产品午饭</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D3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6F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0.27 </w:t>
            </w:r>
          </w:p>
        </w:tc>
      </w:tr>
      <w:tr w14:paraId="5A141642">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5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成都优采汇供应链科技集团</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21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考察农产品晚上</w:t>
            </w: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BADC">
            <w:pPr>
              <w:jc w:val="center"/>
              <w:rPr>
                <w:rFonts w:ascii="宋体" w:hAnsi="宋体" w:cs="宋体"/>
                <w:color w:val="000000"/>
                <w:sz w:val="18"/>
                <w:szCs w:val="18"/>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6A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0.27 </w:t>
            </w:r>
          </w:p>
        </w:tc>
      </w:tr>
      <w:tr w14:paraId="3C5983BA">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D4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万基泰科、万达、奥胜物业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8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对接智慧停车智慧城市建设项目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6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41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0.14 </w:t>
            </w:r>
          </w:p>
        </w:tc>
      </w:tr>
      <w:tr w14:paraId="1F40EA2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D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中建、浙江紫光</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2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中建地产、浙江紫光来攀考察</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0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8E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0.12 </w:t>
            </w:r>
          </w:p>
        </w:tc>
      </w:tr>
      <w:tr w14:paraId="7B812ED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19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北京深远、中天建设西南公司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2C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来攀招商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DB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D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0.14 </w:t>
            </w:r>
          </w:p>
        </w:tc>
      </w:tr>
      <w:tr w14:paraId="4C038A09">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6C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威亚集团、宜宾九天、戴德梁行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E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开展电商项目中午</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A44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06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0.18 </w:t>
            </w:r>
          </w:p>
        </w:tc>
      </w:tr>
      <w:tr w14:paraId="5A71DED6">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4B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威亚集团、宜宾九天、戴德梁行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C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开展电商项目晚上</w:t>
            </w: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BE5F">
            <w:pPr>
              <w:jc w:val="center"/>
              <w:rPr>
                <w:rFonts w:ascii="宋体" w:hAnsi="宋体" w:cs="宋体"/>
                <w:color w:val="000000"/>
                <w:sz w:val="18"/>
                <w:szCs w:val="18"/>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07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0.18 </w:t>
            </w:r>
          </w:p>
        </w:tc>
      </w:tr>
      <w:tr w14:paraId="10D5417B">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9C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电信、民航科学</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C0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低空经济发展情况调研</w:t>
            </w: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6C1E">
            <w:pPr>
              <w:jc w:val="center"/>
              <w:rPr>
                <w:rFonts w:ascii="宋体" w:hAnsi="宋体" w:cs="宋体"/>
                <w:color w:val="000000"/>
                <w:sz w:val="18"/>
                <w:szCs w:val="18"/>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8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0.09 </w:t>
            </w:r>
          </w:p>
        </w:tc>
      </w:tr>
      <w:tr w14:paraId="4525E6F7">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A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四川新闻网媒</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66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推广攀果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5E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4E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0.20 </w:t>
            </w:r>
          </w:p>
        </w:tc>
      </w:tr>
      <w:tr w14:paraId="7B53E263">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0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云南苏宁</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4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2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8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0.10 </w:t>
            </w:r>
          </w:p>
        </w:tc>
      </w:tr>
      <w:tr w14:paraId="5F770A3B">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D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戴德梁行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53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C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DC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0.08 </w:t>
            </w:r>
          </w:p>
        </w:tc>
      </w:tr>
      <w:tr w14:paraId="610F6A63">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6D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商业投资集团</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09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B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F2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0.12 </w:t>
            </w:r>
          </w:p>
        </w:tc>
      </w:tr>
      <w:tr w14:paraId="79F1AA80">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4C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紫光未来、中建、深远世宁科技</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0F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接待北京深远公司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A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0C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0.12 </w:t>
            </w:r>
          </w:p>
        </w:tc>
      </w:tr>
      <w:tr w14:paraId="1840B68F">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DD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万基泰科</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FC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对接智慧城市建设</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4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AB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0.30 </w:t>
            </w:r>
          </w:p>
        </w:tc>
      </w:tr>
      <w:tr w14:paraId="45D80F56">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56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北京嘉信浩远、去哪网</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2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对接东区服务业发展</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38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1F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0.11 </w:t>
            </w:r>
          </w:p>
        </w:tc>
      </w:tr>
      <w:tr w14:paraId="0BCF0754">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38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沟沟网络</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F9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对接互联网助力“花海”服务业宣传发展</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10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19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0.09 </w:t>
            </w:r>
          </w:p>
        </w:tc>
      </w:tr>
      <w:tr w14:paraId="21382F39">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DB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美的、佰利森、金乐达、三森、全友、筑星</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1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对接家装家居购新活动</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FD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51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0.17 </w:t>
            </w:r>
          </w:p>
        </w:tc>
      </w:tr>
      <w:tr w14:paraId="20C0A0F5">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6B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各花海项目企业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C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开展阿署达花海招商引资及宣传工作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7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0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0.30 </w:t>
            </w:r>
          </w:p>
        </w:tc>
      </w:tr>
      <w:tr w14:paraId="6F012B25">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C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沃特科技、金隆科技、泓发科技、金沙产业、拓航科技</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98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开展科技产业招商引资工作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9A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A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0.11 </w:t>
            </w:r>
          </w:p>
        </w:tc>
      </w:tr>
      <w:tr w14:paraId="1FF6279D">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24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家电数码补贴参与企业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58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开展数码、3C产品购新活动商户动员工作</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A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11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0.17 </w:t>
            </w:r>
          </w:p>
        </w:tc>
      </w:tr>
      <w:tr w14:paraId="6495CF48">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7E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安飞、九天微星、通号信息产业</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3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开展花海低空领域产业招商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D6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22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0.19 </w:t>
            </w:r>
          </w:p>
        </w:tc>
      </w:tr>
      <w:tr w14:paraId="438312A8">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FA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麦子智云科技、义乌文创、义乌亚联</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49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AE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26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0.10 </w:t>
            </w:r>
          </w:p>
        </w:tc>
      </w:tr>
      <w:tr w14:paraId="013A10B1">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8E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成都中联信通、北京链道科技、四川传媒</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0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炳草岗商圈街区优化更新项目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6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E1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0.22 </w:t>
            </w:r>
          </w:p>
        </w:tc>
      </w:tr>
      <w:tr w14:paraId="53E801A1">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0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中通快递成都公司、密地物流园公司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9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对接攀枝花数智交通物流产业园项目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A8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56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0.10 </w:t>
            </w:r>
          </w:p>
        </w:tc>
      </w:tr>
      <w:tr w14:paraId="5CD66685">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5C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百盛、万达、沃尔玛、华芝、餐饮协会、中置联行</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1B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对接迎新春活动打造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30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4D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0.25 </w:t>
            </w:r>
          </w:p>
        </w:tc>
      </w:tr>
      <w:tr w14:paraId="269D2ACB">
        <w:tblPrEx>
          <w:tblCellMar>
            <w:top w:w="0" w:type="dxa"/>
            <w:left w:w="108" w:type="dxa"/>
            <w:bottom w:w="0" w:type="dxa"/>
            <w:right w:w="108" w:type="dxa"/>
          </w:tblCellMar>
        </w:tblPrEx>
        <w:trPr>
          <w:trHeight w:val="440" w:hRule="atLeast"/>
        </w:trPr>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F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中国通号通信信息集团、公司</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19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贸易招商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D1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D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0.15 </w:t>
            </w:r>
          </w:p>
        </w:tc>
      </w:tr>
      <w:tr w14:paraId="29FEA9A4">
        <w:tblPrEx>
          <w:tblCellMar>
            <w:top w:w="0" w:type="dxa"/>
            <w:left w:w="108" w:type="dxa"/>
            <w:bottom w:w="0" w:type="dxa"/>
            <w:right w:w="108" w:type="dxa"/>
          </w:tblCellMar>
        </w:tblPrEx>
        <w:trPr>
          <w:trHeight w:val="420" w:hRule="atLeast"/>
        </w:trPr>
        <w:tc>
          <w:tcPr>
            <w:tcW w:w="6323" w:type="dxa"/>
            <w:gridSpan w:val="3"/>
            <w:tcBorders>
              <w:top w:val="single" w:color="000000" w:sz="4" w:space="0"/>
              <w:left w:val="single" w:color="000000" w:sz="4" w:space="0"/>
              <w:bottom w:val="single" w:color="000000" w:sz="4" w:space="0"/>
              <w:right w:val="nil"/>
            </w:tcBorders>
            <w:shd w:val="clear" w:color="auto" w:fill="auto"/>
            <w:vAlign w:val="center"/>
          </w:tcPr>
          <w:p w14:paraId="767F7F6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合计</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54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 xml:space="preserve"> 4.59 </w:t>
            </w:r>
          </w:p>
        </w:tc>
      </w:tr>
    </w:tbl>
    <w:p w14:paraId="29BECB4D">
      <w:pPr>
        <w:spacing w:line="600" w:lineRule="exact"/>
        <w:ind w:firstLine="640"/>
        <w:rPr>
          <w:rFonts w:eastAsia="仿宋_GB2312" w:cs="仿宋_GB2312"/>
          <w:sz w:val="32"/>
          <w:szCs w:val="32"/>
        </w:rPr>
      </w:pPr>
      <w:r>
        <w:rPr>
          <w:rFonts w:hint="eastAsia" w:eastAsia="仿宋_GB2312" w:cs="仿宋_GB2312"/>
          <w:sz w:val="32"/>
          <w:szCs w:val="32"/>
        </w:rPr>
        <w:t>外事接待支出0万元。外事接待0批次，0人次（不包括陪同人员），共计支出0万元。</w:t>
      </w:r>
    </w:p>
    <w:p w14:paraId="178A10D5">
      <w:pPr>
        <w:spacing w:line="600" w:lineRule="exact"/>
        <w:ind w:firstLine="640"/>
        <w:outlineLvl w:val="1"/>
        <w:rPr>
          <w:rStyle w:val="33"/>
          <w:rFonts w:ascii="Times New Roman" w:hAnsi="Times New Roman" w:eastAsia="黑体"/>
        </w:rPr>
      </w:pPr>
      <w:bookmarkStart w:id="48" w:name="_Toc15377218"/>
      <w:bookmarkStart w:id="49" w:name="_Toc15396610"/>
      <w:r>
        <w:rPr>
          <w:rFonts w:hint="eastAsia" w:eastAsia="黑体"/>
          <w:sz w:val="32"/>
          <w:szCs w:val="32"/>
        </w:rPr>
        <w:t>八、</w:t>
      </w:r>
      <w:r>
        <w:rPr>
          <w:rStyle w:val="33"/>
          <w:rFonts w:hint="eastAsia" w:ascii="Times New Roman" w:hAnsi="Times New Roman" w:eastAsia="黑体"/>
          <w:b w:val="0"/>
        </w:rPr>
        <w:t>政府性基金预算支出决算情况说明</w:t>
      </w:r>
      <w:bookmarkEnd w:id="48"/>
      <w:bookmarkEnd w:id="49"/>
    </w:p>
    <w:p w14:paraId="26B47646">
      <w:pPr>
        <w:spacing w:line="600" w:lineRule="exact"/>
        <w:ind w:firstLine="640"/>
        <w:rPr>
          <w:rFonts w:eastAsia="仿宋_GB2312" w:cs="仿宋_GB2312"/>
          <w:sz w:val="32"/>
          <w:szCs w:val="32"/>
        </w:rPr>
      </w:pPr>
      <w:r>
        <w:rPr>
          <w:rFonts w:hint="eastAsia" w:eastAsia="仿宋_GB2312" w:cs="仿宋_GB2312"/>
          <w:sz w:val="32"/>
          <w:szCs w:val="32"/>
        </w:rPr>
        <w:t>2024年度政府性基金预算财政拨款支出1433.71万元，占本年支出合计的44.36%。与2023年度相比，政府性基金预算财政拨款支出增加1433.71万元，增长100%。主要变动原因是支付2024年超长期特别国债资金。</w:t>
      </w:r>
    </w:p>
    <w:p w14:paraId="742A2C6D">
      <w:pPr>
        <w:spacing w:line="600" w:lineRule="exact"/>
        <w:ind w:left="630"/>
        <w:outlineLvl w:val="1"/>
        <w:rPr>
          <w:rStyle w:val="33"/>
          <w:rFonts w:ascii="Times New Roman" w:hAnsi="Times New Roman" w:eastAsia="黑体"/>
          <w:b w:val="0"/>
        </w:rPr>
      </w:pPr>
      <w:bookmarkStart w:id="50" w:name="_Toc15396611"/>
      <w:bookmarkStart w:id="51" w:name="_Toc15377219"/>
      <w:r>
        <w:rPr>
          <w:rStyle w:val="33"/>
          <w:rFonts w:hint="eastAsia" w:ascii="Times New Roman" w:hAnsi="Times New Roman" w:eastAsia="黑体"/>
          <w:b w:val="0"/>
        </w:rPr>
        <w:t>九、国有资本经营预算支出决算情况说明</w:t>
      </w:r>
      <w:bookmarkEnd w:id="50"/>
      <w:bookmarkEnd w:id="51"/>
    </w:p>
    <w:p w14:paraId="10F73900">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。与2023年度相比，国有资本经营预算财政拨款支出增加0万元，增长0%。</w:t>
      </w:r>
    </w:p>
    <w:p w14:paraId="775281F3">
      <w:pPr>
        <w:spacing w:line="600" w:lineRule="exact"/>
        <w:ind w:left="630"/>
        <w:outlineLvl w:val="1"/>
        <w:rPr>
          <w:rStyle w:val="33"/>
          <w:rFonts w:ascii="Times New Roman" w:hAnsi="Times New Roman" w:eastAsia="黑体"/>
          <w:b w:val="0"/>
        </w:rPr>
      </w:pPr>
      <w:bookmarkStart w:id="52" w:name="_Toc15377221"/>
      <w:bookmarkStart w:id="53" w:name="_Toc15396612"/>
      <w:r>
        <w:rPr>
          <w:rStyle w:val="33"/>
          <w:rFonts w:hint="eastAsia" w:ascii="Times New Roman" w:hAnsi="Times New Roman" w:eastAsia="黑体"/>
          <w:b w:val="0"/>
        </w:rPr>
        <w:t>十、其他重要事项的情况说明</w:t>
      </w:r>
      <w:bookmarkEnd w:id="52"/>
      <w:bookmarkEnd w:id="53"/>
    </w:p>
    <w:p w14:paraId="33503606">
      <w:pPr>
        <w:spacing w:line="600" w:lineRule="exact"/>
        <w:ind w:firstLine="643" w:firstLineChars="200"/>
        <w:outlineLvl w:val="2"/>
        <w:rPr>
          <w:rFonts w:eastAsia="楷体_GB2312" w:cs="楷体_GB2312"/>
          <w:b/>
          <w:sz w:val="32"/>
          <w:szCs w:val="32"/>
        </w:rPr>
      </w:pPr>
      <w:bookmarkStart w:id="54" w:name="_Toc15377222"/>
      <w:r>
        <w:rPr>
          <w:rFonts w:hint="eastAsia" w:eastAsia="楷体_GB2312" w:cs="楷体_GB2312"/>
          <w:b/>
          <w:sz w:val="32"/>
          <w:szCs w:val="32"/>
        </w:rPr>
        <w:t>（一）机关运行经费支出情况</w:t>
      </w:r>
      <w:bookmarkEnd w:id="54"/>
    </w:p>
    <w:p w14:paraId="273549A4">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，攀枝花市东区商务局机关运行经费支出40.62万</w:t>
      </w:r>
      <w:r>
        <w:rPr>
          <w:rFonts w:hint="eastAsia" w:eastAsia="仿宋_GB2312" w:cs="仿宋_GB2312"/>
          <w:sz w:val="32"/>
          <w:szCs w:val="32"/>
        </w:rPr>
        <w:t>元，比2023年度增加3.88万元，增长10.56%。主要原因是新增2024年汽车和家电以旧换新财政奖补资金、2024年超长期特别国债资金。</w:t>
      </w:r>
    </w:p>
    <w:p w14:paraId="4256DAAA">
      <w:pPr>
        <w:spacing w:line="600" w:lineRule="exact"/>
        <w:ind w:firstLine="643" w:firstLineChars="200"/>
        <w:outlineLvl w:val="2"/>
        <w:rPr>
          <w:rFonts w:eastAsia="楷体_GB2312" w:cs="楷体_GB2312"/>
          <w:b/>
          <w:sz w:val="32"/>
          <w:szCs w:val="32"/>
        </w:rPr>
      </w:pPr>
      <w:bookmarkStart w:id="55" w:name="_Toc15377223"/>
      <w:r>
        <w:rPr>
          <w:rFonts w:hint="eastAsia" w:eastAsia="楷体_GB2312" w:cs="楷体_GB2312"/>
          <w:b/>
          <w:sz w:val="32"/>
          <w:szCs w:val="32"/>
        </w:rPr>
        <w:t>（二）政府采购支出情况</w:t>
      </w:r>
      <w:bookmarkEnd w:id="55"/>
    </w:p>
    <w:p w14:paraId="190F8D8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攀枝花市东区商务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4B5C28D">
      <w:pPr>
        <w:spacing w:line="600" w:lineRule="exact"/>
        <w:ind w:firstLine="640"/>
        <w:rPr>
          <w:rFonts w:eastAsia="仿宋_GB2312" w:cs="仿宋_GB2312"/>
          <w:sz w:val="32"/>
          <w:szCs w:val="32"/>
        </w:rPr>
      </w:pPr>
    </w:p>
    <w:p w14:paraId="4BF53F6A">
      <w:pPr>
        <w:spacing w:line="600" w:lineRule="exact"/>
        <w:ind w:firstLine="643" w:firstLineChars="200"/>
        <w:outlineLvl w:val="2"/>
        <w:rPr>
          <w:rFonts w:eastAsia="楷体_GB2312" w:cs="楷体_GB2312"/>
          <w:b/>
          <w:sz w:val="32"/>
          <w:szCs w:val="32"/>
        </w:rPr>
      </w:pPr>
      <w:bookmarkStart w:id="56" w:name="_Toc15377224"/>
      <w:r>
        <w:rPr>
          <w:rFonts w:hint="eastAsia" w:eastAsia="楷体_GB2312" w:cs="楷体_GB2312"/>
          <w:b/>
          <w:sz w:val="32"/>
          <w:szCs w:val="32"/>
        </w:rPr>
        <w:t>（三）国有资产占有使用情况</w:t>
      </w:r>
      <w:bookmarkEnd w:id="56"/>
    </w:p>
    <w:p w14:paraId="1A8E951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截至2024年12月31日，攀枝花市东区商务局共有车辆1辆，其中：主要负责人用车0辆、机要通信用车0辆、应急保障用车0辆、其他用车1辆，其他用车主要是用于</w:t>
      </w:r>
      <w:r>
        <w:rPr>
          <w:rFonts w:hint="eastAsia" w:ascii="仿宋_GB2312" w:eastAsia="仿宋_GB2312"/>
          <w:sz w:val="32"/>
          <w:szCs w:val="32"/>
        </w:rPr>
        <w:t>商贸流通企业安全检查、开展调研、走访企业、紧急资料材料报送等工作</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14:paraId="6AFA1CB8">
      <w:pPr>
        <w:spacing w:line="600" w:lineRule="exact"/>
        <w:ind w:firstLine="640"/>
        <w:rPr>
          <w:rFonts w:eastAsia="仿宋_GB2312" w:cs="仿宋_GB2312"/>
          <w:sz w:val="32"/>
          <w:szCs w:val="32"/>
        </w:rPr>
      </w:pPr>
    </w:p>
    <w:p w14:paraId="182CB3BC">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5F7F490">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eastAsia="仿宋_GB2312"/>
          <w:sz w:val="32"/>
          <w:szCs w:val="32"/>
        </w:rPr>
        <w:t>本部门</w:t>
      </w:r>
      <w:r>
        <w:rPr>
          <w:rFonts w:hint="eastAsia" w:eastAsia="仿宋_GB2312" w:cs="仿宋_GB2312"/>
          <w:sz w:val="32"/>
          <w:szCs w:val="32"/>
        </w:rPr>
        <w:t>在2024年度预算编制阶段，组织对三产发展专项资金、服务业发展专项经费、升规升限企业奖补资金、“一事一议”招商引资奖励补助资金、2020年2-11月疫情期间电费补贴等5个项目开展了预算事前绩效评估，对5个项目编制了绩效目标，预算执行过程中，选取5个项目开展绩效监控。</w:t>
      </w:r>
    </w:p>
    <w:p w14:paraId="146DF3CF">
      <w:pPr>
        <w:spacing w:line="600" w:lineRule="exact"/>
        <w:ind w:firstLine="640"/>
        <w:rPr>
          <w:rFonts w:eastAsia="仿宋_GB2312" w:cs="仿宋_GB2312"/>
          <w:sz w:val="32"/>
          <w:szCs w:val="32"/>
        </w:rPr>
      </w:pPr>
      <w:r>
        <w:rPr>
          <w:rFonts w:hint="eastAsia" w:eastAsia="仿宋_GB2312" w:cs="仿宋_GB2312"/>
          <w:sz w:val="32"/>
          <w:szCs w:val="32"/>
        </w:rPr>
        <w:t>组织对2024年度三产发展专项资金开展绩效评价，形成预算项目绩效评价报告，自评得分为69分，加强预算绩效全过程管理，强化绩效评价结果运用。</w:t>
      </w:r>
    </w:p>
    <w:p w14:paraId="592F0837">
      <w:pPr>
        <w:spacing w:line="600" w:lineRule="exact"/>
        <w:ind w:firstLine="640"/>
        <w:rPr>
          <w:rFonts w:eastAsia="仿宋_GB2312" w:cs="仿宋_GB2312"/>
          <w:sz w:val="32"/>
          <w:szCs w:val="32"/>
        </w:rPr>
      </w:pPr>
    </w:p>
    <w:p w14:paraId="7C5B12C6">
      <w:pPr>
        <w:spacing w:line="600" w:lineRule="exact"/>
        <w:jc w:val="center"/>
        <w:outlineLvl w:val="0"/>
        <w:rPr>
          <w:rFonts w:eastAsia="黑体"/>
          <w:sz w:val="44"/>
          <w:szCs w:val="44"/>
        </w:rPr>
      </w:pPr>
      <w:bookmarkStart w:id="57" w:name="_Toc15396613"/>
      <w:bookmarkStart w:id="58" w:name="_Toc15377225"/>
      <w:r>
        <w:rPr>
          <w:rFonts w:hint="eastAsia" w:eastAsia="黑体"/>
          <w:sz w:val="44"/>
          <w:szCs w:val="44"/>
        </w:rPr>
        <w:t>第三部分  名词解释</w:t>
      </w:r>
      <w:bookmarkEnd w:id="57"/>
      <w:bookmarkEnd w:id="58"/>
    </w:p>
    <w:p w14:paraId="4CEC2C3E">
      <w:pPr>
        <w:spacing w:line="600" w:lineRule="exact"/>
        <w:jc w:val="left"/>
        <w:rPr>
          <w:b/>
          <w:sz w:val="44"/>
          <w:szCs w:val="44"/>
        </w:rPr>
      </w:pPr>
    </w:p>
    <w:p w14:paraId="1B6A192C">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1.财政拨款收入：指部门从同级财政部门取得的财政预算资金。</w:t>
      </w:r>
    </w:p>
    <w:p w14:paraId="50546DDF">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2.事业收入：指事业部门开展专业业务活动及辅助活动取得的收入。</w:t>
      </w:r>
    </w:p>
    <w:p w14:paraId="5207E964">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3.经营收入：指事业部门在专业业务活动及其辅助活动之外开展非独立核算经营活动取得的收入。</w:t>
      </w:r>
    </w:p>
    <w:p w14:paraId="149171F4">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4.其他收入：指部门取得的除上述收入以外的各项收入。 </w:t>
      </w:r>
    </w:p>
    <w:p w14:paraId="2ACD6234">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ascii="Times New Roman" w:hAnsi="Times New Roman" w:eastAsia="仿宋_GB2312" w:cs="Times New Roman"/>
          <w:sz w:val="32"/>
          <w:szCs w:val="32"/>
        </w:rPr>
        <w:t>使用非财政拨款结余（含专用结余）</w:t>
      </w:r>
      <w:r>
        <w:rPr>
          <w:rFonts w:ascii="Times New Roman" w:hAnsi="Times New Roman" w:eastAsia="仿宋_GB2312" w:cs="Times New Roman"/>
          <w:color w:val="auto"/>
          <w:sz w:val="32"/>
          <w:szCs w:val="32"/>
        </w:rPr>
        <w:t xml:space="preserve">：指事业部门使用以前年度积累的非财政拨款结余弥补当年收支差额的金额。 </w:t>
      </w:r>
    </w:p>
    <w:p w14:paraId="243D2016">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14:paraId="5804B280">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7.结余分配：指事业部门按照会计制度规定缴纳的所得税、提取的专用结余以及转入非财政拨款结余的金额等。</w:t>
      </w:r>
    </w:p>
    <w:p w14:paraId="4740AF6B">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8.年末结转和结余：指部门按有关规定结转到下年或以后年度继续使用的资金。</w:t>
      </w:r>
    </w:p>
    <w:p w14:paraId="17966A53">
      <w:pPr>
        <w:ind w:firstLine="640" w:firstLineChars="200"/>
        <w:rPr>
          <w:rFonts w:eastAsia="仿宋_GB2312"/>
          <w:sz w:val="32"/>
          <w:szCs w:val="32"/>
        </w:rPr>
      </w:pPr>
      <w:r>
        <w:rPr>
          <w:rFonts w:eastAsia="仿宋_GB2312"/>
          <w:sz w:val="32"/>
          <w:szCs w:val="32"/>
        </w:rPr>
        <w:t>9.一般公共服务</w:t>
      </w:r>
    </w:p>
    <w:p w14:paraId="0079AC73">
      <w:pPr>
        <w:ind w:firstLine="640" w:firstLineChars="200"/>
        <w:rPr>
          <w:rFonts w:eastAsia="仿宋_GB2312"/>
          <w:sz w:val="32"/>
          <w:szCs w:val="32"/>
        </w:rPr>
      </w:pPr>
      <w:r>
        <w:rPr>
          <w:rFonts w:eastAsia="仿宋_GB2312"/>
          <w:sz w:val="32"/>
          <w:szCs w:val="32"/>
        </w:rPr>
        <w:t>201（类）32（款）99（项）其他事务支出：反映除上述项目以外其他适用于中国共产党组织部门的事务支出。</w:t>
      </w:r>
    </w:p>
    <w:p w14:paraId="56D97764">
      <w:pPr>
        <w:numPr>
          <w:ilvl w:val="0"/>
          <w:numId w:val="3"/>
        </w:numPr>
        <w:ind w:firstLine="640" w:firstLineChars="200"/>
        <w:rPr>
          <w:rFonts w:eastAsia="仿宋_GB2312"/>
          <w:sz w:val="32"/>
          <w:szCs w:val="32"/>
        </w:rPr>
      </w:pPr>
      <w:r>
        <w:rPr>
          <w:rFonts w:eastAsia="仿宋_GB2312"/>
          <w:sz w:val="32"/>
          <w:szCs w:val="32"/>
        </w:rPr>
        <w:t>社会保障和就业</w:t>
      </w:r>
    </w:p>
    <w:p w14:paraId="6FC61955">
      <w:pPr>
        <w:ind w:firstLine="640" w:firstLineChars="200"/>
        <w:rPr>
          <w:rFonts w:eastAsia="仿宋_GB2312"/>
          <w:sz w:val="32"/>
          <w:szCs w:val="32"/>
        </w:rPr>
      </w:pPr>
      <w:r>
        <w:rPr>
          <w:rFonts w:eastAsia="仿宋_GB2312"/>
          <w:sz w:val="32"/>
          <w:szCs w:val="32"/>
        </w:rPr>
        <w:t>208（类）05（款）01（项）行政部门离退休：反映用于行政事业部门养老方面的支出。</w:t>
      </w:r>
    </w:p>
    <w:p w14:paraId="1DC6CDAA">
      <w:pPr>
        <w:ind w:firstLine="640" w:firstLineChars="200"/>
        <w:rPr>
          <w:rFonts w:eastAsia="仿宋_GB2312"/>
          <w:sz w:val="32"/>
          <w:szCs w:val="32"/>
        </w:rPr>
      </w:pPr>
      <w:r>
        <w:rPr>
          <w:rFonts w:eastAsia="仿宋_GB2312"/>
          <w:sz w:val="32"/>
          <w:szCs w:val="32"/>
        </w:rPr>
        <w:t>208（类）05（款）05（项）机关事业部门基本养老保险缴费支出：反映机关事业部门实施养老保险制度由部门实际缴纳的基本养老保险费支出。</w:t>
      </w:r>
    </w:p>
    <w:p w14:paraId="6ECCA8EE">
      <w:pPr>
        <w:ind w:firstLine="640" w:firstLineChars="200"/>
        <w:rPr>
          <w:rFonts w:eastAsia="仿宋_GB2312"/>
          <w:sz w:val="32"/>
          <w:szCs w:val="32"/>
        </w:rPr>
      </w:pPr>
      <w:r>
        <w:rPr>
          <w:rFonts w:eastAsia="仿宋_GB2312"/>
          <w:sz w:val="32"/>
          <w:szCs w:val="32"/>
        </w:rPr>
        <w:t>208（类）05（款）06（项）机关事业部门职业年金缴费支出：反映机关事业部门实施养老保险制度由部门实际缴纳的职业年金支出（含职业年金补记支出）。</w:t>
      </w:r>
    </w:p>
    <w:p w14:paraId="3C7998D0">
      <w:pPr>
        <w:numPr>
          <w:ilvl w:val="0"/>
          <w:numId w:val="3"/>
        </w:numPr>
        <w:ind w:firstLine="640" w:firstLineChars="200"/>
        <w:rPr>
          <w:rFonts w:eastAsia="仿宋_GB2312"/>
          <w:sz w:val="32"/>
          <w:szCs w:val="32"/>
        </w:rPr>
      </w:pPr>
      <w:r>
        <w:rPr>
          <w:rFonts w:eastAsia="仿宋_GB2312"/>
          <w:sz w:val="32"/>
          <w:szCs w:val="32"/>
        </w:rPr>
        <w:t>卫生健康</w:t>
      </w:r>
    </w:p>
    <w:p w14:paraId="1FE84233">
      <w:pPr>
        <w:ind w:firstLine="640" w:firstLineChars="200"/>
        <w:rPr>
          <w:rFonts w:eastAsia="仿宋_GB2312"/>
          <w:sz w:val="32"/>
          <w:szCs w:val="32"/>
        </w:rPr>
      </w:pPr>
      <w:r>
        <w:rPr>
          <w:rFonts w:eastAsia="仿宋_GB2312"/>
          <w:sz w:val="32"/>
          <w:szCs w:val="32"/>
        </w:rPr>
        <w:t>210（类）11（款）01（项）行政部门医疗：</w:t>
      </w:r>
      <w:r>
        <w:rPr>
          <w:rFonts w:eastAsia="仿宋_GB2312"/>
          <w:color w:val="000000"/>
          <w:sz w:val="32"/>
          <w:szCs w:val="32"/>
        </w:rPr>
        <w:t>反映财政部门安排的行政部门（包括实行公务员管理的事业部门，下同）基本医疗保险缴费经费，未参加医疗保险的行政部门的公费医疗经费，按国家规定享受离休人员，红军老战士待遇人员的医疗经费</w:t>
      </w:r>
      <w:r>
        <w:rPr>
          <w:rFonts w:eastAsia="仿宋_GB2312"/>
          <w:sz w:val="32"/>
          <w:szCs w:val="32"/>
        </w:rPr>
        <w:t>。</w:t>
      </w:r>
    </w:p>
    <w:p w14:paraId="2C4061D1">
      <w:pPr>
        <w:ind w:firstLine="640" w:firstLineChars="200"/>
        <w:rPr>
          <w:rFonts w:eastAsia="仿宋_GB2312"/>
          <w:sz w:val="32"/>
          <w:szCs w:val="32"/>
        </w:rPr>
      </w:pPr>
      <w:r>
        <w:rPr>
          <w:rFonts w:eastAsia="仿宋_GB2312"/>
          <w:sz w:val="32"/>
          <w:szCs w:val="32"/>
        </w:rPr>
        <w:t>210（类）11（款）03（项）公务员医疗补助：</w:t>
      </w:r>
      <w:r>
        <w:rPr>
          <w:rFonts w:eastAsia="仿宋_GB2312"/>
          <w:color w:val="000000"/>
          <w:sz w:val="32"/>
          <w:szCs w:val="32"/>
        </w:rPr>
        <w:t>反映财政部门安排的公务员医疗补助经费</w:t>
      </w:r>
      <w:r>
        <w:rPr>
          <w:rFonts w:eastAsia="仿宋_GB2312"/>
          <w:sz w:val="32"/>
          <w:szCs w:val="32"/>
        </w:rPr>
        <w:t>。</w:t>
      </w:r>
    </w:p>
    <w:p w14:paraId="3CF546BF">
      <w:pPr>
        <w:ind w:firstLine="739" w:firstLineChars="231"/>
        <w:rPr>
          <w:rFonts w:eastAsia="仿宋_GB2312"/>
          <w:sz w:val="32"/>
          <w:szCs w:val="32"/>
        </w:rPr>
      </w:pPr>
      <w:r>
        <w:rPr>
          <w:rFonts w:eastAsia="仿宋_GB2312"/>
          <w:sz w:val="32"/>
          <w:szCs w:val="32"/>
        </w:rPr>
        <w:t>210（类）11（款）99（项）其他行政事业部门医疗支出：反映除上述项目以外的用于其他行政事业部门医疗方面的支出。</w:t>
      </w:r>
    </w:p>
    <w:p w14:paraId="28A7F397">
      <w:pPr>
        <w:ind w:firstLine="739" w:firstLineChars="231"/>
        <w:rPr>
          <w:rFonts w:eastAsia="仿宋_GB2312"/>
          <w:sz w:val="32"/>
          <w:szCs w:val="32"/>
        </w:rPr>
      </w:pPr>
      <w:r>
        <w:rPr>
          <w:rFonts w:eastAsia="仿宋_GB2312"/>
          <w:sz w:val="32"/>
          <w:szCs w:val="32"/>
        </w:rPr>
        <w:t>210（类）15（款）01（项）行政运行：反映行政部门(包括实行公务员管理的事业部门）的基本支出。</w:t>
      </w:r>
    </w:p>
    <w:p w14:paraId="4E38B867">
      <w:pPr>
        <w:ind w:firstLine="739" w:firstLineChars="231"/>
        <w:rPr>
          <w:rFonts w:eastAsia="仿宋_GB2312"/>
          <w:sz w:val="32"/>
          <w:szCs w:val="32"/>
        </w:rPr>
      </w:pPr>
      <w:r>
        <w:rPr>
          <w:rFonts w:eastAsia="仿宋_GB2312"/>
          <w:sz w:val="32"/>
          <w:szCs w:val="32"/>
        </w:rPr>
        <w:t>210（类）15（款）06（项）医疗保障经办事务：反映医保基金核算、精算、参保登记、权益记录、转移接续等医疗保障经办支出。</w:t>
      </w:r>
    </w:p>
    <w:p w14:paraId="71072B5F">
      <w:pPr>
        <w:ind w:firstLine="320" w:firstLineChars="100"/>
        <w:rPr>
          <w:rFonts w:eastAsia="仿宋_GB2312"/>
          <w:sz w:val="32"/>
          <w:szCs w:val="32"/>
        </w:rPr>
      </w:pPr>
      <w:r>
        <w:rPr>
          <w:rFonts w:eastAsia="仿宋_GB2312"/>
          <w:sz w:val="32"/>
          <w:szCs w:val="32"/>
        </w:rPr>
        <w:t>210（类）15（款）99（项）其他医疗保障管理事务支出：反映除上述项目以外的其他用于医疗保障管理事务方面的支出。</w:t>
      </w:r>
    </w:p>
    <w:p w14:paraId="3B17C131">
      <w:pPr>
        <w:numPr>
          <w:ilvl w:val="0"/>
          <w:numId w:val="3"/>
        </w:numPr>
        <w:ind w:firstLine="640" w:firstLineChars="200"/>
        <w:rPr>
          <w:rFonts w:eastAsia="仿宋_GB2312"/>
          <w:sz w:val="32"/>
          <w:szCs w:val="32"/>
        </w:rPr>
      </w:pPr>
      <w:r>
        <w:rPr>
          <w:rFonts w:eastAsia="仿宋_GB2312"/>
          <w:sz w:val="32"/>
          <w:szCs w:val="32"/>
        </w:rPr>
        <w:t>住房保障</w:t>
      </w:r>
    </w:p>
    <w:p w14:paraId="195B3B03">
      <w:pPr>
        <w:ind w:firstLine="739" w:firstLineChars="231"/>
        <w:rPr>
          <w:rFonts w:eastAsia="仿宋_GB2312"/>
          <w:sz w:val="32"/>
          <w:szCs w:val="32"/>
        </w:rPr>
      </w:pPr>
      <w:r>
        <w:rPr>
          <w:rFonts w:eastAsia="仿宋_GB2312"/>
          <w:sz w:val="32"/>
          <w:szCs w:val="32"/>
        </w:rPr>
        <w:t>221（类）02（款）01（项）住房公积金</w:t>
      </w:r>
      <w:r>
        <w:rPr>
          <w:rFonts w:eastAsia="仿宋_GB2312"/>
          <w:color w:val="000000"/>
          <w:sz w:val="32"/>
          <w:szCs w:val="32"/>
        </w:rPr>
        <w:t>反映行政事业部门按人力资源和社会保障部、财政部规定的基本工资和津贴补贴以及规定比例为职工缴纳的住房公积金</w:t>
      </w:r>
      <w:r>
        <w:rPr>
          <w:rFonts w:eastAsia="仿宋_GB2312"/>
          <w:sz w:val="32"/>
          <w:szCs w:val="32"/>
        </w:rPr>
        <w:t>。</w:t>
      </w:r>
    </w:p>
    <w:p w14:paraId="5BF39D22">
      <w:pPr>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.基本支出：指为保障机构正常运转、完成日常工作任务而发生的人员支出和公用支出。</w:t>
      </w:r>
    </w:p>
    <w:p w14:paraId="2BE0004A">
      <w:pPr>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 xml:space="preserve">.项目支出：指在基本支出之外为完成特定行政任务和事业发展目标所发生的支出。 </w:t>
      </w:r>
    </w:p>
    <w:p w14:paraId="4B77CFAE">
      <w:pPr>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.经营支出：指事业部门在专业业务活动及其辅助活动之外开展非独立核算经营活动发生的支出。</w:t>
      </w:r>
    </w:p>
    <w:p w14:paraId="4E6713E9">
      <w:pPr>
        <w:pStyle w:val="3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6373B958">
      <w:pPr>
        <w:ind w:firstLine="739" w:firstLineChars="231"/>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机关运行经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9A4DCB">
      <w:pPr>
        <w:ind w:left="420" w:leftChars="200" w:firstLine="320" w:firstLineChars="100"/>
        <w:rPr>
          <w:rFonts w:eastAsia="仿宋_GB2312"/>
          <w:sz w:val="32"/>
          <w:szCs w:val="32"/>
        </w:rPr>
      </w:pPr>
    </w:p>
    <w:p w14:paraId="5FA74301">
      <w:pPr>
        <w:spacing w:line="600" w:lineRule="exact"/>
        <w:jc w:val="center"/>
        <w:rPr>
          <w:rFonts w:eastAsia="黑体"/>
          <w:sz w:val="44"/>
          <w:szCs w:val="44"/>
        </w:rPr>
      </w:pPr>
      <w:bookmarkStart w:id="59" w:name="_Toc15396614"/>
      <w:bookmarkStart w:id="60" w:name="_Toc15377226"/>
    </w:p>
    <w:p w14:paraId="2EC26A89">
      <w:pPr>
        <w:spacing w:line="600" w:lineRule="exact"/>
        <w:jc w:val="center"/>
        <w:rPr>
          <w:rFonts w:eastAsia="黑体"/>
          <w:sz w:val="44"/>
          <w:szCs w:val="44"/>
        </w:rPr>
      </w:pPr>
    </w:p>
    <w:p w14:paraId="737DD632">
      <w:pPr>
        <w:spacing w:line="600" w:lineRule="exact"/>
        <w:jc w:val="center"/>
        <w:rPr>
          <w:rStyle w:val="32"/>
          <w:rFonts w:eastAsia="黑体"/>
          <w:b w:val="0"/>
        </w:rPr>
      </w:pPr>
      <w:r>
        <w:rPr>
          <w:rFonts w:hint="eastAsia" w:eastAsia="黑体"/>
          <w:sz w:val="44"/>
          <w:szCs w:val="44"/>
        </w:rPr>
        <w:t>第四部分  附件</w:t>
      </w:r>
      <w:bookmarkEnd w:id="59"/>
    </w:p>
    <w:p w14:paraId="3D8F207E">
      <w:pPr>
        <w:spacing w:line="572" w:lineRule="exact"/>
        <w:jc w:val="left"/>
        <w:outlineLvl w:val="0"/>
        <w:rPr>
          <w:rFonts w:eastAsia="黑体" w:cs="黑体"/>
          <w:color w:val="FF0000"/>
          <w:sz w:val="32"/>
          <w:szCs w:val="32"/>
        </w:rPr>
      </w:pPr>
    </w:p>
    <w:p w14:paraId="36DE6401">
      <w:pPr>
        <w:spacing w:line="572" w:lineRule="exact"/>
        <w:jc w:val="left"/>
        <w:outlineLvl w:val="0"/>
        <w:rPr>
          <w:rFonts w:eastAsia="黑体" w:cs="方正小标宋简体"/>
          <w:sz w:val="44"/>
          <w:szCs w:val="44"/>
        </w:rPr>
      </w:pPr>
      <w:r>
        <w:rPr>
          <w:rFonts w:hint="eastAsia" w:eastAsia="黑体" w:cs="黑体"/>
          <w:sz w:val="32"/>
          <w:szCs w:val="32"/>
        </w:rPr>
        <w:t>附件1</w:t>
      </w:r>
    </w:p>
    <w:p w14:paraId="0CAF593A">
      <w:pPr>
        <w:widowControl/>
        <w:spacing w:line="578" w:lineRule="exact"/>
        <w:contextualSpacing/>
        <w:jc w:val="center"/>
        <w:rPr>
          <w:rFonts w:eastAsia="方正小标宋简体"/>
          <w:bCs/>
          <w:sz w:val="44"/>
          <w:szCs w:val="44"/>
          <w:shd w:val="clear" w:color="auto" w:fill="FFFFFF"/>
        </w:rPr>
      </w:pPr>
    </w:p>
    <w:p w14:paraId="3DFEB7E6">
      <w:pPr>
        <w:widowControl/>
        <w:spacing w:line="578" w:lineRule="exact"/>
        <w:contextualSpacing/>
        <w:jc w:val="center"/>
        <w:rPr>
          <w:rFonts w:eastAsia="仿宋_GB2312"/>
          <w:sz w:val="32"/>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6FE1C460">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43377E34">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部门（部门）基本情况</w:t>
      </w:r>
    </w:p>
    <w:p w14:paraId="42F156F3">
      <w:pPr>
        <w:spacing w:line="560" w:lineRule="exact"/>
        <w:ind w:firstLine="643" w:firstLineChars="200"/>
        <w:rPr>
          <w:szCs w:val="32"/>
        </w:rPr>
      </w:pPr>
      <w:r>
        <w:rPr>
          <w:rFonts w:hint="eastAsia" w:eastAsia="楷体_GB2312" w:cs="楷体_GB2312"/>
          <w:b/>
          <w:sz w:val="32"/>
          <w:szCs w:val="32"/>
          <w:lang w:val="zh-CN"/>
        </w:rPr>
        <w:t>（一）</w:t>
      </w:r>
      <w:r>
        <w:rPr>
          <w:rFonts w:hint="eastAsia" w:ascii="楷体_GB2312" w:eastAsia="楷体_GB2312"/>
          <w:b/>
          <w:sz w:val="32"/>
          <w:szCs w:val="32"/>
        </w:rPr>
        <w:t>主要职能。</w:t>
      </w:r>
      <w:r>
        <w:rPr>
          <w:rFonts w:eastAsia="仿宋_GB2312"/>
          <w:sz w:val="32"/>
          <w:szCs w:val="32"/>
        </w:rPr>
        <w:t>区商务局是区政府主要经济管理职能部门之一。承担全区服务业发展、内贸流通、市场体系建设、节会经济、行业监管统计、商务服务和对外商务交流合作、外向型经济发展、物流业发展等职能。负责研究开展全区的国内外贸易、对外商务交流合作和第三产业监管、内贸流通工作；对全区国内外贸易、对外商务交流合作和第三产业监管、内贸流通领域的经济运行情况进行监测和分析；承担电子商务、现代物流、现代金融、科技服务等现代服务业的促进与发展，为产业发展提供政策咨询服务；培育发展城乡市场，引导推进流通产业结构调整，推广连锁经营、物流配送、电子商务等现代化流通方式；拟定全区各类商品交易专业市场建设和商业网点布局规划；研究制定全区服务业发展战略、规划和政策措施，分析预测服务业发展态势，协调全区服务业发展的组织实施，负责攀枝花现代服务业产业园的管理；指导和监督管理在我区举办的各类展销（览）活动，组织举办节庆会展活动</w:t>
      </w:r>
      <w:r>
        <w:rPr>
          <w:rFonts w:eastAsia="仿宋_GB2312" w:cs="仿宋_GB2312"/>
          <w:sz w:val="32"/>
          <w:szCs w:val="32"/>
        </w:rPr>
        <w:t>。</w:t>
      </w:r>
    </w:p>
    <w:p w14:paraId="3FA17BBF">
      <w:pPr>
        <w:widowControl/>
        <w:adjustRightInd w:val="0"/>
        <w:snapToGrid w:val="0"/>
        <w:spacing w:line="578" w:lineRule="exact"/>
        <w:ind w:firstLine="643" w:firstLineChars="200"/>
        <w:contextualSpacing/>
        <w:jc w:val="left"/>
        <w:rPr>
          <w:szCs w:val="32"/>
        </w:rPr>
      </w:pPr>
      <w:r>
        <w:rPr>
          <w:rFonts w:eastAsia="楷体_GB2312" w:cs="楷体_GB2312"/>
          <w:b/>
          <w:sz w:val="32"/>
          <w:szCs w:val="32"/>
          <w:lang w:val="zh-CN"/>
        </w:rPr>
        <w:t>（二）</w:t>
      </w:r>
      <w:r>
        <w:rPr>
          <w:rFonts w:ascii="楷体_GB2312" w:eastAsia="楷体_GB2312"/>
          <w:b/>
          <w:sz w:val="32"/>
          <w:szCs w:val="32"/>
        </w:rPr>
        <w:t>机构设置、人员情况。</w:t>
      </w:r>
      <w:r>
        <w:rPr>
          <w:rFonts w:eastAsia="仿宋_GB2312"/>
          <w:sz w:val="32"/>
          <w:szCs w:val="32"/>
        </w:rPr>
        <w:t>截止202</w:t>
      </w:r>
      <w:r>
        <w:rPr>
          <w:rFonts w:hint="eastAsia" w:eastAsia="仿宋_GB2312"/>
          <w:sz w:val="32"/>
          <w:szCs w:val="32"/>
        </w:rPr>
        <w:t>4</w:t>
      </w:r>
      <w:r>
        <w:rPr>
          <w:rFonts w:eastAsia="仿宋_GB2312"/>
          <w:sz w:val="32"/>
          <w:szCs w:val="32"/>
        </w:rPr>
        <w:t>年底，我局编制21人，其中：局机关行政编制数6人（含工勤编制数1人）；事业编制数15人。现实际在职在岗人员2</w:t>
      </w:r>
      <w:r>
        <w:rPr>
          <w:rFonts w:hint="eastAsia" w:eastAsia="仿宋_GB2312"/>
          <w:sz w:val="32"/>
          <w:szCs w:val="32"/>
        </w:rPr>
        <w:t>5</w:t>
      </w:r>
      <w:r>
        <w:rPr>
          <w:rFonts w:eastAsia="仿宋_GB2312"/>
          <w:sz w:val="32"/>
          <w:szCs w:val="32"/>
        </w:rPr>
        <w:t>人（含区财政聘用人员</w:t>
      </w:r>
      <w:r>
        <w:rPr>
          <w:rFonts w:hint="eastAsia" w:eastAsia="仿宋_GB2312"/>
          <w:sz w:val="32"/>
          <w:szCs w:val="32"/>
        </w:rPr>
        <w:t>6</w:t>
      </w:r>
      <w:r>
        <w:rPr>
          <w:rFonts w:eastAsia="仿宋_GB2312"/>
          <w:sz w:val="32"/>
          <w:szCs w:val="32"/>
        </w:rPr>
        <w:t>人），退休人员</w:t>
      </w:r>
      <w:r>
        <w:rPr>
          <w:rFonts w:hint="eastAsia" w:eastAsia="仿宋_GB2312"/>
          <w:sz w:val="32"/>
          <w:szCs w:val="32"/>
        </w:rPr>
        <w:t>4</w:t>
      </w:r>
      <w:r>
        <w:rPr>
          <w:rFonts w:eastAsia="仿宋_GB2312"/>
          <w:sz w:val="32"/>
          <w:szCs w:val="32"/>
        </w:rPr>
        <w:t>人，内设4个股室（办公室、服务业股、贸易促进股、流通发展股），下设区现代服务业促进中心、区商务服务中心2个事业部门</w:t>
      </w:r>
      <w:r>
        <w:rPr>
          <w:rFonts w:hint="eastAsia" w:eastAsia="仿宋_GB2312"/>
          <w:sz w:val="32"/>
          <w:szCs w:val="32"/>
        </w:rPr>
        <w:t>。</w:t>
      </w:r>
    </w:p>
    <w:p w14:paraId="3115359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15B4B3BA">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eastAsia="仿宋_GB2312"/>
          <w:sz w:val="32"/>
          <w:szCs w:val="32"/>
        </w:rPr>
        <w:t>2024年</w:t>
      </w:r>
      <w:r>
        <w:rPr>
          <w:rFonts w:hint="eastAsia" w:eastAsia="仿宋_GB2312"/>
          <w:color w:val="000000"/>
          <w:kern w:val="0"/>
          <w:sz w:val="32"/>
          <w:szCs w:val="32"/>
          <w:lang w:val="zh-CN"/>
        </w:rPr>
        <w:t>东区商务局全年预算收入</w:t>
      </w:r>
      <w:r>
        <w:rPr>
          <w:rFonts w:hint="eastAsia" w:eastAsia="仿宋_GB2312"/>
          <w:color w:val="000000"/>
          <w:kern w:val="0"/>
          <w:sz w:val="32"/>
          <w:szCs w:val="32"/>
        </w:rPr>
        <w:t>2711.5</w:t>
      </w:r>
      <w:r>
        <w:rPr>
          <w:rFonts w:hint="eastAsia" w:eastAsia="仿宋_GB2312"/>
          <w:color w:val="000000"/>
          <w:kern w:val="0"/>
          <w:sz w:val="32"/>
          <w:szCs w:val="32"/>
          <w:lang w:val="zh-CN"/>
        </w:rPr>
        <w:t>万元</w:t>
      </w:r>
      <w:r>
        <w:rPr>
          <w:rFonts w:hint="eastAsia" w:eastAsia="仿宋_GB2312"/>
          <w:color w:val="000000"/>
          <w:kern w:val="0"/>
          <w:sz w:val="32"/>
          <w:szCs w:val="32"/>
        </w:rPr>
        <w:t>，</w:t>
      </w:r>
      <w:r>
        <w:rPr>
          <w:rFonts w:hint="eastAsia" w:eastAsia="仿宋_GB2312"/>
          <w:color w:val="000000"/>
          <w:kern w:val="0"/>
          <w:sz w:val="32"/>
          <w:szCs w:val="32"/>
          <w:lang w:val="zh-CN"/>
        </w:rPr>
        <w:t>年初财政拨款结转和结余</w:t>
      </w:r>
      <w:r>
        <w:rPr>
          <w:rFonts w:hint="eastAsia" w:eastAsia="仿宋_GB2312"/>
          <w:color w:val="000000"/>
          <w:kern w:val="0"/>
          <w:sz w:val="32"/>
          <w:szCs w:val="32"/>
        </w:rPr>
        <w:t>0</w:t>
      </w:r>
      <w:r>
        <w:rPr>
          <w:rFonts w:hint="eastAsia" w:eastAsia="仿宋_GB2312"/>
          <w:color w:val="000000"/>
          <w:kern w:val="0"/>
          <w:sz w:val="32"/>
          <w:szCs w:val="32"/>
          <w:lang w:val="zh-CN"/>
        </w:rPr>
        <w:t>万元，财政拨款收入</w:t>
      </w:r>
      <w:r>
        <w:rPr>
          <w:rFonts w:hint="eastAsia" w:eastAsia="仿宋_GB2312"/>
          <w:color w:val="000000"/>
          <w:kern w:val="0"/>
          <w:sz w:val="32"/>
          <w:szCs w:val="32"/>
        </w:rPr>
        <w:t>2711.5</w:t>
      </w:r>
      <w:r>
        <w:rPr>
          <w:rFonts w:hint="eastAsia" w:eastAsia="仿宋_GB2312"/>
          <w:color w:val="000000"/>
          <w:kern w:val="0"/>
          <w:sz w:val="32"/>
          <w:szCs w:val="32"/>
          <w:lang w:val="zh-CN"/>
        </w:rPr>
        <w:t>万元，全年实际收入</w:t>
      </w:r>
      <w:r>
        <w:rPr>
          <w:rFonts w:hint="eastAsia" w:eastAsia="仿宋_GB2312"/>
          <w:color w:val="000000"/>
          <w:kern w:val="0"/>
          <w:sz w:val="32"/>
          <w:szCs w:val="32"/>
        </w:rPr>
        <w:t>2711.5</w:t>
      </w:r>
      <w:r>
        <w:rPr>
          <w:rFonts w:hint="eastAsia" w:eastAsia="仿宋_GB2312"/>
          <w:color w:val="000000"/>
          <w:kern w:val="0"/>
          <w:sz w:val="32"/>
          <w:szCs w:val="32"/>
          <w:lang w:val="zh-CN"/>
        </w:rPr>
        <w:t>万元</w:t>
      </w:r>
      <w:r>
        <w:rPr>
          <w:rFonts w:hint="eastAsia" w:eastAsia="仿宋_GB2312"/>
          <w:sz w:val="32"/>
          <w:szCs w:val="32"/>
        </w:rPr>
        <w:t>。</w:t>
      </w:r>
    </w:p>
    <w:p w14:paraId="505F94F3">
      <w:pPr>
        <w:widowControl/>
        <w:adjustRightInd w:val="0"/>
        <w:snapToGrid w:val="0"/>
        <w:spacing w:line="578" w:lineRule="exact"/>
        <w:ind w:firstLine="643" w:firstLineChars="200"/>
        <w:contextualSpacing/>
        <w:jc w:val="left"/>
        <w:rPr>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eastAsia="仿宋_GB2312"/>
          <w:sz w:val="32"/>
          <w:szCs w:val="32"/>
        </w:rPr>
        <w:t>2024年东区商务局全年预算支出3231.5万元，全年实际支出3231.5万元，其中基本支出523.31万元，项目支出2708.2万元。</w:t>
      </w:r>
    </w:p>
    <w:p w14:paraId="7DE218D2">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eastAsia="仿宋_GB2312"/>
          <w:sz w:val="32"/>
          <w:szCs w:val="32"/>
        </w:rPr>
        <w:t>2024年决算报表</w:t>
      </w:r>
      <w:r>
        <w:rPr>
          <w:rFonts w:eastAsia="仿宋_GB2312"/>
          <w:sz w:val="32"/>
          <w:szCs w:val="32"/>
        </w:rPr>
        <w:t>结转结余0</w:t>
      </w:r>
      <w:r>
        <w:rPr>
          <w:rFonts w:hint="eastAsia" w:eastAsia="仿宋_GB2312"/>
          <w:sz w:val="32"/>
          <w:szCs w:val="32"/>
        </w:rPr>
        <w:t>万元</w:t>
      </w:r>
      <w:r>
        <w:rPr>
          <w:rFonts w:eastAsia="仿宋_GB2312"/>
          <w:sz w:val="32"/>
          <w:szCs w:val="32"/>
        </w:rPr>
        <w:t>。</w:t>
      </w:r>
    </w:p>
    <w:p w14:paraId="65DF3BB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4003501F">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5A25914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w:t>
      </w:r>
    </w:p>
    <w:p w14:paraId="6E43065D">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（1）区级重点项目申报完成率</w:t>
      </w:r>
    </w:p>
    <w:p w14:paraId="1C58191F">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根据《攀枝花市东区2024年重点项目责任制一览表》，2024年区商务局申报坤牛螺丝嘴汽车驿站项目、元亨配餐中心项目等11个区级重点项目，达到预期目标。</w:t>
      </w:r>
    </w:p>
    <w:p w14:paraId="7AC86D23">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（2）货物进出口总额增减情况</w:t>
      </w:r>
    </w:p>
    <w:p w14:paraId="760FBE5D">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2023年和2024年东区货物进出口总额36.19亿元、18.88亿元，2024年货物进出口总额相较2023年减少17.31亿元。该项经济指标预期未达到《东区商务局2024年重点工作计划》目标“2024年东区货物进出口总额基本与2023年持平”。</w:t>
      </w:r>
    </w:p>
    <w:p w14:paraId="5506F04B">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3</w:t>
      </w:r>
      <w:r>
        <w:rPr>
          <w:rFonts w:hint="eastAsia" w:eastAsia="仿宋_GB2312" w:cs="仿宋_GB2312"/>
          <w:sz w:val="32"/>
          <w:szCs w:val="32"/>
        </w:rPr>
        <w:t>）</w:t>
      </w:r>
      <w:r>
        <w:rPr>
          <w:rFonts w:eastAsia="仿宋_GB2312" w:cs="仿宋_GB2312"/>
          <w:sz w:val="32"/>
          <w:szCs w:val="32"/>
        </w:rPr>
        <w:t>促消费活动举办完成率</w:t>
      </w:r>
    </w:p>
    <w:p w14:paraId="063D467D">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区商务局2024年成功举办以“蜀里安逸·悦禧龙年”为主题的“2024年迎春购物月”以及“啤酒节”消费促进活动等主题促消费活动5次；组织商贸流通企业借助周年庆、节假日等开展了“花花情人节”“‘星’悦攀枝花·礼献六十载”等主题促销活动217场次；以展会形式支持汽车、家电家装大宗消费。促消费活动举办完成率100%</w:t>
      </w:r>
      <w:r>
        <w:rPr>
          <w:rFonts w:hint="eastAsia" w:eastAsia="仿宋_GB2312" w:cs="仿宋_GB2312"/>
          <w:sz w:val="32"/>
          <w:szCs w:val="32"/>
        </w:rPr>
        <w:t>。</w:t>
      </w:r>
    </w:p>
    <w:p w14:paraId="77C5E9B2">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（4）</w:t>
      </w:r>
      <w:r>
        <w:rPr>
          <w:rFonts w:eastAsia="仿宋_GB2312" w:cs="仿宋_GB2312"/>
          <w:sz w:val="32"/>
          <w:szCs w:val="32"/>
        </w:rPr>
        <w:t>以旧换新消费增速</w:t>
      </w:r>
    </w:p>
    <w:p w14:paraId="7EA34C05">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根据区商务局统计数据，汽车以旧换新2023年销售量166台，拉动消费1444.1万元；2024年销售量596台，拉动消费6288.3万元。消费总额增速335.45%，以旧换新消费大幅增长，促消费效益明显。</w:t>
      </w:r>
    </w:p>
    <w:p w14:paraId="59A84D7B">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（5）</w:t>
      </w:r>
      <w:r>
        <w:rPr>
          <w:rFonts w:eastAsia="仿宋_GB2312" w:cs="仿宋_GB2312"/>
          <w:sz w:val="32"/>
          <w:szCs w:val="32"/>
        </w:rPr>
        <w:t>规上企业营业收入增速</w:t>
      </w:r>
    </w:p>
    <w:p w14:paraId="28B156A7">
      <w:pPr>
        <w:adjustRightInd w:val="0"/>
        <w:snapToGrid w:val="0"/>
        <w:spacing w:line="578" w:lineRule="exact"/>
        <w:ind w:firstLine="640" w:firstLineChars="200"/>
        <w:contextualSpacing/>
        <w:jc w:val="left"/>
        <w:rPr>
          <w:rFonts w:eastAsia="仿宋_GB2312" w:cs="仿宋_GB2312"/>
          <w:sz w:val="32"/>
          <w:szCs w:val="32"/>
        </w:rPr>
      </w:pPr>
      <w:r>
        <w:rPr>
          <w:rFonts w:eastAsia="仿宋_GB2312" w:cs="仿宋_GB2312"/>
          <w:sz w:val="32"/>
          <w:szCs w:val="32"/>
        </w:rPr>
        <w:t>根据《2024年1-12月规模以上服务业数据上报情况》，去哪儿网公司营业收入增速达到38.7%，达到预期目标（增速9%）</w:t>
      </w:r>
      <w:r>
        <w:rPr>
          <w:rFonts w:hint="eastAsia" w:eastAsia="仿宋_GB2312" w:cs="仿宋_GB2312"/>
          <w:sz w:val="32"/>
          <w:szCs w:val="32"/>
        </w:rPr>
        <w:t>。</w:t>
      </w:r>
    </w:p>
    <w:p w14:paraId="36561EE2">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2</w:t>
      </w:r>
      <w:r>
        <w:rPr>
          <w:rFonts w:hint="eastAsia" w:eastAsia="仿宋_GB2312" w:cs="仿宋_GB2312"/>
          <w:sz w:val="32"/>
          <w:szCs w:val="32"/>
          <w:lang w:val="zh-CN"/>
        </w:rPr>
        <w:t>.</w:t>
      </w:r>
      <w:r>
        <w:rPr>
          <w:rFonts w:eastAsia="仿宋_GB2312" w:cs="仿宋_GB2312"/>
          <w:sz w:val="32"/>
          <w:szCs w:val="32"/>
          <w:lang w:val="zh-CN"/>
        </w:rPr>
        <w:t>预算管理</w:t>
      </w:r>
      <w:r>
        <w:rPr>
          <w:rFonts w:hint="eastAsia" w:eastAsia="仿宋_GB2312" w:cs="仿宋_GB2312"/>
          <w:sz w:val="32"/>
          <w:szCs w:val="32"/>
          <w:lang w:val="zh-CN"/>
        </w:rPr>
        <w:t>。</w:t>
      </w:r>
    </w:p>
    <w:p w14:paraId="20EB9241">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）预算编制质量</w:t>
      </w:r>
    </w:p>
    <w:p w14:paraId="08568C67">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2024年财政拨款预算执行数（含财政应付未付285.86万元）3,903.75万元，调整后预算数（含年末财政收回指标1339万元）4,570.5万元。财政拨款预算偏离度14.59%。资产配置方面，申请预算2023年打印机复印机办公设备购置2.293万元，执行数（财政应付未付）2.293万元，资产配置预算偏离度0%。2024年无政府采购，不涉及政府采购预算偏离度。</w:t>
      </w:r>
    </w:p>
    <w:p w14:paraId="7B54F52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）部门收入统筹</w:t>
      </w:r>
    </w:p>
    <w:p w14:paraId="054DB9AE">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2024年区商务局无自有收入，不涉及部门自有收入统筹。</w:t>
      </w:r>
    </w:p>
    <w:p w14:paraId="11D8F9E4">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）预算执行</w:t>
      </w:r>
    </w:p>
    <w:p w14:paraId="4BF763B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2024年《可执行指标执行情况表》、财政年末收回指标数据和财政应付未付数据，区商务局2024年预算执行数为3,903.75万元（含财政应付未付285.86万元），部门预算数为4,570.5万元（含年末财政收回指标1,339万元）。预算执行率85.41%。经核查《资金支付查询表》无违规支出。</w:t>
      </w:r>
    </w:p>
    <w:p w14:paraId="6CB92CAF">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4</w:t>
      </w:r>
      <w:r>
        <w:rPr>
          <w:rFonts w:hint="eastAsia" w:eastAsia="仿宋_GB2312" w:cs="仿宋_GB2312"/>
          <w:sz w:val="32"/>
          <w:szCs w:val="32"/>
          <w:lang w:val="zh-CN"/>
        </w:rPr>
        <w:t>）预算年终结余</w:t>
      </w:r>
    </w:p>
    <w:p w14:paraId="16F4212D">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部门整体预算结余率=（当年财政收回金额-支付环节未支付金额）÷部门预算总金额×100%=（1,339-285.86）/（3,231.5+1,339）=23.04%。</w:t>
      </w:r>
    </w:p>
    <w:p w14:paraId="2EA96888">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5</w:t>
      </w:r>
      <w:r>
        <w:rPr>
          <w:rFonts w:hint="eastAsia" w:eastAsia="仿宋_GB2312" w:cs="仿宋_GB2312"/>
          <w:sz w:val="32"/>
          <w:szCs w:val="32"/>
          <w:lang w:val="zh-CN"/>
        </w:rPr>
        <w:t>）严控一般性支出</w:t>
      </w:r>
    </w:p>
    <w:p w14:paraId="341BF130">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根据2024年《可执行指标执行情况表》，年初预算较上年实现压减，降低16.77%，增长26.95%。</w:t>
      </w:r>
    </w:p>
    <w:p w14:paraId="2F0098BA">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p>
    <w:p w14:paraId="44EFECB0">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）财务管理制度</w:t>
      </w:r>
    </w:p>
    <w:p w14:paraId="435802F7">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严格遵循《行政部门财务规则》《行政事业部门内部控制规范》（财会〔2012〕21号）等法律法规，切实加强财务收支的管理、规范财务管理，结合部门的业务性质、业务范围及管理架构，区商务局制定了《东区商务局财务管理制度》，财务管理制度健全。</w:t>
      </w:r>
    </w:p>
    <w:p w14:paraId="22768E35">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）财务岗位设置</w:t>
      </w:r>
    </w:p>
    <w:p w14:paraId="393A3DE1">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攀枝花市东区商务局内部控制手册》，区商务局建立健全内部控制关键岗位责任制，明确岗位职责及分工，确保不相容岗位相互分离、相互制约和相互监督。同时实行内部控制关键岗位工作人员的轮岗制度，明确轮岗周期（三年）。不具备轮岗条件的岗位采取专项审计等控制措施。</w:t>
      </w:r>
    </w:p>
    <w:p w14:paraId="0A64A42D">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）资金使用规范</w:t>
      </w:r>
    </w:p>
    <w:p w14:paraId="51FB181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抽查局2024年33笔财务支出凭证及附件，部分资金使用不规范。经核查三产发展专项资金项目支付凭证和相关附件，一是攀枝花市保安服务公司申请2017年东区服务业发展扶持奖励资金0.5万元，依据为《攀枝花市东区促进服务</w:t>
      </w:r>
    </w:p>
    <w:p w14:paraId="3D919E51">
      <w:pPr>
        <w:adjustRightInd w:val="0"/>
        <w:snapToGrid w:val="0"/>
        <w:spacing w:line="578" w:lineRule="exact"/>
        <w:ind w:firstLine="640" w:firstLineChars="200"/>
        <w:contextualSpacing/>
        <w:jc w:val="distribute"/>
        <w:rPr>
          <w:rFonts w:eastAsia="仿宋_GB2312" w:cs="仿宋_GB2312"/>
          <w:sz w:val="32"/>
          <w:szCs w:val="32"/>
          <w:lang w:val="zh-CN"/>
        </w:rPr>
      </w:pPr>
      <w:r>
        <w:rPr>
          <w:rFonts w:hint="eastAsia" w:eastAsia="仿宋_GB2312" w:cs="仿宋_GB2312"/>
          <w:sz w:val="32"/>
          <w:szCs w:val="32"/>
          <w:lang w:val="zh-CN"/>
        </w:rPr>
        <w:t>业发展若干政策》（以下简称“《政策》”）第十八条第五项“已入库规模以上服务业直报企业......年营业收入较去年同期增长 40%以上的，给予每户一次性0.5万元奖励”。经评价组核查企业申报资料，缺乏营业收入增长情况相关证明材料。二是攀枝花市崴鼎科技有限公司申请2017年东区服务业发展扶持奖励资金0.5万元，依据为《政策》第十八条第二项“首次纳入限额以上商贸部门和规模以上服务业部门的，按规定建立有统计管理制度和统计台账，确定有统计分管领导和人员，独立真实准确报送统计报表的，给予限额以上商贸企业和规模以上服务业企业一次性0.5万元奖励”。</w:t>
      </w:r>
    </w:p>
    <w:p w14:paraId="167352A2">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4.资产管理。</w:t>
      </w:r>
    </w:p>
    <w:p w14:paraId="6135D615">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（1）人均资产变化率</w:t>
      </w:r>
    </w:p>
    <w:p w14:paraId="6962DD89">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区级行政事业部门人均资产变化率为37.42%，区商务局人均资产变化率 5.13%，小于区级行政事业部门人均资产变化率；同期区级财政收入增长率为4.98%，区商务局人均资产增长率为5.13%，大于同期区级财政收入增长率。</w:t>
      </w:r>
    </w:p>
    <w:p w14:paraId="10D9BEE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（2）资产利用率</w:t>
      </w:r>
    </w:p>
    <w:p w14:paraId="0C7DF14D">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办公家具超最低使用年限资产利用率=超最低使用年限的办公家具账面价值÷办公家具账面价值×100%=3.12/10.08*100%=30.95%，大于区级行政事业部门平均值17.02%。</w:t>
      </w:r>
    </w:p>
    <w:p w14:paraId="1C782F8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办公设备超最低使用年限资产利用率=超最低使用年限的办公设备账面价值÷办公设备账面价值×100%=32.45/33.91*100%=95.69%，大于区级行政事业部门平均值59.12%。区商务局超最低年限资产利用率较高，资产利用情况良好。</w:t>
      </w:r>
    </w:p>
    <w:p w14:paraId="49C495F4">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（3）资产盘活率</w:t>
      </w:r>
    </w:p>
    <w:p w14:paraId="15B97CCC">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根据2024年度《行政事业性国有资产报表》闲置资产数据，两年均无闲置资产。</w:t>
      </w:r>
    </w:p>
    <w:p w14:paraId="07F558B5">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5.</w:t>
      </w:r>
      <w:r>
        <w:rPr>
          <w:rFonts w:eastAsia="仿宋_GB2312" w:cs="仿宋_GB2312"/>
          <w:sz w:val="32"/>
          <w:szCs w:val="32"/>
          <w:lang w:val="zh-CN"/>
        </w:rPr>
        <w:t>采购管理</w:t>
      </w:r>
    </w:p>
    <w:p w14:paraId="6A58CCE0">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）支持中小企业发展</w:t>
      </w:r>
    </w:p>
    <w:p w14:paraId="6BB8A542">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区商务局2024年不涉及适宜由中小企业提供的采购项目和采购包。</w:t>
      </w:r>
    </w:p>
    <w:p w14:paraId="25A8C6CB">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）采购执行率</w:t>
      </w:r>
    </w:p>
    <w:p w14:paraId="56DF304A">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lang w:val="zh-CN"/>
        </w:rPr>
        <w:t>区商务局2024年不涉及政府采购项目。</w:t>
      </w:r>
    </w:p>
    <w:p w14:paraId="4B4C58DB">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4AF99875">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4</w:t>
      </w:r>
      <w:r>
        <w:rPr>
          <w:rFonts w:eastAsia="仿宋_GB2312" w:cs="仿宋_GB2312"/>
          <w:sz w:val="32"/>
          <w:szCs w:val="32"/>
          <w:lang w:val="zh-CN"/>
        </w:rPr>
        <w:t>个，涉及预算总金额</w:t>
      </w:r>
      <w:r>
        <w:rPr>
          <w:rFonts w:hint="eastAsia" w:eastAsia="仿宋_GB2312" w:cs="仿宋_GB2312"/>
          <w:sz w:val="32"/>
          <w:szCs w:val="32"/>
        </w:rPr>
        <w:t>855</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80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2</w:t>
      </w:r>
      <w:r>
        <w:rPr>
          <w:rFonts w:eastAsia="仿宋_GB2312" w:cs="仿宋_GB2312"/>
          <w:sz w:val="32"/>
          <w:szCs w:val="32"/>
          <w:lang w:val="zh-CN"/>
        </w:rPr>
        <w:t>个。</w:t>
      </w:r>
    </w:p>
    <w:p w14:paraId="645AA49B">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20</w:t>
      </w:r>
      <w:r>
        <w:rPr>
          <w:rFonts w:eastAsia="仿宋_GB2312" w:cs="仿宋_GB2312"/>
          <w:sz w:val="32"/>
          <w:szCs w:val="32"/>
          <w:lang w:val="zh-CN"/>
        </w:rPr>
        <w:t>个，涉及预算总金额</w:t>
      </w:r>
      <w:r>
        <w:rPr>
          <w:rFonts w:hint="eastAsia" w:eastAsia="仿宋_GB2312" w:cs="仿宋_GB2312"/>
          <w:sz w:val="32"/>
          <w:szCs w:val="32"/>
        </w:rPr>
        <w:t>3160.84</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84</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10</w:t>
      </w:r>
      <w:r>
        <w:rPr>
          <w:rFonts w:eastAsia="仿宋_GB2312" w:cs="仿宋_GB2312"/>
          <w:sz w:val="32"/>
          <w:szCs w:val="32"/>
          <w:lang w:val="zh-CN"/>
        </w:rPr>
        <w:t>个。</w:t>
      </w:r>
    </w:p>
    <w:p w14:paraId="0469C1ED">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w:t>
      </w:r>
    </w:p>
    <w:p w14:paraId="68415EFC">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）决策程序</w:t>
      </w:r>
    </w:p>
    <w:p w14:paraId="2EE5EB19">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根据攀枝花市东区财政局《关于印发东区预算事前绩效评估管理暂行办法的通知》（攀东财〔2021〕69号），事前评估以年度新增重大财政政策和项目支出为重点，根据工作需要对以前年度延续性重大财政政策和项目支出进行事前评估。2024年共计24个预算项目，其中17个项目无需进行事前绩效评估，对“三产发展专项资金”等7个项目进行事前评估。部门预算项目设立按规定履行评估论证。</w:t>
      </w:r>
    </w:p>
    <w:p w14:paraId="4578FA18">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）目标设置</w:t>
      </w:r>
    </w:p>
    <w:p w14:paraId="4D1F46A8">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核查5个项目绩效目标申报表，部分项目绩效指标编制不科学：一是指标值未量化，“2020年2-11月疫情期间电费补贴”项目，质量指标设置为“缓解中小企业经营困难”，指标值“缓解中小企业经营困难”。二是指标未细化，“三产发展专项资金”项目，经济效益指标设置为“扩大市民消费需求、活跃辖区消费市场”，未明确具体促进消费的各项经济指标。</w:t>
      </w:r>
    </w:p>
    <w:p w14:paraId="43E67000">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）项目入库</w:t>
      </w:r>
    </w:p>
    <w:p w14:paraId="7A63891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项目入库及时，均在规定时间登记入库（预算一体化系统）。</w:t>
      </w:r>
    </w:p>
    <w:p w14:paraId="578F1012">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w:t>
      </w:r>
    </w:p>
    <w:p w14:paraId="26685EC7">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）执行同向</w:t>
      </w:r>
    </w:p>
    <w:p w14:paraId="0D08C2C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经核查部门预算项目财务支出凭证及相关附件，对比绩效目标申报表，其实际列支内容与绩效目标设置方向相符。</w:t>
      </w:r>
    </w:p>
    <w:p w14:paraId="2424EE8A">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）项目调整</w:t>
      </w:r>
    </w:p>
    <w:p w14:paraId="37DFD7FC">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2024年，所有应采取收回预算、调整目标等处置措施的项目，均及时、精准且全面地落实了相应处置措施，无任何应采取而未采取相关处置措施的情形发生。</w:t>
      </w:r>
    </w:p>
    <w:p w14:paraId="216DACB3">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）执行结果</w:t>
      </w:r>
    </w:p>
    <w:p w14:paraId="078713D1">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2024年部门预算常年性项目和一次性项目总数量为24个，结余率小于10%的项目有12个，结余率大于10%的项目有12个。</w:t>
      </w:r>
    </w:p>
    <w:p w14:paraId="640FE2A9">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w:t>
      </w:r>
    </w:p>
    <w:p w14:paraId="50774DE7">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1</w:t>
      </w:r>
      <w:r>
        <w:rPr>
          <w:rFonts w:hint="eastAsia" w:eastAsia="仿宋_GB2312" w:cs="仿宋_GB2312"/>
          <w:sz w:val="32"/>
          <w:szCs w:val="32"/>
          <w:lang w:val="zh-CN"/>
        </w:rPr>
        <w:t>）目标完成</w:t>
      </w:r>
    </w:p>
    <w:p w14:paraId="0BF46EF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三产发展专项资金”“服务业发展专项经费”“升规升限企业奖补资金”“2020年2-11月疫情期间电费补贴”等预算项目绩效目标数量指标完成情况，共计11项指标，其中2项指标未完成，一是“参加进博会、西博会等各类展会活动”计划不少于3次，实际完成2次。二是“通过外出招商，招入知名企业入驻东区数量”计划2家，实际引进1家。</w:t>
      </w:r>
    </w:p>
    <w:p w14:paraId="3B519741">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2</w:t>
      </w:r>
      <w:r>
        <w:rPr>
          <w:rFonts w:hint="eastAsia" w:eastAsia="仿宋_GB2312" w:cs="仿宋_GB2312"/>
          <w:sz w:val="32"/>
          <w:szCs w:val="32"/>
          <w:lang w:val="zh-CN"/>
        </w:rPr>
        <w:t>）目标偏离</w:t>
      </w:r>
    </w:p>
    <w:p w14:paraId="442461D1">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三产发展专项资金”“服务业发展专项经费”“升规升限企业奖补资金”“2020年2-11月疫情期间电费补贴”等预算项目绩效目标数量指标完成情况，共计完成9项指标，其中2项指标完成偏离度大于30%，绩效目标偏离度较大，绩效目标编制不准确。</w:t>
      </w:r>
    </w:p>
    <w:p w14:paraId="42C97A86">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w:t>
      </w:r>
      <w:r>
        <w:rPr>
          <w:rFonts w:hint="eastAsia" w:eastAsia="仿宋_GB2312" w:cs="仿宋_GB2312"/>
          <w:sz w:val="32"/>
          <w:szCs w:val="32"/>
        </w:rPr>
        <w:t>3</w:t>
      </w:r>
      <w:r>
        <w:rPr>
          <w:rFonts w:hint="eastAsia" w:eastAsia="仿宋_GB2312" w:cs="仿宋_GB2312"/>
          <w:sz w:val="32"/>
          <w:szCs w:val="32"/>
          <w:lang w:val="zh-CN"/>
        </w:rPr>
        <w:t>）实现效果</w:t>
      </w:r>
    </w:p>
    <w:p w14:paraId="466E3A3A">
      <w:pPr>
        <w:adjustRightInd w:val="0"/>
        <w:snapToGrid w:val="0"/>
        <w:spacing w:line="578" w:lineRule="exact"/>
        <w:ind w:firstLine="640" w:firstLineChars="200"/>
        <w:contextualSpacing/>
        <w:rPr>
          <w:rFonts w:eastAsia="仿宋_GB2312" w:cs="仿宋_GB2312"/>
          <w:sz w:val="32"/>
          <w:szCs w:val="32"/>
        </w:rPr>
      </w:pPr>
      <w:r>
        <w:rPr>
          <w:rFonts w:hint="eastAsia" w:eastAsia="仿宋_GB2312" w:cs="仿宋_GB2312"/>
          <w:sz w:val="32"/>
          <w:szCs w:val="32"/>
          <w:lang w:val="zh-CN"/>
        </w:rPr>
        <w:t>“三产发展专项资金”“服务业发展专项经费”“升规升限企业奖补资金”“2020年2-11月疫情期间电费补贴”等预算项目绩效目标效益指标完成情况，共计5项，实际完成5项，效益指标实施效果良好</w:t>
      </w:r>
      <w:r>
        <w:rPr>
          <w:rFonts w:hint="eastAsia" w:eastAsia="仿宋_GB2312" w:cs="仿宋_GB2312"/>
          <w:sz w:val="32"/>
          <w:szCs w:val="32"/>
        </w:rPr>
        <w:t>。</w:t>
      </w:r>
    </w:p>
    <w:p w14:paraId="0DBC8ADB">
      <w:p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1527A77D">
      <w:pPr>
        <w:snapToGrid w:val="0"/>
        <w:spacing w:line="600" w:lineRule="exact"/>
        <w:ind w:firstLine="640" w:firstLineChars="200"/>
        <w:rPr>
          <w:rFonts w:eastAsia="仿宋_GB2312"/>
          <w:sz w:val="32"/>
          <w:szCs w:val="32"/>
          <w:lang w:bidi="ar"/>
        </w:rPr>
      </w:pPr>
      <w:r>
        <w:rPr>
          <w:rFonts w:hint="eastAsia" w:eastAsia="仿宋_GB2312"/>
          <w:sz w:val="32"/>
          <w:szCs w:val="32"/>
          <w:lang w:val="zh-CN" w:bidi="ar"/>
        </w:rPr>
        <w:t>根据绩效评价结果，及时进行了信息公开，确保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我局各项工作的正常运转。整体应用反馈情况良好。</w:t>
      </w:r>
    </w:p>
    <w:p w14:paraId="2D51152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1AA5D349">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Pr>
          <w:rFonts w:eastAsia="仿宋_GB2312"/>
          <w:sz w:val="32"/>
          <w:szCs w:val="32"/>
          <w:lang w:val="zh-CN" w:bidi="ar"/>
        </w:rPr>
        <w:t>2024年度部门预算管理基本规范、资产管理合规有序，项目决策与执行总体顺畅。但存在预算编制精准度不足、一般性支出控制不力、个别项目绩效目标设置不合理、部分资金使用不规范、部门重点工作未完成等问题，总得分为81.34分，评价结果等级为“良”</w:t>
      </w:r>
      <w:r>
        <w:rPr>
          <w:rFonts w:hint="eastAsia" w:eastAsia="仿宋_GB2312"/>
          <w:sz w:val="32"/>
          <w:szCs w:val="32"/>
          <w:lang w:bidi="ar"/>
        </w:rPr>
        <w:t>。</w:t>
      </w:r>
    </w:p>
    <w:p w14:paraId="66A767FE">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（二）存在问题。</w:t>
      </w:r>
      <w:r>
        <w:rPr>
          <w:rFonts w:eastAsia="仿宋_GB2312"/>
          <w:sz w:val="32"/>
          <w:szCs w:val="32"/>
          <w:lang w:val="zh-CN" w:bidi="ar"/>
        </w:rPr>
        <w:t>部分重点任务未达成预期目标</w:t>
      </w:r>
      <w:r>
        <w:rPr>
          <w:rFonts w:hint="eastAsia" w:eastAsia="仿宋_GB2312"/>
          <w:sz w:val="32"/>
          <w:szCs w:val="32"/>
          <w:lang w:bidi="ar"/>
        </w:rPr>
        <w:t>；预算编制不精准；部门整体预算执行率较低。</w:t>
      </w:r>
    </w:p>
    <w:p w14:paraId="3F4D5843">
      <w:pPr>
        <w:widowControl/>
        <w:adjustRightInd w:val="0"/>
        <w:snapToGrid w:val="0"/>
        <w:spacing w:line="578" w:lineRule="exact"/>
        <w:ind w:firstLine="643" w:firstLineChars="200"/>
        <w:contextualSpacing/>
        <w:jc w:val="left"/>
        <w:rPr>
          <w:rFonts w:eastAsia="仿宋_GB2312"/>
          <w:sz w:val="32"/>
          <w:szCs w:val="32"/>
          <w:lang w:val="zh-CN" w:bidi="ar"/>
        </w:rPr>
      </w:pPr>
      <w:r>
        <w:rPr>
          <w:rFonts w:eastAsia="楷体_GB2312"/>
          <w:b/>
          <w:bCs/>
          <w:color w:val="000000"/>
          <w:kern w:val="0"/>
          <w:sz w:val="32"/>
          <w:szCs w:val="32"/>
          <w:shd w:val="clear" w:color="auto" w:fill="FFFFFF"/>
          <w:lang w:val="zh-CN"/>
        </w:rPr>
        <w:t>（三）改进建议。</w:t>
      </w:r>
      <w:bookmarkStart w:id="61" w:name="_Hlk110546638"/>
      <w:r>
        <w:rPr>
          <w:rFonts w:eastAsia="仿宋_GB2312"/>
          <w:sz w:val="32"/>
          <w:szCs w:val="32"/>
          <w:lang w:val="zh-CN" w:bidi="ar"/>
        </w:rPr>
        <w:t>一是开展企业调研与帮扶，组织专项调研，摸清重点外贸企业经营状况与困难，针对性提供通关便利、融资支持、出口信保补贴等政策支持。</w:t>
      </w:r>
      <w:r>
        <w:rPr>
          <w:rFonts w:hint="eastAsia" w:eastAsia="仿宋_GB2312"/>
          <w:sz w:val="32"/>
          <w:szCs w:val="32"/>
          <w:lang w:val="zh-CN" w:bidi="ar"/>
        </w:rPr>
        <w:t>二是</w:t>
      </w:r>
      <w:r>
        <w:rPr>
          <w:rFonts w:eastAsia="仿宋_GB2312"/>
          <w:sz w:val="32"/>
          <w:szCs w:val="32"/>
          <w:lang w:val="zh-CN" w:bidi="ar"/>
        </w:rPr>
        <w:t>全面优化预算管理工作。在预算编制前，强化需求调研，结合历年预算实际支出情况、当年工作计划以及资金实际需求进行综合测算，夯实预算编制基础，提高预算编制的科学性</w:t>
      </w:r>
      <w:r>
        <w:rPr>
          <w:rFonts w:hint="eastAsia" w:eastAsia="仿宋_GB2312"/>
          <w:sz w:val="32"/>
          <w:szCs w:val="32"/>
          <w:lang w:val="zh-CN" w:bidi="ar"/>
        </w:rPr>
        <w:t>。</w:t>
      </w:r>
      <w:bookmarkEnd w:id="61"/>
    </w:p>
    <w:p w14:paraId="153FC5C7">
      <w:pPr>
        <w:pStyle w:val="8"/>
        <w:spacing w:after="0"/>
        <w:ind w:left="0" w:leftChars="0" w:firstLine="0" w:firstLineChars="0"/>
        <w:jc w:val="center"/>
        <w:rPr>
          <w:rFonts w:ascii="Times New Roman" w:eastAsia="仿宋_GB2312"/>
          <w:sz w:val="32"/>
          <w:lang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229A590B">
      <w:pPr>
        <w:spacing w:line="578" w:lineRule="exact"/>
        <w:rPr>
          <w:rFonts w:eastAsia="仿宋_GB2312" w:cs="仿宋_GB2312"/>
          <w:kern w:val="0"/>
          <w:sz w:val="32"/>
          <w:szCs w:val="32"/>
        </w:rPr>
      </w:pPr>
      <w:bookmarkStart w:id="76" w:name="_GoBack"/>
      <w:bookmarkEnd w:id="76"/>
      <w:bookmarkStart w:id="62" w:name="_Toc15396618"/>
      <w:r>
        <w:rPr>
          <w:rFonts w:hint="eastAsia" w:eastAsia="仿宋_GB2312" w:cs="仿宋_GB2312"/>
          <w:kern w:val="0"/>
          <w:sz w:val="32"/>
          <w:szCs w:val="32"/>
        </w:rPr>
        <w:br w:type="page"/>
      </w:r>
    </w:p>
    <w:p w14:paraId="1656B12C">
      <w:pPr>
        <w:widowControl/>
        <w:jc w:val="center"/>
        <w:rPr>
          <w:rFonts w:eastAsia="仿宋"/>
        </w:rPr>
      </w:pPr>
      <w:r>
        <w:rPr>
          <w:rFonts w:hint="eastAsia" w:eastAsia="黑体"/>
          <w:sz w:val="44"/>
          <w:szCs w:val="44"/>
        </w:rPr>
        <w:t>第</w:t>
      </w:r>
      <w:r>
        <w:rPr>
          <w:rStyle w:val="32"/>
          <w:rFonts w:hint="eastAsia" w:eastAsia="黑体"/>
          <w:b w:val="0"/>
        </w:rPr>
        <w:t>五部分 附表</w:t>
      </w:r>
      <w:bookmarkEnd w:id="60"/>
      <w:bookmarkEnd w:id="62"/>
      <w:bookmarkStart w:id="63" w:name="_Toc15396619"/>
    </w:p>
    <w:p w14:paraId="16D7A4FA">
      <w:pPr>
        <w:pStyle w:val="15"/>
        <w:adjustRightInd w:val="0"/>
        <w:snapToGrid w:val="0"/>
        <w:spacing w:line="560" w:lineRule="exact"/>
        <w:jc w:val="left"/>
        <w:rPr>
          <w:rFonts w:eastAsia="仿宋_GB2312" w:cs="仿宋_GB2312"/>
          <w:sz w:val="32"/>
          <w:szCs w:val="32"/>
        </w:rPr>
      </w:pPr>
    </w:p>
    <w:p w14:paraId="69E0C2F0">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3"/>
    </w:p>
    <w:p w14:paraId="6EA37343">
      <w:pPr>
        <w:pStyle w:val="15"/>
        <w:adjustRightInd w:val="0"/>
        <w:snapToGrid w:val="0"/>
        <w:spacing w:line="560" w:lineRule="exact"/>
        <w:jc w:val="left"/>
        <w:rPr>
          <w:rFonts w:eastAsia="仿宋_GB2312" w:cs="仿宋_GB2312"/>
          <w:sz w:val="32"/>
          <w:szCs w:val="32"/>
        </w:rPr>
      </w:pPr>
      <w:bookmarkStart w:id="64" w:name="_Toc15396620"/>
      <w:r>
        <w:rPr>
          <w:rFonts w:hint="eastAsia" w:eastAsia="仿宋_GB2312" w:cs="仿宋_GB2312"/>
          <w:sz w:val="32"/>
          <w:szCs w:val="32"/>
        </w:rPr>
        <w:t>二、收入决算表</w:t>
      </w:r>
      <w:bookmarkEnd w:id="64"/>
    </w:p>
    <w:p w14:paraId="0F89B7C5">
      <w:pPr>
        <w:pStyle w:val="15"/>
        <w:adjustRightInd w:val="0"/>
        <w:snapToGrid w:val="0"/>
        <w:spacing w:line="560" w:lineRule="exact"/>
        <w:jc w:val="left"/>
        <w:rPr>
          <w:rFonts w:eastAsia="仿宋_GB2312" w:cs="仿宋_GB2312"/>
          <w:sz w:val="32"/>
          <w:szCs w:val="32"/>
        </w:rPr>
      </w:pPr>
      <w:bookmarkStart w:id="65" w:name="_Toc15396621"/>
      <w:r>
        <w:rPr>
          <w:rFonts w:hint="eastAsia" w:eastAsia="仿宋_GB2312" w:cs="仿宋_GB2312"/>
          <w:sz w:val="32"/>
          <w:szCs w:val="32"/>
        </w:rPr>
        <w:t>三、支出决算表</w:t>
      </w:r>
      <w:bookmarkEnd w:id="65"/>
    </w:p>
    <w:p w14:paraId="315BBFBB">
      <w:pPr>
        <w:pStyle w:val="15"/>
        <w:adjustRightInd w:val="0"/>
        <w:snapToGrid w:val="0"/>
        <w:spacing w:line="560" w:lineRule="exact"/>
        <w:jc w:val="left"/>
        <w:rPr>
          <w:rFonts w:eastAsia="仿宋_GB2312" w:cs="仿宋_GB2312"/>
          <w:sz w:val="32"/>
          <w:szCs w:val="32"/>
        </w:rPr>
      </w:pPr>
      <w:bookmarkStart w:id="66" w:name="_Toc15396622"/>
      <w:r>
        <w:rPr>
          <w:rFonts w:hint="eastAsia" w:eastAsia="仿宋_GB2312" w:cs="仿宋_GB2312"/>
          <w:sz w:val="32"/>
          <w:szCs w:val="32"/>
        </w:rPr>
        <w:t>四、财政拨款收入支出决算总表</w:t>
      </w:r>
      <w:bookmarkEnd w:id="66"/>
    </w:p>
    <w:p w14:paraId="27D7477F">
      <w:pPr>
        <w:pStyle w:val="15"/>
        <w:adjustRightInd w:val="0"/>
        <w:snapToGrid w:val="0"/>
        <w:spacing w:line="560" w:lineRule="exact"/>
        <w:jc w:val="left"/>
        <w:rPr>
          <w:rFonts w:eastAsia="仿宋_GB2312" w:cs="仿宋_GB2312"/>
          <w:sz w:val="32"/>
          <w:szCs w:val="32"/>
        </w:rPr>
      </w:pPr>
      <w:bookmarkStart w:id="67" w:name="_Toc15396623"/>
      <w:r>
        <w:rPr>
          <w:rFonts w:hint="eastAsia" w:eastAsia="仿宋_GB2312" w:cs="仿宋_GB2312"/>
          <w:sz w:val="32"/>
          <w:szCs w:val="32"/>
        </w:rPr>
        <w:t>五、财政拨款支出决算明细表</w:t>
      </w:r>
      <w:bookmarkEnd w:id="67"/>
      <w:bookmarkStart w:id="68" w:name="_Toc15396624"/>
    </w:p>
    <w:p w14:paraId="08DE8F75">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8"/>
    </w:p>
    <w:p w14:paraId="5D323772">
      <w:pPr>
        <w:pStyle w:val="15"/>
        <w:adjustRightInd w:val="0"/>
        <w:snapToGrid w:val="0"/>
        <w:spacing w:line="560" w:lineRule="exact"/>
        <w:jc w:val="left"/>
        <w:rPr>
          <w:rFonts w:eastAsia="仿宋_GB2312" w:cs="仿宋_GB2312"/>
          <w:sz w:val="32"/>
          <w:szCs w:val="32"/>
        </w:rPr>
      </w:pPr>
      <w:bookmarkStart w:id="69" w:name="_Toc15396625"/>
      <w:r>
        <w:rPr>
          <w:rFonts w:hint="eastAsia" w:eastAsia="仿宋_GB2312" w:cs="仿宋_GB2312"/>
          <w:sz w:val="32"/>
          <w:szCs w:val="32"/>
        </w:rPr>
        <w:t>七、一般公共预算财政拨款支出决算明细表</w:t>
      </w:r>
      <w:bookmarkEnd w:id="69"/>
    </w:p>
    <w:p w14:paraId="6A85F63D">
      <w:pPr>
        <w:pStyle w:val="15"/>
        <w:adjustRightInd w:val="0"/>
        <w:snapToGrid w:val="0"/>
        <w:spacing w:line="560" w:lineRule="exact"/>
        <w:jc w:val="left"/>
        <w:rPr>
          <w:rFonts w:eastAsia="仿宋_GB2312" w:cs="仿宋_GB2312"/>
          <w:sz w:val="32"/>
          <w:szCs w:val="32"/>
        </w:rPr>
      </w:pPr>
      <w:bookmarkStart w:id="70" w:name="_Toc15396626"/>
      <w:r>
        <w:rPr>
          <w:rFonts w:hint="eastAsia" w:eastAsia="仿宋_GB2312" w:cs="仿宋_GB2312"/>
          <w:sz w:val="32"/>
          <w:szCs w:val="32"/>
        </w:rPr>
        <w:t>八、一般公共预算财政拨款基本支出决算表</w:t>
      </w:r>
      <w:bookmarkEnd w:id="70"/>
    </w:p>
    <w:p w14:paraId="30447C98">
      <w:pPr>
        <w:pStyle w:val="15"/>
        <w:adjustRightInd w:val="0"/>
        <w:snapToGrid w:val="0"/>
        <w:spacing w:line="560" w:lineRule="exact"/>
        <w:jc w:val="left"/>
        <w:rPr>
          <w:rFonts w:eastAsia="仿宋_GB2312" w:cs="仿宋_GB2312"/>
          <w:sz w:val="32"/>
          <w:szCs w:val="32"/>
        </w:rPr>
      </w:pPr>
      <w:bookmarkStart w:id="71" w:name="_Toc15396627"/>
      <w:r>
        <w:rPr>
          <w:rFonts w:hint="eastAsia" w:eastAsia="仿宋_GB2312" w:cs="仿宋_GB2312"/>
          <w:sz w:val="32"/>
          <w:szCs w:val="32"/>
        </w:rPr>
        <w:t>九、一般公共预算财政拨款项目支出决算表</w:t>
      </w:r>
      <w:bookmarkEnd w:id="71"/>
    </w:p>
    <w:p w14:paraId="4E6CA56A">
      <w:pPr>
        <w:pStyle w:val="15"/>
        <w:adjustRightInd w:val="0"/>
        <w:snapToGrid w:val="0"/>
        <w:spacing w:line="560" w:lineRule="exact"/>
        <w:jc w:val="left"/>
        <w:rPr>
          <w:rFonts w:eastAsia="仿宋_GB2312" w:cs="仿宋_GB2312"/>
          <w:sz w:val="32"/>
          <w:szCs w:val="32"/>
        </w:rPr>
      </w:pPr>
      <w:bookmarkStart w:id="72" w:name="_Toc15396628"/>
      <w:r>
        <w:rPr>
          <w:rFonts w:hint="eastAsia" w:eastAsia="仿宋_GB2312" w:cs="仿宋_GB2312"/>
          <w:sz w:val="32"/>
          <w:szCs w:val="32"/>
        </w:rPr>
        <w:t>十、</w:t>
      </w:r>
      <w:bookmarkEnd w:id="72"/>
      <w:r>
        <w:rPr>
          <w:rFonts w:hint="eastAsia" w:eastAsia="仿宋_GB2312" w:cs="仿宋_GB2312"/>
          <w:sz w:val="32"/>
          <w:szCs w:val="32"/>
        </w:rPr>
        <w:t>政府性基金预算财政拨款收入支出决算表</w:t>
      </w:r>
    </w:p>
    <w:p w14:paraId="3912B750">
      <w:pPr>
        <w:pStyle w:val="15"/>
        <w:adjustRightInd w:val="0"/>
        <w:snapToGrid w:val="0"/>
        <w:spacing w:line="560" w:lineRule="exact"/>
        <w:jc w:val="left"/>
        <w:rPr>
          <w:rFonts w:eastAsia="仿宋_GB2312" w:cs="仿宋_GB2312"/>
          <w:sz w:val="32"/>
          <w:szCs w:val="32"/>
        </w:rPr>
      </w:pPr>
      <w:bookmarkStart w:id="73" w:name="_Toc15396629"/>
      <w:r>
        <w:rPr>
          <w:rFonts w:hint="eastAsia" w:eastAsia="仿宋_GB2312" w:cs="仿宋_GB2312"/>
          <w:sz w:val="32"/>
          <w:szCs w:val="32"/>
        </w:rPr>
        <w:t>十一、</w:t>
      </w:r>
      <w:bookmarkEnd w:id="73"/>
      <w:r>
        <w:rPr>
          <w:rFonts w:hint="eastAsia" w:eastAsia="仿宋_GB2312" w:cs="仿宋_GB2312"/>
          <w:sz w:val="32"/>
          <w:szCs w:val="32"/>
        </w:rPr>
        <w:t>国有资本经营预算财政拨款收入支出决算表</w:t>
      </w:r>
    </w:p>
    <w:p w14:paraId="1E0F4FCE">
      <w:pPr>
        <w:pStyle w:val="15"/>
        <w:adjustRightInd w:val="0"/>
        <w:snapToGrid w:val="0"/>
        <w:spacing w:line="560" w:lineRule="exact"/>
        <w:jc w:val="left"/>
        <w:rPr>
          <w:rFonts w:eastAsia="仿宋_GB2312" w:cs="仿宋_GB2312"/>
          <w:sz w:val="32"/>
          <w:szCs w:val="32"/>
        </w:rPr>
      </w:pPr>
      <w:bookmarkStart w:id="74" w:name="_Toc15396630"/>
      <w:r>
        <w:rPr>
          <w:rFonts w:hint="eastAsia" w:eastAsia="仿宋_GB2312" w:cs="仿宋_GB2312"/>
          <w:sz w:val="32"/>
          <w:szCs w:val="32"/>
        </w:rPr>
        <w:t>十二、</w:t>
      </w:r>
      <w:bookmarkEnd w:id="74"/>
      <w:r>
        <w:rPr>
          <w:rFonts w:hint="eastAsia" w:eastAsia="仿宋_GB2312" w:cs="仿宋_GB2312"/>
          <w:sz w:val="32"/>
          <w:szCs w:val="32"/>
        </w:rPr>
        <w:t>国有资本经营预算财政拨款支出决算表</w:t>
      </w:r>
    </w:p>
    <w:p w14:paraId="4C756036">
      <w:pPr>
        <w:pStyle w:val="15"/>
        <w:adjustRightInd w:val="0"/>
        <w:snapToGrid w:val="0"/>
        <w:spacing w:line="560" w:lineRule="exact"/>
        <w:jc w:val="left"/>
        <w:rPr>
          <w:rFonts w:eastAsia="仿宋_GB2312" w:cs="仿宋_GB2312"/>
          <w:sz w:val="32"/>
          <w:szCs w:val="32"/>
        </w:rPr>
      </w:pPr>
      <w:bookmarkStart w:id="75" w:name="_Toc15396631"/>
      <w:r>
        <w:rPr>
          <w:rFonts w:hint="eastAsia" w:eastAsia="仿宋_GB2312" w:cs="仿宋_GB2312"/>
          <w:sz w:val="32"/>
          <w:szCs w:val="32"/>
        </w:rPr>
        <w:t>十三、</w:t>
      </w:r>
      <w:bookmarkEnd w:id="75"/>
      <w:r>
        <w:rPr>
          <w:rFonts w:hint="eastAsia" w:eastAsia="仿宋_GB2312" w:cs="仿宋_GB2312"/>
          <w:sz w:val="32"/>
          <w:szCs w:val="32"/>
        </w:rPr>
        <w:t>财政拨款“三公”经费支出决算表</w:t>
      </w:r>
    </w:p>
    <w:p w14:paraId="4DF8D14E"/>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8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0F8B">
    <w:pPr>
      <w:pStyle w:val="11"/>
      <w:jc w:val="center"/>
    </w:pPr>
  </w:p>
  <w:p w14:paraId="65411AA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7BE3"/>
  <w:p w14:paraId="0ED8303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B6F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EE5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76885"/>
    <w:multiLevelType w:val="singleLevel"/>
    <w:tmpl w:val="10676885"/>
    <w:lvl w:ilvl="0" w:tentative="0">
      <w:start w:val="10"/>
      <w:numFmt w:val="decimal"/>
      <w:lvlText w:val="%1."/>
      <w:lvlJc w:val="left"/>
      <w:pPr>
        <w:tabs>
          <w:tab w:val="left" w:pos="312"/>
        </w:tabs>
      </w:pPr>
    </w:lvl>
  </w:abstractNum>
  <w:abstractNum w:abstractNumId="1">
    <w:nsid w:val="315A3FAF"/>
    <w:multiLevelType w:val="singleLevel"/>
    <w:tmpl w:val="315A3FAF"/>
    <w:lvl w:ilvl="0" w:tentative="0">
      <w:start w:val="1"/>
      <w:numFmt w:val="decimal"/>
      <w:lvlText w:val="%1."/>
      <w:lvlJc w:val="left"/>
      <w:pPr>
        <w:tabs>
          <w:tab w:val="left" w:pos="312"/>
        </w:tabs>
      </w:pPr>
    </w:lvl>
  </w:abstractNum>
  <w:abstractNum w:abstractNumId="2">
    <w:nsid w:val="44454B80"/>
    <w:multiLevelType w:val="singleLevel"/>
    <w:tmpl w:val="44454B8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07A0"/>
    <w:rsid w:val="000E6613"/>
    <w:rsid w:val="000E7119"/>
    <w:rsid w:val="00114E9B"/>
    <w:rsid w:val="00142216"/>
    <w:rsid w:val="001432D7"/>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63C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68A1"/>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B79"/>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D42BB8"/>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156468"/>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9F73B4"/>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000FE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6C0419"/>
    <w:rsid w:val="62BF3928"/>
    <w:rsid w:val="63B3701E"/>
    <w:rsid w:val="647F5392"/>
    <w:rsid w:val="65E66580"/>
    <w:rsid w:val="664B1D71"/>
    <w:rsid w:val="664B4E8E"/>
    <w:rsid w:val="66F23D70"/>
    <w:rsid w:val="67277B67"/>
    <w:rsid w:val="675E5243"/>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5C7CED"/>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5"/>
    <w:next w:val="5"/>
    <w:link w:val="36"/>
    <w:unhideWhenUsed/>
    <w:qFormat/>
    <w:uiPriority w:val="9"/>
    <w:pPr>
      <w:keepNext/>
      <w:keepLines/>
      <w:spacing w:before="260" w:after="260" w:line="416"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5">
    <w:name w:val="闻世正文"/>
    <w:basedOn w:val="1"/>
    <w:qFormat/>
    <w:uiPriority w:val="3"/>
    <w:pPr>
      <w:spacing w:line="600" w:lineRule="exact"/>
      <w:ind w:firstLine="640" w:firstLineChars="200"/>
    </w:pPr>
    <w:rPr>
      <w:rFonts w:eastAsia="仿宋_GB2312"/>
      <w:kern w:val="0"/>
      <w:sz w:val="32"/>
      <w:szCs w:val="28"/>
      <w:lang w:val="zh-CN"/>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footnote reference"/>
    <w:qFormat/>
    <w:uiPriority w:val="0"/>
    <w:rPr>
      <w:vertAlign w:val="superscript"/>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字符"/>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字符"/>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字符"/>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link w:val="2"/>
    <w:qFormat/>
    <w:uiPriority w:val="9"/>
    <w:rPr>
      <w:rFonts w:ascii="Times New Roman" w:hAnsi="Times New Roman"/>
      <w:b/>
      <w:bCs/>
      <w:kern w:val="44"/>
      <w:sz w:val="44"/>
      <w:szCs w:val="44"/>
    </w:rPr>
  </w:style>
  <w:style w:type="character" w:customStyle="1" w:styleId="33">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8"/>
    <w:link w:val="10"/>
    <w:semiHidden/>
    <w:qFormat/>
    <w:uiPriority w:val="99"/>
    <w:rPr>
      <w:rFonts w:ascii="Times New Roman" w:hAnsi="Times New Roman"/>
      <w:kern w:val="2"/>
      <w:sz w:val="18"/>
      <w:szCs w:val="18"/>
    </w:rPr>
  </w:style>
  <w:style w:type="character" w:customStyle="1" w:styleId="36">
    <w:name w:val="标题 3 字符"/>
    <w:basedOn w:val="18"/>
    <w:link w:val="4"/>
    <w:qFormat/>
    <w:uiPriority w:val="9"/>
    <w:rPr>
      <w:rFonts w:ascii="Times New Roman" w:hAnsi="Times New Roman"/>
      <w:b/>
      <w:bCs/>
      <w:kern w:val="2"/>
      <w:sz w:val="32"/>
      <w:szCs w:val="32"/>
    </w:rPr>
  </w:style>
  <w:style w:type="paragraph" w:customStyle="1" w:styleId="3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汇政正文"/>
    <w:basedOn w:val="1"/>
    <w:qFormat/>
    <w:uiPriority w:val="3"/>
    <w:pPr>
      <w:spacing w:line="600" w:lineRule="exact"/>
      <w:ind w:firstLine="640" w:firstLineChars="200"/>
    </w:pPr>
    <w:rPr>
      <w:rFonts w:eastAsia="仿宋_GB2312"/>
      <w:kern w:val="0"/>
      <w:sz w:val="32"/>
      <w:szCs w:val="28"/>
      <w:lang w:val="zh-CN"/>
    </w:rPr>
  </w:style>
  <w:style w:type="character" w:customStyle="1" w:styleId="40">
    <w:name w:val="汇政正文 Char"/>
    <w:qFormat/>
    <w:uiPriority w:val="3"/>
    <w:rPr>
      <w:rFonts w:eastAsia="仿宋_GB2312"/>
      <w:sz w:val="32"/>
      <w:szCs w:val="32"/>
      <w:lang w:val="zh-CN"/>
    </w:rPr>
  </w:style>
  <w:style w:type="character" w:customStyle="1" w:styleId="41">
    <w:name w:val="font21"/>
    <w:basedOn w:val="18"/>
    <w:qFormat/>
    <w:uiPriority w:val="0"/>
    <w:rPr>
      <w:rFonts w:hint="eastAsia" w:ascii="宋体" w:hAnsi="宋体" w:eastAsia="宋体" w:cs="宋体"/>
      <w:b/>
      <w:bCs/>
      <w:color w:val="000000"/>
      <w:sz w:val="22"/>
      <w:szCs w:val="22"/>
      <w:u w:val="none"/>
    </w:rPr>
  </w:style>
  <w:style w:type="character" w:customStyle="1" w:styleId="42">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收入、支出决算总计变动情况图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a:gsLst>
                <a:gs pos="0">
                  <a:schemeClr val="accent1"/>
                </a:gs>
                <a:gs pos="100000">
                  <a:schemeClr val="accent2"/>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Sheet1!$B$2:$B$3</c:f>
              <c:numCache>
                <c:formatCode>General</c:formatCode>
                <c:ptCount val="2"/>
                <c:pt idx="0">
                  <c:v>2711.5</c:v>
                </c:pt>
                <c:pt idx="1">
                  <c:v>1757.6</c:v>
                </c:pt>
              </c:numCache>
            </c:numRef>
          </c:val>
        </c:ser>
        <c:ser>
          <c:idx val="1"/>
          <c:order val="1"/>
          <c:tx>
            <c:strRef>
              <c:f>Sheet1!$C$1</c:f>
              <c:strCache>
                <c:ptCount val="1"/>
                <c:pt idx="0">
                  <c:v>支出</c:v>
                </c:pt>
              </c:strCache>
            </c:strRef>
          </c:tx>
          <c:spPr>
            <a:gradFill>
              <a:gsLst>
                <a:gs pos="0">
                  <a:schemeClr val="accent3"/>
                </a:gs>
                <a:gs pos="100000">
                  <a:schemeClr val="accent4"/>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Sheet1!$C$2:$C$3</c:f>
              <c:numCache>
                <c:formatCode>General</c:formatCode>
                <c:ptCount val="2"/>
                <c:pt idx="0">
                  <c:v>3231.5</c:v>
                </c:pt>
                <c:pt idx="1">
                  <c:v>1993.51</c:v>
                </c:pt>
              </c:numCache>
            </c:numRef>
          </c:val>
        </c:ser>
        <c:ser>
          <c:idx val="2"/>
          <c:order val="2"/>
          <c:tx>
            <c:strRef>
              <c:f>Sheet1!#REF!</c:f>
              <c:strCache>
                <c:ptCount val="1"/>
                <c:pt idx="0">
                  <c:v/>
                </c:pt>
              </c:strCache>
            </c:strRef>
          </c:tx>
          <c:spPr>
            <a:gradFill>
              <a:gsLst>
                <a:gs pos="0">
                  <a:schemeClr val="accent5"/>
                </a:gs>
                <a:gs pos="100000">
                  <a:schemeClr val="accent6"/>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740637738"/>
        <c:axId val="385266526"/>
      </c:barChart>
      <c:catAx>
        <c:axId val="74063773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85266526"/>
        <c:crosses val="autoZero"/>
        <c:auto val="1"/>
        <c:lblAlgn val="ctr"/>
        <c:lblOffset val="100"/>
        <c:noMultiLvlLbl val="0"/>
      </c:catAx>
      <c:valAx>
        <c:axId val="38526652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40637738"/>
        <c:crosses val="autoZero"/>
        <c:crossBetween val="between"/>
      </c:valAx>
      <c:spPr>
        <a:noFill/>
        <a:ln w="6350">
          <a:solidFill>
            <a:schemeClr val="tx1">
              <a:lumMod val="50000"/>
              <a:lumOff val="50000"/>
              <a:alpha val="2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8c09483d-54f6-4b69-9577-7984d3ff290f}"/>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收入决算结构图</a:t>
            </a:r>
            <a:endParaRPr lang="zh-CN" altLang="en-US"/>
          </a:p>
        </c:rich>
      </c:tx>
      <c:layout/>
      <c:overlay val="0"/>
      <c:spPr>
        <a:noFill/>
        <a:ln>
          <a:noFill/>
        </a:ln>
        <a:effectLst/>
      </c:spPr>
    </c:title>
    <c:autoTitleDeleted val="0"/>
    <c:plotArea>
      <c:layout/>
      <c:pieChart>
        <c:varyColors val="1"/>
        <c:ser>
          <c:idx val="1"/>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1277.79</c:v>
                </c:pt>
                <c:pt idx="1">
                  <c:v>1433.71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7a652eb-b251-4cb9-840b-945680794718}"/>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支出决算结构图</a:t>
            </a:r>
            <a:endParaRPr lang="zh-CN" altLang="en-US"/>
          </a:p>
        </c:rich>
      </c:tx>
      <c:layout>
        <c:manualLayout>
          <c:xMode val="edge"/>
          <c:yMode val="edge"/>
          <c:x val="0.414472094708867"/>
          <c:y val="0.0361240968975776"/>
        </c:manualLayout>
      </c:layout>
      <c:overlay val="0"/>
      <c:spPr>
        <a:noFill/>
        <a:ln>
          <a:noFill/>
        </a:ln>
        <a:effectLst/>
      </c:spPr>
    </c:title>
    <c:autoTitleDeleted val="0"/>
    <c:plotArea>
      <c:layout/>
      <c:pieChart>
        <c:varyColors val="1"/>
        <c:ser>
          <c:idx val="1"/>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523.31</c:v>
                </c:pt>
                <c:pt idx="1">
                  <c:v>2708.2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6b42d75-f2d2-4ab5-aa71-fe47b4707c04}"/>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a:gsLst>
                <a:gs pos="0">
                  <a:schemeClr val="accent1"/>
                </a:gs>
                <a:gs pos="100000">
                  <a:schemeClr val="accent2"/>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Sheet1!$B$2:$B$3</c:f>
              <c:numCache>
                <c:formatCode>General</c:formatCode>
                <c:ptCount val="2"/>
                <c:pt idx="0">
                  <c:v>2711.5</c:v>
                </c:pt>
                <c:pt idx="1">
                  <c:v>1757.6</c:v>
                </c:pt>
              </c:numCache>
            </c:numRef>
          </c:val>
        </c:ser>
        <c:ser>
          <c:idx val="1"/>
          <c:order val="1"/>
          <c:tx>
            <c:strRef>
              <c:f>Sheet1!$C$1</c:f>
              <c:strCache>
                <c:ptCount val="1"/>
                <c:pt idx="0">
                  <c:v>支出</c:v>
                </c:pt>
              </c:strCache>
            </c:strRef>
          </c:tx>
          <c:spPr>
            <a:gradFill>
              <a:gsLst>
                <a:gs pos="0">
                  <a:schemeClr val="accent3"/>
                </a:gs>
                <a:gs pos="100000">
                  <a:schemeClr val="accent4"/>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Sheet1!$C$2:$C$3</c:f>
              <c:numCache>
                <c:formatCode>General</c:formatCode>
                <c:ptCount val="2"/>
                <c:pt idx="0">
                  <c:v>3231.5</c:v>
                </c:pt>
                <c:pt idx="1">
                  <c:v>1993.51</c:v>
                </c:pt>
              </c:numCache>
            </c:numRef>
          </c:val>
        </c:ser>
        <c:ser>
          <c:idx val="2"/>
          <c:order val="2"/>
          <c:tx>
            <c:strRef>
              <c:f>Sheet1!#REF!</c:f>
              <c:strCache>
                <c:ptCount val="1"/>
                <c:pt idx="0">
                  <c:v/>
                </c:pt>
              </c:strCache>
            </c:strRef>
          </c:tx>
          <c:spPr>
            <a:gradFill>
              <a:gsLst>
                <a:gs pos="0">
                  <a:schemeClr val="accent5"/>
                </a:gs>
                <a:gs pos="100000">
                  <a:schemeClr val="accent6"/>
                </a:gs>
              </a:gsLst>
              <a:lin ang="5400000" scaled="0"/>
            </a:gra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740637738"/>
        <c:axId val="385266526"/>
      </c:barChart>
      <c:catAx>
        <c:axId val="74063773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85266526"/>
        <c:crosses val="autoZero"/>
        <c:auto val="1"/>
        <c:lblAlgn val="ctr"/>
        <c:lblOffset val="100"/>
        <c:noMultiLvlLbl val="0"/>
      </c:catAx>
      <c:valAx>
        <c:axId val="38526652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40637738"/>
        <c:crosses val="autoZero"/>
        <c:crossBetween val="between"/>
      </c:valAx>
      <c:spPr>
        <a:noFill/>
        <a:ln w="6350">
          <a:solidFill>
            <a:schemeClr val="tx1">
              <a:lumMod val="50000"/>
              <a:lumOff val="50000"/>
              <a:alpha val="2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53436ecd-fdcd-46df-ae6a-1ef8ecd2532f}"/>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1797.79</c:v>
                </c:pt>
                <c:pt idx="1">
                  <c:v>1993.5</c:v>
                </c:pt>
              </c:numCache>
            </c:numRef>
          </c:val>
        </c:ser>
        <c:ser>
          <c:idx val="1"/>
          <c:order val="1"/>
          <c:tx>
            <c:strRef>
              <c:f>Sheet1!$C$1</c:f>
              <c:strCache>
                <c:ptCount val="1"/>
                <c:pt idx="0">
                  <c:v>本年支出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Sheet1!$C$2:$C$3</c:f>
              <c:numCache>
                <c:formatCode>General</c:formatCode>
                <c:ptCount val="2"/>
                <c:pt idx="0">
                  <c:v>3231.5</c:v>
                </c:pt>
                <c:pt idx="1">
                  <c:v>1993.5</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60"/>
        <c:overlap val="-32"/>
        <c:axId val="232709851"/>
        <c:axId val="418089360"/>
      </c:barChart>
      <c:catAx>
        <c:axId val="232709851"/>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18089360"/>
        <c:crosses val="autoZero"/>
        <c:auto val="1"/>
        <c:lblAlgn val="ctr"/>
        <c:lblOffset val="100"/>
        <c:noMultiLvlLbl val="0"/>
      </c:catAx>
      <c:valAx>
        <c:axId val="418089360"/>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32709851"/>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2cbd0a2-baaa-411f-91fe-56cdc66f0011}"/>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一般公共预算财政拨款支出决算</a:t>
            </a:r>
            <a:endParaRPr lang="zh-CN" altLang="en-US"/>
          </a:p>
        </c:rich>
      </c:tx>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商业服务业等支出</c:v>
                </c:pt>
              </c:strCache>
            </c:strRef>
          </c:cat>
          <c:val>
            <c:numRef>
              <c:f>Sheet1!$B$2:$B$5</c:f>
              <c:numCache>
                <c:formatCode>General</c:formatCode>
                <c:ptCount val="4"/>
                <c:pt idx="0">
                  <c:v>929.99</c:v>
                </c:pt>
                <c:pt idx="1">
                  <c:v>81.86</c:v>
                </c:pt>
                <c:pt idx="2">
                  <c:v>33.73</c:v>
                </c:pt>
                <c:pt idx="3">
                  <c:v>198.77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72b1761-cb66-4021-92b8-be88a5ec1c69}"/>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因公出国支出</c:v>
                </c:pt>
                <c:pt idx="1">
                  <c:v>公务车购置及运行维护</c:v>
                </c:pt>
                <c:pt idx="2">
                  <c:v>公务接待费</c:v>
                </c:pt>
              </c:strCache>
            </c:strRef>
          </c:cat>
          <c:val>
            <c:numRef>
              <c:f>Sheet1!$B$2:$B$4</c:f>
              <c:numCache>
                <c:formatCode>General</c:formatCode>
                <c:ptCount val="3"/>
                <c:pt idx="0">
                  <c:v>0</c:v>
                </c:pt>
                <c:pt idx="1">
                  <c:v>1.4</c:v>
                </c:pt>
                <c:pt idx="2">
                  <c:v>4.59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91e6c4ea-9a5c-4b48-832f-bc0ebcfb9534}"/>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3">
    <a:dk1>
      <a:srgbClr val="000000"/>
    </a:dk1>
    <a:lt1>
      <a:srgbClr val="FFFFFF"/>
    </a:lt1>
    <a:dk2>
      <a:srgbClr val="44546A"/>
    </a:dk2>
    <a:lt2>
      <a:srgbClr val="E7E6E6"/>
    </a:lt2>
    <a:accent1>
      <a:srgbClr val="EE5796"/>
    </a:accent1>
    <a:accent2>
      <a:srgbClr val="F9B525"/>
    </a:accent2>
    <a:accent3>
      <a:srgbClr val="6D78FA"/>
    </a:accent3>
    <a:accent4>
      <a:srgbClr val="0EE2EF"/>
    </a:accent4>
    <a:accent5>
      <a:srgbClr val="93DE03"/>
    </a:accent5>
    <a:accent6>
      <a:srgbClr val="F5F80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3">
    <a:dk1>
      <a:srgbClr val="000000"/>
    </a:dk1>
    <a:lt1>
      <a:srgbClr val="FFFFFF"/>
    </a:lt1>
    <a:dk2>
      <a:srgbClr val="44546A"/>
    </a:dk2>
    <a:lt2>
      <a:srgbClr val="E7E6E6"/>
    </a:lt2>
    <a:accent1>
      <a:srgbClr val="EE5796"/>
    </a:accent1>
    <a:accent2>
      <a:srgbClr val="F9B525"/>
    </a:accent2>
    <a:accent3>
      <a:srgbClr val="6D78FA"/>
    </a:accent3>
    <a:accent4>
      <a:srgbClr val="0EE2EF"/>
    </a:accent4>
    <a:accent5>
      <a:srgbClr val="93DE03"/>
    </a:accent5>
    <a:accent6>
      <a:srgbClr val="F5F80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33</Pages>
  <Words>26094</Words>
  <Characters>28064</Characters>
  <Lines>216</Lines>
  <Paragraphs>61</Paragraphs>
  <TotalTime>2100</TotalTime>
  <ScaleCrop>false</ScaleCrop>
  <LinksUpToDate>false</LinksUpToDate>
  <CharactersWithSpaces>28253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2025-10-28T01:24:31Z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C6CFF85C94D64925A5134582162CDA1C_13</vt:lpwstr>
  </property>
  <property fmtid="{D5CDD505-2E9C-101B-9397-08002B2CF9AE}" pid="4" name="KSOTemplateDocerSaveRecord">
    <vt:lpwstr>eyJoZGlkIjoiZGVlN2I0ZWY5NzI2Yjg4MWQ5NWU3MDlmN2I0NTRjMjEiLCJ1c2VySWQiOiI2MzI3Nzc4NjQifQ==</vt:lpwstr>
  </property>
</Properties>
</file>