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ascii="宋体" w:hAnsi="宋体" w:eastAsia="宋体" w:cs="宋体"/>
          <w:color w:val="auto"/>
          <w:kern w:val="2"/>
          <w:sz w:val="32"/>
          <w:szCs w:val="32"/>
          <w:highlight w:val="none"/>
          <w:lang w:val="en-US" w:eastAsia="zh-CN" w:bidi="ar-SA"/>
        </w:rPr>
      </w:pPr>
      <w:bookmarkStart w:id="0" w:name="_Toc15306267"/>
      <w:bookmarkStart w:id="1" w:name="_Toc15377193"/>
      <w:bookmarkStart w:id="2" w:name="_Toc15396597"/>
      <w:bookmarkStart w:id="3" w:name="_Toc15378441"/>
      <w:bookmarkStart w:id="4" w:name="_Toc15396475"/>
      <w:bookmarkStart w:id="5" w:name="_Toc15377425"/>
    </w:p>
    <w:p>
      <w:pPr>
        <w:pStyle w:val="8"/>
        <w:jc w:val="center"/>
        <w:rPr>
          <w:rFonts w:hint="eastAsia" w:ascii="宋体" w:hAnsi="宋体" w:eastAsia="宋体" w:cs="宋体"/>
          <w:color w:val="auto"/>
          <w:kern w:val="2"/>
          <w:sz w:val="32"/>
          <w:szCs w:val="32"/>
          <w:highlight w:val="none"/>
          <w:lang w:val="en-US" w:eastAsia="zh-CN" w:bidi="ar-SA"/>
        </w:rPr>
      </w:pPr>
    </w:p>
    <w:p>
      <w:pPr>
        <w:pStyle w:val="8"/>
        <w:jc w:val="center"/>
        <w:rPr>
          <w:rFonts w:hint="eastAsia" w:ascii="宋体" w:hAnsi="宋体" w:eastAsia="宋体" w:cs="宋体"/>
          <w:b/>
          <w:bCs/>
          <w:color w:val="auto"/>
          <w:kern w:val="2"/>
          <w:sz w:val="52"/>
          <w:szCs w:val="52"/>
          <w:highlight w:val="none"/>
          <w:lang w:val="en-US" w:eastAsia="zh-CN" w:bidi="ar-SA"/>
        </w:rPr>
      </w:pPr>
    </w:p>
    <w:p>
      <w:pPr>
        <w:pStyle w:val="8"/>
        <w:jc w:val="center"/>
        <w:rPr>
          <w:rFonts w:hint="eastAsia" w:ascii="宋体" w:hAnsi="宋体" w:eastAsia="宋体" w:cs="宋体"/>
          <w:b/>
          <w:bCs/>
          <w:color w:val="auto"/>
          <w:kern w:val="2"/>
          <w:sz w:val="52"/>
          <w:szCs w:val="52"/>
          <w:highlight w:val="none"/>
          <w:lang w:val="en-US" w:eastAsia="zh-CN" w:bidi="ar-SA"/>
        </w:rPr>
      </w:pPr>
      <w:r>
        <w:rPr>
          <w:rFonts w:hint="eastAsia" w:ascii="宋体" w:hAnsi="宋体" w:eastAsia="宋体" w:cs="宋体"/>
          <w:b/>
          <w:bCs/>
          <w:color w:val="auto"/>
          <w:kern w:val="2"/>
          <w:sz w:val="52"/>
          <w:szCs w:val="52"/>
          <w:highlight w:val="none"/>
          <w:lang w:val="en-US" w:eastAsia="zh-CN" w:bidi="ar-SA"/>
        </w:rPr>
        <w:t>2024年度攀枝花市</w:t>
      </w:r>
    </w:p>
    <w:p>
      <w:pPr>
        <w:pStyle w:val="8"/>
        <w:jc w:val="center"/>
        <w:rPr>
          <w:rFonts w:hint="eastAsia" w:ascii="宋体" w:hAnsi="宋体" w:eastAsia="宋体" w:cs="宋体"/>
          <w:b/>
          <w:bCs/>
          <w:color w:val="auto"/>
          <w:kern w:val="2"/>
          <w:sz w:val="52"/>
          <w:szCs w:val="52"/>
          <w:highlight w:val="none"/>
          <w:lang w:val="en-US" w:eastAsia="zh-CN" w:bidi="ar-SA"/>
        </w:rPr>
      </w:pPr>
    </w:p>
    <w:p>
      <w:pPr>
        <w:pStyle w:val="8"/>
        <w:jc w:val="center"/>
        <w:rPr>
          <w:rFonts w:hint="eastAsia" w:ascii="宋体" w:hAnsi="宋体" w:eastAsia="宋体" w:cs="宋体"/>
          <w:b/>
          <w:bCs/>
          <w:color w:val="auto"/>
          <w:kern w:val="2"/>
          <w:sz w:val="52"/>
          <w:szCs w:val="52"/>
          <w:highlight w:val="none"/>
          <w:lang w:val="en-US" w:eastAsia="zh-CN" w:bidi="ar-SA"/>
        </w:rPr>
      </w:pPr>
      <w:r>
        <w:rPr>
          <w:rFonts w:hint="eastAsia" w:ascii="宋体" w:hAnsi="宋体" w:eastAsia="宋体" w:cs="宋体"/>
          <w:b/>
          <w:bCs/>
          <w:color w:val="auto"/>
          <w:kern w:val="2"/>
          <w:sz w:val="52"/>
          <w:szCs w:val="52"/>
          <w:highlight w:val="none"/>
          <w:lang w:val="en-US" w:eastAsia="zh-CN" w:bidi="ar-SA"/>
        </w:rPr>
        <w:t>东区财政国库支付中心</w:t>
      </w:r>
    </w:p>
    <w:p>
      <w:pPr>
        <w:pStyle w:val="8"/>
        <w:jc w:val="center"/>
        <w:rPr>
          <w:rFonts w:hint="eastAsia" w:ascii="宋体" w:hAnsi="宋体" w:eastAsia="宋体" w:cs="宋体"/>
          <w:b/>
          <w:bCs/>
          <w:color w:val="auto"/>
          <w:kern w:val="2"/>
          <w:sz w:val="52"/>
          <w:szCs w:val="52"/>
          <w:highlight w:val="none"/>
          <w:lang w:val="en-US" w:eastAsia="zh-CN" w:bidi="ar-SA"/>
        </w:rPr>
      </w:pPr>
    </w:p>
    <w:p>
      <w:pPr>
        <w:pStyle w:val="8"/>
        <w:jc w:val="center"/>
        <w:rPr>
          <w:rFonts w:hint="default" w:ascii="宋体" w:hAnsi="宋体" w:eastAsia="宋体" w:cs="宋体"/>
          <w:b/>
          <w:bCs/>
          <w:color w:val="auto"/>
          <w:kern w:val="2"/>
          <w:sz w:val="52"/>
          <w:szCs w:val="52"/>
          <w:highlight w:val="none"/>
          <w:lang w:val="en-US" w:eastAsia="zh-CN" w:bidi="ar-SA"/>
        </w:rPr>
      </w:pPr>
      <w:r>
        <w:rPr>
          <w:rFonts w:hint="eastAsia" w:ascii="宋体" w:hAnsi="宋体" w:eastAsia="宋体" w:cs="宋体"/>
          <w:b/>
          <w:bCs/>
          <w:color w:val="auto"/>
          <w:kern w:val="2"/>
          <w:sz w:val="52"/>
          <w:szCs w:val="52"/>
          <w:highlight w:val="none"/>
          <w:lang w:val="en-US" w:eastAsia="zh-CN" w:bidi="ar-SA"/>
        </w:rPr>
        <w:t>单位决算编制说明</w:t>
      </w:r>
    </w:p>
    <w:p>
      <w:pPr>
        <w:pStyle w:val="8"/>
        <w:jc w:val="center"/>
        <w:rPr>
          <w:rFonts w:hint="eastAsia" w:ascii="宋体" w:hAnsi="宋体" w:eastAsia="宋体" w:cs="宋体"/>
          <w:color w:val="auto"/>
          <w:kern w:val="2"/>
          <w:sz w:val="84"/>
          <w:szCs w:val="84"/>
          <w:highlight w:val="none"/>
          <w:lang w:val="en-US" w:eastAsia="zh-CN" w:bidi="ar-SA"/>
        </w:rPr>
      </w:pPr>
    </w:p>
    <w:p>
      <w:pPr>
        <w:pStyle w:val="8"/>
        <w:jc w:val="center"/>
        <w:rPr>
          <w:rFonts w:hint="eastAsia" w:ascii="宋体" w:hAnsi="宋体" w:eastAsia="宋体" w:cs="宋体"/>
          <w:color w:val="auto"/>
          <w:kern w:val="2"/>
          <w:sz w:val="32"/>
          <w:szCs w:val="32"/>
          <w:highlight w:val="none"/>
          <w:lang w:val="en-US" w:eastAsia="zh-CN" w:bidi="ar-SA"/>
        </w:rPr>
      </w:pPr>
    </w:p>
    <w:p>
      <w:pPr>
        <w:pStyle w:val="8"/>
        <w:jc w:val="center"/>
        <w:rPr>
          <w:rFonts w:hint="eastAsia" w:ascii="宋体" w:hAnsi="宋体" w:eastAsia="宋体" w:cs="宋体"/>
          <w:color w:val="auto"/>
          <w:kern w:val="2"/>
          <w:sz w:val="32"/>
          <w:szCs w:val="32"/>
          <w:highlight w:val="none"/>
          <w:lang w:val="en-US" w:eastAsia="zh-CN" w:bidi="ar-SA"/>
        </w:rPr>
      </w:pPr>
    </w:p>
    <w:p>
      <w:pPr>
        <w:pStyle w:val="8"/>
        <w:jc w:val="center"/>
        <w:rPr>
          <w:rFonts w:hint="eastAsia" w:ascii="宋体" w:hAnsi="宋体" w:eastAsia="宋体" w:cs="宋体"/>
          <w:color w:val="auto"/>
          <w:kern w:val="2"/>
          <w:sz w:val="32"/>
          <w:szCs w:val="32"/>
          <w:highlight w:val="none"/>
          <w:lang w:val="en-US" w:eastAsia="zh-CN" w:bidi="ar-SA"/>
        </w:rPr>
      </w:pPr>
    </w:p>
    <w:p>
      <w:pPr>
        <w:pStyle w:val="8"/>
        <w:jc w:val="center"/>
        <w:rPr>
          <w:rFonts w:hint="eastAsia" w:ascii="宋体" w:hAnsi="宋体" w:eastAsia="宋体" w:cs="宋体"/>
          <w:color w:val="auto"/>
          <w:kern w:val="2"/>
          <w:sz w:val="32"/>
          <w:szCs w:val="32"/>
          <w:highlight w:val="none"/>
          <w:lang w:val="en-US" w:eastAsia="zh-CN" w:bidi="ar-SA"/>
        </w:rPr>
      </w:pPr>
    </w:p>
    <w:p>
      <w:pPr>
        <w:pStyle w:val="8"/>
        <w:jc w:val="center"/>
        <w:rPr>
          <w:rFonts w:hint="eastAsia" w:ascii="宋体" w:hAnsi="宋体" w:eastAsia="宋体" w:cs="宋体"/>
          <w:color w:val="auto"/>
          <w:kern w:val="2"/>
          <w:sz w:val="32"/>
          <w:szCs w:val="32"/>
          <w:highlight w:val="none"/>
          <w:lang w:val="en-US" w:eastAsia="zh-CN" w:bidi="ar-SA"/>
        </w:rPr>
      </w:pPr>
    </w:p>
    <w:p>
      <w:pPr>
        <w:pStyle w:val="8"/>
        <w:jc w:val="center"/>
        <w:rPr>
          <w:rFonts w:hint="eastAsia" w:ascii="宋体" w:hAnsi="宋体" w:eastAsia="宋体" w:cs="宋体"/>
          <w:color w:val="auto"/>
          <w:kern w:val="2"/>
          <w:sz w:val="32"/>
          <w:szCs w:val="32"/>
          <w:highlight w:val="none"/>
          <w:lang w:val="en-US" w:eastAsia="zh-CN" w:bidi="ar-SA"/>
        </w:rPr>
      </w:pPr>
    </w:p>
    <w:p>
      <w:pPr>
        <w:spacing w:line="600" w:lineRule="exact"/>
        <w:jc w:val="center"/>
        <w:outlineLvl w:val="0"/>
        <w:rPr>
          <w:rFonts w:hint="eastAsia" w:ascii="宋体" w:hAnsi="宋体" w:eastAsia="宋体" w:cs="宋体"/>
          <w:color w:val="auto"/>
          <w:sz w:val="32"/>
          <w:szCs w:val="32"/>
          <w:highlight w:val="none"/>
        </w:rPr>
      </w:pPr>
    </w:p>
    <w:p>
      <w:pPr>
        <w:pStyle w:val="20"/>
        <w:rPr>
          <w:rFonts w:hint="eastAsia" w:ascii="宋体" w:hAnsi="宋体" w:eastAsia="宋体" w:cs="宋体"/>
          <w:sz w:val="32"/>
          <w:szCs w:val="32"/>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hint="eastAsia" w:ascii="宋体" w:hAnsi="宋体" w:eastAsia="宋体" w:cs="宋体"/>
          <w:sz w:val="32"/>
          <w:szCs w:val="32"/>
          <w:highlight w:val="none"/>
        </w:rPr>
      </w:pPr>
    </w:p>
    <w:bookmarkEnd w:id="0"/>
    <w:bookmarkEnd w:id="1"/>
    <w:bookmarkEnd w:id="2"/>
    <w:bookmarkEnd w:id="3"/>
    <w:bookmarkEnd w:id="4"/>
    <w:bookmarkEnd w:id="5"/>
    <w:p>
      <w:pPr>
        <w:widowControl/>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目录</w:t>
      </w:r>
    </w:p>
    <w:p>
      <w:pPr>
        <w:widowControl/>
        <w:jc w:val="center"/>
        <w:rPr>
          <w:rFonts w:hint="eastAsia" w:ascii="宋体" w:hAnsi="宋体" w:eastAsia="宋体" w:cs="宋体"/>
          <w:color w:val="auto"/>
          <w:sz w:val="28"/>
          <w:szCs w:val="28"/>
          <w:highlight w:val="none"/>
        </w:rPr>
      </w:pPr>
    </w:p>
    <w:p>
      <w:pPr>
        <w:pStyle w:val="1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公开时间：20</w:t>
      </w:r>
      <w:r>
        <w:rPr>
          <w:rFonts w:hint="eastAsia" w:ascii="宋体" w:hAnsi="宋体" w:eastAsia="宋体" w:cs="宋体"/>
          <w:color w:val="auto"/>
          <w:sz w:val="32"/>
          <w:szCs w:val="32"/>
          <w:highlight w:val="none"/>
          <w:lang w:val="en-US" w:eastAsia="zh-CN"/>
        </w:rPr>
        <w:t>25</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 xml:space="preserve"> 10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lang w:val="en-US" w:eastAsia="zh-CN"/>
        </w:rPr>
        <w:t xml:space="preserve"> 27</w:t>
      </w:r>
      <w:r>
        <w:rPr>
          <w:rFonts w:hint="eastAsia" w:ascii="宋体" w:hAnsi="宋体" w:eastAsia="宋体" w:cs="宋体"/>
          <w:color w:val="auto"/>
          <w:sz w:val="32"/>
          <w:szCs w:val="32"/>
          <w:highlight w:val="none"/>
        </w:rPr>
        <w:t>日</w:t>
      </w:r>
    </w:p>
    <w:p>
      <w:pPr>
        <w:pStyle w:val="13"/>
        <w:adjustRightInd w:val="0"/>
        <w:snapToGrid w:val="0"/>
        <w:spacing w:before="0"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 xml:space="preserve">第一部分 </w:t>
      </w:r>
      <w:r>
        <w:rPr>
          <w:rFonts w:hint="eastAsia" w:ascii="宋体" w:hAnsi="宋体" w:eastAsia="宋体" w:cs="宋体"/>
          <w:sz w:val="32"/>
          <w:szCs w:val="32"/>
          <w:lang w:val="en-US" w:eastAsia="zh-CN"/>
        </w:rPr>
        <w:t>单位</w:t>
      </w:r>
      <w:r>
        <w:rPr>
          <w:rFonts w:hint="eastAsia" w:ascii="宋体" w:hAnsi="宋体" w:eastAsia="宋体" w:cs="宋体"/>
          <w:sz w:val="32"/>
          <w:szCs w:val="32"/>
        </w:rPr>
        <w:t>概况</w:t>
      </w:r>
      <w:r>
        <w:rPr>
          <w:rFonts w:hint="eastAsia" w:ascii="宋体" w:hAnsi="宋体" w:eastAsia="宋体" w:cs="宋体"/>
          <w:sz w:val="32"/>
          <w:szCs w:val="32"/>
        </w:rPr>
        <w:tab/>
      </w:r>
      <w:r>
        <w:rPr>
          <w:rFonts w:hint="eastAsia" w:ascii="宋体" w:hAnsi="宋体" w:eastAsia="宋体" w:cs="宋体"/>
          <w:sz w:val="32"/>
          <w:szCs w:val="32"/>
          <w:lang w:val="en-US" w:eastAsia="zh-CN"/>
        </w:rPr>
        <w:t>4</w:t>
      </w:r>
    </w:p>
    <w:p>
      <w:pPr>
        <w:pStyle w:val="14"/>
        <w:adjustRightInd w:val="0"/>
        <w:snapToGrid w:val="0"/>
        <w:spacing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一、</w:t>
      </w:r>
      <w:r>
        <w:rPr>
          <w:rFonts w:hint="eastAsia" w:ascii="宋体" w:hAnsi="宋体" w:cs="宋体"/>
          <w:sz w:val="32"/>
          <w:szCs w:val="32"/>
          <w:lang w:val="en-US" w:eastAsia="zh-CN"/>
        </w:rPr>
        <w:t>主要</w:t>
      </w:r>
      <w:r>
        <w:rPr>
          <w:rFonts w:hint="eastAsia" w:ascii="宋体" w:hAnsi="宋体" w:eastAsia="宋体" w:cs="宋体"/>
          <w:sz w:val="32"/>
          <w:szCs w:val="32"/>
        </w:rPr>
        <w:t>职责</w:t>
      </w:r>
      <w:r>
        <w:rPr>
          <w:rFonts w:hint="eastAsia" w:ascii="宋体" w:hAnsi="宋体" w:eastAsia="宋体" w:cs="宋体"/>
          <w:sz w:val="32"/>
          <w:szCs w:val="32"/>
        </w:rPr>
        <w:tab/>
      </w:r>
      <w:r>
        <w:rPr>
          <w:rFonts w:hint="eastAsia" w:ascii="宋体" w:hAnsi="宋体" w:cs="宋体"/>
          <w:sz w:val="32"/>
          <w:szCs w:val="32"/>
          <w:lang w:val="en-US" w:eastAsia="zh-CN"/>
        </w:rPr>
        <w:t>4</w:t>
      </w:r>
    </w:p>
    <w:p>
      <w:pPr>
        <w:pStyle w:val="14"/>
        <w:adjustRightInd w:val="0"/>
        <w:snapToGrid w:val="0"/>
        <w:spacing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二、机构设置</w:t>
      </w:r>
      <w:r>
        <w:rPr>
          <w:rFonts w:hint="eastAsia" w:ascii="宋体" w:hAnsi="宋体" w:eastAsia="宋体" w:cs="宋体"/>
          <w:sz w:val="32"/>
          <w:szCs w:val="32"/>
        </w:rPr>
        <w:tab/>
      </w:r>
      <w:r>
        <w:rPr>
          <w:rFonts w:hint="eastAsia" w:ascii="宋体" w:hAnsi="宋体" w:cs="宋体"/>
          <w:sz w:val="32"/>
          <w:szCs w:val="32"/>
          <w:lang w:val="en-US" w:eastAsia="zh-CN"/>
        </w:rPr>
        <w:t>5</w:t>
      </w:r>
    </w:p>
    <w:p>
      <w:pPr>
        <w:pStyle w:val="13"/>
        <w:adjustRightInd w:val="0"/>
        <w:snapToGrid w:val="0"/>
        <w:spacing w:before="0"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第二部分 2024年度部门决算情况说明</w:t>
      </w:r>
      <w:r>
        <w:rPr>
          <w:rFonts w:hint="eastAsia" w:ascii="宋体" w:hAnsi="宋体" w:eastAsia="宋体" w:cs="宋体"/>
          <w:sz w:val="32"/>
          <w:szCs w:val="32"/>
        </w:rPr>
        <w:tab/>
      </w:r>
      <w:r>
        <w:rPr>
          <w:rFonts w:hint="eastAsia" w:ascii="宋体" w:hAnsi="宋体" w:eastAsia="宋体" w:cs="宋体"/>
          <w:sz w:val="32"/>
          <w:szCs w:val="32"/>
          <w:lang w:val="en-US" w:eastAsia="zh-CN"/>
        </w:rPr>
        <w:t>6</w:t>
      </w:r>
    </w:p>
    <w:p>
      <w:pPr>
        <w:pStyle w:val="14"/>
        <w:adjustRightInd w:val="0"/>
        <w:snapToGrid w:val="0"/>
        <w:spacing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一、收入支出决算总体情况说明</w:t>
      </w:r>
      <w:r>
        <w:rPr>
          <w:rFonts w:hint="eastAsia" w:ascii="宋体" w:hAnsi="宋体" w:eastAsia="宋体" w:cs="宋体"/>
          <w:sz w:val="32"/>
          <w:szCs w:val="32"/>
        </w:rPr>
        <w:tab/>
      </w:r>
      <w:r>
        <w:rPr>
          <w:rFonts w:hint="eastAsia" w:ascii="宋体" w:hAnsi="宋体" w:cs="宋体"/>
          <w:sz w:val="32"/>
          <w:szCs w:val="32"/>
          <w:lang w:val="en-US" w:eastAsia="zh-CN"/>
        </w:rPr>
        <w:t>6</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二、收入决算情况说明</w:t>
      </w:r>
      <w:r>
        <w:rPr>
          <w:rFonts w:hint="eastAsia" w:ascii="宋体" w:hAnsi="宋体" w:eastAsia="宋体" w:cs="宋体"/>
          <w:sz w:val="32"/>
          <w:szCs w:val="32"/>
        </w:rPr>
        <w:tab/>
      </w:r>
      <w:r>
        <w:rPr>
          <w:rFonts w:hint="eastAsia" w:ascii="宋体" w:hAnsi="宋体" w:cs="宋体"/>
          <w:sz w:val="32"/>
          <w:szCs w:val="32"/>
          <w:lang w:val="en-US" w:eastAsia="zh-CN"/>
        </w:rPr>
        <w:t>7</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三、支出决算情况说明</w:t>
      </w:r>
      <w:r>
        <w:rPr>
          <w:rFonts w:hint="eastAsia" w:ascii="宋体" w:hAnsi="宋体" w:eastAsia="宋体" w:cs="宋体"/>
          <w:sz w:val="32"/>
          <w:szCs w:val="32"/>
        </w:rPr>
        <w:tab/>
      </w:r>
      <w:r>
        <w:rPr>
          <w:rFonts w:hint="eastAsia" w:ascii="宋体" w:hAnsi="宋体" w:cs="宋体"/>
          <w:sz w:val="32"/>
          <w:szCs w:val="32"/>
          <w:lang w:val="en-US" w:eastAsia="zh-CN"/>
        </w:rPr>
        <w:t>8</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四、财政拨款收入支出决算总体情况说明</w:t>
      </w:r>
      <w:r>
        <w:rPr>
          <w:rFonts w:hint="eastAsia" w:ascii="宋体" w:hAnsi="宋体" w:eastAsia="宋体" w:cs="宋体"/>
          <w:sz w:val="32"/>
          <w:szCs w:val="32"/>
        </w:rPr>
        <w:tab/>
      </w:r>
      <w:r>
        <w:rPr>
          <w:rFonts w:hint="eastAsia" w:ascii="宋体" w:hAnsi="宋体" w:cs="宋体"/>
          <w:sz w:val="32"/>
          <w:szCs w:val="32"/>
          <w:lang w:val="en-US" w:eastAsia="zh-CN"/>
        </w:rPr>
        <w:t>8</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五、一般公共预算财政拨款支出决算情况说明</w:t>
      </w:r>
      <w:r>
        <w:rPr>
          <w:rFonts w:hint="eastAsia" w:ascii="宋体" w:hAnsi="宋体" w:eastAsia="宋体" w:cs="宋体"/>
          <w:sz w:val="32"/>
          <w:szCs w:val="32"/>
        </w:rPr>
        <w:tab/>
      </w:r>
      <w:r>
        <w:rPr>
          <w:rFonts w:hint="eastAsia" w:ascii="宋体" w:hAnsi="宋体" w:cs="宋体"/>
          <w:sz w:val="32"/>
          <w:szCs w:val="32"/>
          <w:lang w:val="en-US" w:eastAsia="zh-CN"/>
        </w:rPr>
        <w:t>9</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六、一般公共预算财政拨款基本支出决算情况说明</w:t>
      </w:r>
      <w:r>
        <w:rPr>
          <w:rFonts w:hint="eastAsia" w:ascii="宋体" w:hAnsi="宋体" w:eastAsia="宋体" w:cs="宋体"/>
          <w:sz w:val="32"/>
          <w:szCs w:val="32"/>
        </w:rPr>
        <w:tab/>
      </w:r>
      <w:r>
        <w:rPr>
          <w:rFonts w:hint="eastAsia" w:ascii="宋体" w:hAnsi="宋体" w:cs="宋体"/>
          <w:sz w:val="32"/>
          <w:szCs w:val="32"/>
          <w:lang w:val="en-US" w:eastAsia="zh-CN"/>
        </w:rPr>
        <w:t>11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七、财政拨款“三公”经费支出决算情况说明</w:t>
      </w:r>
      <w:r>
        <w:rPr>
          <w:rFonts w:hint="eastAsia" w:ascii="宋体" w:hAnsi="宋体" w:eastAsia="宋体" w:cs="宋体"/>
          <w:sz w:val="32"/>
          <w:szCs w:val="32"/>
        </w:rPr>
        <w:tab/>
      </w:r>
      <w:r>
        <w:rPr>
          <w:rFonts w:hint="eastAsia" w:ascii="宋体" w:hAnsi="宋体" w:cs="宋体"/>
          <w:sz w:val="32"/>
          <w:szCs w:val="32"/>
          <w:lang w:val="en-US" w:eastAsia="zh-CN"/>
        </w:rPr>
        <w:t>12</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八、政府性基金预算支出决算情况说明</w:t>
      </w:r>
      <w:r>
        <w:rPr>
          <w:rFonts w:hint="eastAsia" w:ascii="宋体" w:hAnsi="宋体" w:eastAsia="宋体" w:cs="宋体"/>
          <w:sz w:val="32"/>
          <w:szCs w:val="32"/>
        </w:rPr>
        <w:tab/>
      </w:r>
      <w:r>
        <w:rPr>
          <w:rFonts w:hint="eastAsia" w:ascii="宋体" w:hAnsi="宋体" w:cs="宋体"/>
          <w:sz w:val="32"/>
          <w:szCs w:val="32"/>
          <w:lang w:val="en-US" w:eastAsia="zh-CN"/>
        </w:rPr>
        <w:t>14</w:t>
      </w:r>
    </w:p>
    <w:p>
      <w:pPr>
        <w:pStyle w:val="14"/>
        <w:adjustRightInd w:val="0"/>
        <w:snapToGrid w:val="0"/>
        <w:spacing w:line="600" w:lineRule="exact"/>
        <w:ind w:leftChars="0"/>
        <w:jc w:val="left"/>
        <w:rPr>
          <w:rFonts w:hint="default" w:ascii="宋体" w:hAnsi="宋体" w:eastAsia="宋体" w:cs="宋体"/>
          <w:sz w:val="32"/>
          <w:szCs w:val="32"/>
          <w:lang w:val="en-US" w:eastAsia="zh-CN"/>
        </w:rPr>
      </w:pPr>
      <w:r>
        <w:rPr>
          <w:rFonts w:hint="eastAsia" w:ascii="宋体" w:hAnsi="宋体" w:eastAsia="宋体" w:cs="宋体"/>
          <w:sz w:val="32"/>
          <w:szCs w:val="32"/>
        </w:rPr>
        <w:t>九、国有资本经营预算支出决算情况说明</w:t>
      </w:r>
      <w:r>
        <w:rPr>
          <w:rFonts w:hint="eastAsia" w:ascii="宋体" w:hAnsi="宋体" w:eastAsia="宋体" w:cs="宋体"/>
          <w:sz w:val="32"/>
          <w:szCs w:val="32"/>
        </w:rPr>
        <w:tab/>
      </w:r>
      <w:r>
        <w:rPr>
          <w:rFonts w:hint="eastAsia" w:ascii="宋体" w:hAnsi="宋体" w:cs="宋体"/>
          <w:sz w:val="32"/>
          <w:szCs w:val="32"/>
          <w:lang w:val="en-US" w:eastAsia="zh-CN"/>
        </w:rPr>
        <w:t>14</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十、其他重要事项的情况说明</w:t>
      </w:r>
      <w:r>
        <w:rPr>
          <w:rFonts w:hint="eastAsia" w:ascii="宋体" w:hAnsi="宋体" w:eastAsia="宋体" w:cs="宋体"/>
          <w:sz w:val="32"/>
          <w:szCs w:val="32"/>
        </w:rPr>
        <w:tab/>
      </w:r>
      <w:r>
        <w:rPr>
          <w:rFonts w:hint="eastAsia" w:ascii="宋体" w:hAnsi="宋体" w:cs="宋体"/>
          <w:sz w:val="32"/>
          <w:szCs w:val="32"/>
          <w:lang w:val="en-US" w:eastAsia="zh-CN"/>
        </w:rPr>
        <w:t>14</w:t>
      </w:r>
    </w:p>
    <w:p>
      <w:pPr>
        <w:pStyle w:val="13"/>
        <w:adjustRightInd w:val="0"/>
        <w:snapToGrid w:val="0"/>
        <w:spacing w:before="0"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第三部分 名词解释</w:t>
      </w:r>
      <w:r>
        <w:rPr>
          <w:rFonts w:hint="eastAsia" w:ascii="宋体" w:hAnsi="宋体" w:eastAsia="宋体" w:cs="宋体"/>
          <w:sz w:val="32"/>
          <w:szCs w:val="32"/>
        </w:rPr>
        <w:tab/>
      </w:r>
      <w:r>
        <w:rPr>
          <w:rFonts w:hint="eastAsia" w:ascii="宋体" w:hAnsi="宋体" w:eastAsia="宋体" w:cs="宋体"/>
          <w:sz w:val="32"/>
          <w:szCs w:val="32"/>
          <w:lang w:val="en-US" w:eastAsia="zh-CN"/>
        </w:rPr>
        <w:t>16</w:t>
      </w:r>
    </w:p>
    <w:p>
      <w:pPr>
        <w:pStyle w:val="13"/>
        <w:adjustRightInd w:val="0"/>
        <w:snapToGrid w:val="0"/>
        <w:spacing w:before="0"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第四部分 附件</w:t>
      </w:r>
      <w:r>
        <w:rPr>
          <w:rFonts w:hint="eastAsia" w:ascii="宋体" w:hAnsi="宋体" w:eastAsia="宋体" w:cs="宋体"/>
          <w:sz w:val="32"/>
          <w:szCs w:val="32"/>
        </w:rPr>
        <w:tab/>
      </w:r>
      <w:r>
        <w:rPr>
          <w:rFonts w:hint="eastAsia" w:ascii="宋体" w:hAnsi="宋体" w:eastAsia="宋体" w:cs="宋体"/>
          <w:sz w:val="32"/>
          <w:szCs w:val="32"/>
        </w:rPr>
        <w:t>2</w:t>
      </w:r>
      <w:r>
        <w:rPr>
          <w:rFonts w:hint="eastAsia" w:ascii="宋体" w:hAnsi="宋体" w:eastAsia="宋体" w:cs="宋体"/>
          <w:sz w:val="32"/>
          <w:szCs w:val="32"/>
          <w:lang w:val="en-US" w:eastAsia="zh-CN"/>
        </w:rPr>
        <w:t>0</w:t>
      </w:r>
    </w:p>
    <w:p>
      <w:pPr>
        <w:pStyle w:val="13"/>
        <w:adjustRightInd w:val="0"/>
        <w:snapToGrid w:val="0"/>
        <w:spacing w:before="0"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mc:AlternateContent>
          <mc:Choice Requires="wps">
            <w:drawing>
              <wp:anchor distT="0" distB="0" distL="114300" distR="114300" simplePos="0" relativeHeight="251666432" behindDoc="0" locked="0" layoutInCell="1" allowOverlap="1">
                <wp:simplePos x="0" y="0"/>
                <wp:positionH relativeFrom="column">
                  <wp:posOffset>-1681480</wp:posOffset>
                </wp:positionH>
                <wp:positionV relativeFrom="paragraph">
                  <wp:posOffset>440690</wp:posOffset>
                </wp:positionV>
                <wp:extent cx="1346200" cy="596900"/>
                <wp:effectExtent l="6350" t="6350" r="19050" b="6350"/>
                <wp:wrapNone/>
                <wp:docPr id="9" name="矩形 9"/>
                <wp:cNvGraphicFramePr/>
                <a:graphic xmlns:a="http://schemas.openxmlformats.org/drawingml/2006/main">
                  <a:graphicData uri="http://schemas.microsoft.com/office/word/2010/wordprocessingShape">
                    <wps:wsp>
                      <wps:cNvSpPr/>
                      <wps:spPr>
                        <a:xfrm>
                          <a:off x="0" y="0"/>
                          <a:ext cx="1346200" cy="59690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4pt;margin-top:34.7pt;height:47pt;width:106pt;z-index:251666432;v-text-anchor:middle;mso-width-relative:page;mso-height-relative:page;" fillcolor="#FFFFFF" filled="t" stroked="t" coordsize="21600,21600" o:gfxdata="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nVxGXZAAAACwEAAA8AAAAAAAAAAQAgAAAAIgAA&#10;AGRycy9kb3ducmV2LnhtbFBLAQIUABQAAAAIAIdO4kAjOFbueQIAACIFAAAOAAAAAAAAAAEAIAAA&#10;ACgBAABkcnMvZTJvRG9jLnhtbFBLBQYAAAAABgAGAFkBAAATBgAAAAA=&#10;">
                <v:fill on="t" focussize="0,0"/>
                <v:stroke weight="1pt" color="#FFFFFF" miterlimit="8" joinstyle="miter"/>
                <v:imagedata o:title=""/>
                <o:lock v:ext="edit" aspectratio="f"/>
              </v:rect>
            </w:pict>
          </mc:Fallback>
        </mc:AlternateContent>
      </w:r>
      <w:r>
        <w:rPr>
          <w:rFonts w:hint="eastAsia" w:ascii="宋体" w:hAnsi="宋体" w:eastAsia="宋体" w:cs="宋体"/>
          <w:sz w:val="32"/>
          <w:szCs w:val="32"/>
        </w:rPr>
        <w:t>第五部分 附表</w:t>
      </w:r>
      <w:r>
        <w:rPr>
          <w:rFonts w:hint="eastAsia" w:ascii="宋体" w:hAnsi="宋体" w:eastAsia="宋体" w:cs="宋体"/>
          <w:sz w:val="32"/>
          <w:szCs w:val="32"/>
        </w:rPr>
        <w:tab/>
      </w:r>
      <w:r>
        <w:rPr>
          <w:rFonts w:hint="eastAsia" w:ascii="宋体" w:hAnsi="宋体" w:eastAsia="宋体" w:cs="宋体"/>
          <w:sz w:val="32"/>
          <w:szCs w:val="32"/>
          <w:lang w:val="en-US" w:eastAsia="zh-CN"/>
        </w:rPr>
        <w:t>21</w:t>
      </w:r>
    </w:p>
    <w:p>
      <w:pPr>
        <w:pStyle w:val="14"/>
        <w:adjustRightInd w:val="0"/>
        <w:snapToGrid w:val="0"/>
        <w:spacing w:line="600" w:lineRule="exact"/>
        <w:jc w:val="left"/>
        <w:rPr>
          <w:rFonts w:hint="default" w:ascii="宋体" w:hAnsi="宋体" w:eastAsia="宋体" w:cs="宋体"/>
          <w:sz w:val="32"/>
          <w:szCs w:val="32"/>
          <w:lang w:val="en-US"/>
        </w:rPr>
      </w:pPr>
      <w:r>
        <w:rPr>
          <w:rFonts w:hint="eastAsia" w:ascii="宋体" w:hAnsi="宋体" w:eastAsia="宋体" w:cs="宋体"/>
          <w:sz w:val="32"/>
          <w:szCs w:val="32"/>
        </w:rPr>
        <w:t>一、收入支出决算总表</w:t>
      </w:r>
      <w:r>
        <w:rPr>
          <w:rFonts w:hint="eastAsia" w:ascii="宋体" w:hAnsi="宋体" w:eastAsia="宋体" w:cs="宋体"/>
          <w:sz w:val="32"/>
          <w:szCs w:val="32"/>
        </w:rPr>
        <w:tab/>
      </w:r>
      <w:r>
        <w:rPr>
          <w:rFonts w:hint="eastAsia" w:ascii="宋体" w:hAnsi="宋体" w:cs="宋体"/>
          <w:sz w:val="32"/>
          <w:szCs w:val="32"/>
          <w:lang w:val="en-US" w:eastAsia="zh-CN"/>
        </w:rPr>
        <w:t>21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二、收入决算表</w:t>
      </w:r>
      <w:r>
        <w:rPr>
          <w:rFonts w:hint="eastAsia" w:ascii="宋体" w:hAnsi="宋体" w:eastAsia="宋体" w:cs="宋体"/>
          <w:sz w:val="32"/>
          <w:szCs w:val="32"/>
        </w:rPr>
        <w:tab/>
      </w:r>
      <w:r>
        <w:rPr>
          <w:rFonts w:hint="eastAsia" w:ascii="宋体" w:hAnsi="宋体" w:cs="宋体"/>
          <w:sz w:val="32"/>
          <w:szCs w:val="32"/>
          <w:lang w:val="en-US" w:eastAsia="zh-CN"/>
        </w:rPr>
        <w:t>21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三、支出决算表</w:t>
      </w:r>
      <w:r>
        <w:rPr>
          <w:rFonts w:hint="eastAsia" w:ascii="宋体" w:hAnsi="宋体" w:eastAsia="宋体" w:cs="宋体"/>
          <w:sz w:val="32"/>
          <w:szCs w:val="32"/>
        </w:rPr>
        <w:tab/>
      </w:r>
      <w:r>
        <w:rPr>
          <w:rFonts w:hint="eastAsia" w:ascii="宋体" w:hAnsi="宋体" w:cs="宋体"/>
          <w:sz w:val="32"/>
          <w:szCs w:val="32"/>
          <w:lang w:val="en-US" w:eastAsia="zh-CN"/>
        </w:rPr>
        <w:t>21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四、财政拨款收入支出决算总表</w:t>
      </w:r>
      <w:r>
        <w:rPr>
          <w:rFonts w:hint="eastAsia" w:ascii="宋体" w:hAnsi="宋体" w:eastAsia="宋体" w:cs="宋体"/>
          <w:sz w:val="32"/>
          <w:szCs w:val="32"/>
        </w:rPr>
        <w:tab/>
      </w:r>
      <w:r>
        <w:rPr>
          <w:rFonts w:hint="eastAsia" w:ascii="宋体" w:hAnsi="宋体" w:cs="宋体"/>
          <w:sz w:val="32"/>
          <w:szCs w:val="32"/>
          <w:lang w:val="en-US" w:eastAsia="zh-CN"/>
        </w:rPr>
        <w:t>21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五、财政拨款支出决算明细表</w:t>
      </w:r>
      <w:r>
        <w:rPr>
          <w:rFonts w:hint="eastAsia" w:ascii="宋体" w:hAnsi="宋体" w:eastAsia="宋体" w:cs="宋体"/>
          <w:sz w:val="32"/>
          <w:szCs w:val="32"/>
        </w:rPr>
        <w:tab/>
      </w:r>
      <w:r>
        <w:rPr>
          <w:rFonts w:hint="eastAsia" w:ascii="宋体" w:hAnsi="宋体" w:cs="宋体"/>
          <w:sz w:val="32"/>
          <w:szCs w:val="32"/>
          <w:lang w:val="en-US" w:eastAsia="zh-CN"/>
        </w:rPr>
        <w:t>21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六、一般公共预算财政拨款支出决算表</w:t>
      </w:r>
      <w:r>
        <w:rPr>
          <w:rFonts w:hint="eastAsia" w:ascii="宋体" w:hAnsi="宋体" w:eastAsia="宋体" w:cs="宋体"/>
          <w:sz w:val="32"/>
          <w:szCs w:val="32"/>
        </w:rPr>
        <w:tab/>
      </w:r>
      <w:r>
        <w:rPr>
          <w:rFonts w:hint="eastAsia" w:ascii="宋体" w:hAnsi="宋体" w:cs="宋体"/>
          <w:sz w:val="32"/>
          <w:szCs w:val="32"/>
          <w:lang w:val="en-US" w:eastAsia="zh-CN"/>
        </w:rPr>
        <w:t>21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七、一般公共预算财政拨款支出决算明细表</w:t>
      </w:r>
      <w:r>
        <w:rPr>
          <w:rFonts w:hint="eastAsia" w:ascii="宋体" w:hAnsi="宋体" w:eastAsia="宋体" w:cs="宋体"/>
          <w:sz w:val="32"/>
          <w:szCs w:val="32"/>
        </w:rPr>
        <w:tab/>
      </w:r>
      <w:r>
        <w:rPr>
          <w:rFonts w:hint="eastAsia" w:ascii="宋体" w:hAnsi="宋体" w:cs="宋体"/>
          <w:sz w:val="32"/>
          <w:szCs w:val="32"/>
          <w:lang w:val="en-US" w:eastAsia="zh-CN"/>
        </w:rPr>
        <w:t>21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八、一般公共预算财政拨款基本支出决算明细表</w:t>
      </w:r>
      <w:r>
        <w:rPr>
          <w:rFonts w:hint="eastAsia" w:ascii="宋体" w:hAnsi="宋体" w:eastAsia="宋体" w:cs="宋体"/>
          <w:sz w:val="32"/>
          <w:szCs w:val="32"/>
        </w:rPr>
        <w:tab/>
      </w:r>
      <w:r>
        <w:rPr>
          <w:rFonts w:hint="eastAsia" w:ascii="宋体" w:hAnsi="宋体" w:cs="宋体"/>
          <w:sz w:val="32"/>
          <w:szCs w:val="32"/>
          <w:lang w:val="en-US" w:eastAsia="zh-CN"/>
        </w:rPr>
        <w:t>21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九、一般公共预算财政拨款项目支出决算表</w:t>
      </w:r>
      <w:r>
        <w:rPr>
          <w:rFonts w:hint="eastAsia" w:ascii="宋体" w:hAnsi="宋体" w:eastAsia="宋体" w:cs="宋体"/>
          <w:sz w:val="32"/>
          <w:szCs w:val="32"/>
        </w:rPr>
        <w:tab/>
      </w:r>
      <w:r>
        <w:rPr>
          <w:rFonts w:hint="eastAsia" w:ascii="宋体" w:hAnsi="宋体" w:cs="宋体"/>
          <w:sz w:val="32"/>
          <w:szCs w:val="32"/>
          <w:lang w:val="en-US" w:eastAsia="zh-CN"/>
        </w:rPr>
        <w:t>21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十、政府性基金预算财政拨款收入支出决算表</w:t>
      </w:r>
      <w:r>
        <w:rPr>
          <w:rFonts w:hint="eastAsia" w:ascii="宋体" w:hAnsi="宋体" w:eastAsia="宋体" w:cs="宋体"/>
          <w:sz w:val="32"/>
          <w:szCs w:val="32"/>
        </w:rPr>
        <w:tab/>
      </w:r>
      <w:r>
        <w:rPr>
          <w:rFonts w:hint="eastAsia" w:ascii="宋体" w:hAnsi="宋体" w:cs="宋体"/>
          <w:sz w:val="32"/>
          <w:szCs w:val="32"/>
          <w:lang w:val="en-US" w:eastAsia="zh-CN"/>
        </w:rPr>
        <w:t>21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十一、国有资本经营预算财政拨款收入支出决算表</w:t>
      </w:r>
      <w:r>
        <w:rPr>
          <w:rFonts w:hint="eastAsia" w:ascii="宋体" w:hAnsi="宋体" w:eastAsia="宋体" w:cs="宋体"/>
          <w:sz w:val="32"/>
          <w:szCs w:val="32"/>
        </w:rPr>
        <w:tab/>
      </w:r>
      <w:r>
        <w:rPr>
          <w:rFonts w:hint="eastAsia" w:ascii="宋体" w:hAnsi="宋体" w:cs="宋体"/>
          <w:sz w:val="32"/>
          <w:szCs w:val="32"/>
          <w:lang w:val="en-US" w:eastAsia="zh-CN"/>
        </w:rPr>
        <w:t>21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十二、国有资本经营预算财政拨款支出决算表</w:t>
      </w:r>
      <w:r>
        <w:rPr>
          <w:rFonts w:hint="eastAsia" w:ascii="宋体" w:hAnsi="宋体" w:eastAsia="宋体" w:cs="宋体"/>
          <w:sz w:val="32"/>
          <w:szCs w:val="32"/>
        </w:rPr>
        <w:tab/>
      </w:r>
      <w:r>
        <w:rPr>
          <w:rFonts w:hint="eastAsia" w:ascii="宋体" w:hAnsi="宋体" w:cs="宋体"/>
          <w:sz w:val="32"/>
          <w:szCs w:val="32"/>
          <w:lang w:val="en-US" w:eastAsia="zh-CN"/>
        </w:rPr>
        <w:t>21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十三、财政拨款“三公”经费支出决算表</w:t>
      </w:r>
      <w:r>
        <w:rPr>
          <w:rFonts w:hint="eastAsia" w:ascii="宋体" w:hAnsi="宋体" w:eastAsia="宋体" w:cs="宋体"/>
          <w:sz w:val="32"/>
          <w:szCs w:val="32"/>
        </w:rPr>
        <w:tab/>
      </w:r>
      <w:r>
        <w:rPr>
          <w:rFonts w:hint="eastAsia" w:ascii="宋体" w:hAnsi="宋体" w:cs="宋体"/>
          <w:sz w:val="32"/>
          <w:szCs w:val="32"/>
          <w:lang w:val="en-US" w:eastAsia="zh-CN"/>
        </w:rPr>
        <w:t>21</w:t>
      </w:r>
    </w:p>
    <w:p>
      <w:pPr>
        <w:pStyle w:val="2"/>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eastAsia="宋体" w:cs="宋体"/>
          <w:bCs/>
          <w:color w:val="auto"/>
          <w:kern w:val="44"/>
          <w:sz w:val="32"/>
          <w:szCs w:val="32"/>
          <w:highlight w:val="none"/>
        </w:rPr>
      </w:pPr>
      <w:bookmarkStart w:id="6" w:name="_Toc15377196"/>
      <w:bookmarkStart w:id="7" w:name="_Toc15396599"/>
      <w:r>
        <w:rPr>
          <w:rFonts w:hint="eastAsia" w:ascii="宋体" w:hAnsi="宋体" w:eastAsia="宋体" w:cs="宋体"/>
          <w:b/>
          <w:color w:val="auto"/>
          <w:sz w:val="32"/>
          <w:szCs w:val="32"/>
          <w:highlight w:val="none"/>
        </w:rPr>
        <w:br w:type="page"/>
      </w:r>
    </w:p>
    <w:p>
      <w:pPr>
        <w:pStyle w:val="5"/>
        <w:numPr>
          <w:ilvl w:val="0"/>
          <w:numId w:val="1"/>
        </w:numPr>
        <w:jc w:val="center"/>
        <w:rPr>
          <w:rStyle w:val="29"/>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 xml:space="preserve"> </w:t>
      </w:r>
      <w:r>
        <w:rPr>
          <w:rStyle w:val="29"/>
          <w:rFonts w:hint="eastAsia" w:ascii="宋体" w:hAnsi="宋体" w:cs="宋体"/>
          <w:b/>
          <w:bCs w:val="0"/>
          <w:color w:val="auto"/>
          <w:sz w:val="44"/>
          <w:szCs w:val="44"/>
          <w:highlight w:val="none"/>
          <w:lang w:val="en-US" w:eastAsia="zh-CN"/>
        </w:rPr>
        <w:t>单位</w:t>
      </w:r>
      <w:r>
        <w:rPr>
          <w:rStyle w:val="29"/>
          <w:rFonts w:hint="eastAsia" w:ascii="宋体" w:hAnsi="宋体" w:eastAsia="宋体" w:cs="宋体"/>
          <w:b/>
          <w:bCs w:val="0"/>
          <w:color w:val="auto"/>
          <w:sz w:val="44"/>
          <w:szCs w:val="44"/>
          <w:highlight w:val="none"/>
        </w:rPr>
        <w:t>概况</w:t>
      </w:r>
      <w:bookmarkEnd w:id="6"/>
      <w:bookmarkEnd w:id="7"/>
    </w:p>
    <w:p>
      <w:pPr>
        <w:numPr>
          <w:ilvl w:val="0"/>
          <w:numId w:val="0"/>
        </w:numPr>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一、</w:t>
      </w:r>
      <w:r>
        <w:rPr>
          <w:rFonts w:hint="eastAsia" w:ascii="宋体" w:hAnsi="宋体" w:cs="宋体"/>
          <w:b/>
          <w:bCs w:val="0"/>
          <w:sz w:val="32"/>
          <w:szCs w:val="32"/>
          <w:lang w:val="en-US" w:eastAsia="zh-CN"/>
        </w:rPr>
        <w:t>主要</w:t>
      </w:r>
      <w:r>
        <w:rPr>
          <w:rFonts w:hint="eastAsia" w:ascii="宋体" w:hAnsi="宋体" w:eastAsia="宋体" w:cs="宋体"/>
          <w:b/>
          <w:bCs w:val="0"/>
          <w:sz w:val="32"/>
          <w:szCs w:val="32"/>
          <w:lang w:val="en-US" w:eastAsia="zh-CN"/>
        </w:rPr>
        <w:t>职责</w:t>
      </w:r>
    </w:p>
    <w:p>
      <w:pPr>
        <w:widowControl/>
        <w:jc w:val="left"/>
        <w:rPr>
          <w:rFonts w:hint="eastAsia" w:ascii="宋体" w:hAnsi="宋体" w:eastAsia="宋体" w:cs="宋体"/>
          <w:color w:val="auto"/>
          <w:sz w:val="32"/>
          <w:szCs w:val="32"/>
          <w:highlight w:val="none"/>
        </w:rPr>
      </w:pPr>
    </w:p>
    <w:p>
      <w:pPr>
        <w:spacing w:line="360" w:lineRule="auto"/>
        <w:ind w:firstLine="720" w:firstLineChars="225"/>
        <w:rPr>
          <w:rFonts w:hint="eastAsia" w:ascii="宋体" w:hAnsi="宋体" w:eastAsia="宋体" w:cs="宋体"/>
          <w:sz w:val="32"/>
          <w:szCs w:val="32"/>
          <w:highlight w:val="none"/>
        </w:rPr>
      </w:pPr>
      <w:bookmarkStart w:id="8" w:name="_Toc15396601"/>
      <w:bookmarkStart w:id="9" w:name="_Toc15377200"/>
      <w:bookmarkStart w:id="10" w:name="_Hlk180400106"/>
      <w:r>
        <w:rPr>
          <w:rFonts w:hint="eastAsia" w:ascii="宋体" w:hAnsi="宋体" w:eastAsia="宋体" w:cs="宋体"/>
          <w:sz w:val="32"/>
          <w:szCs w:val="32"/>
          <w:highlight w:val="none"/>
        </w:rPr>
        <w:t>1、配合业务科室管理区级国库单一账户体系，按照规定程序为预算单位开设零余额账户，负责相关会计核算，编报会计报表。</w:t>
      </w:r>
    </w:p>
    <w:p>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2、根据批复的预算单位资金款计划，具体办理财政支付业务。</w:t>
      </w:r>
    </w:p>
    <w:p>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3、建立财政资金汇总和财政资金清算管理系统，处理预算单位的支出信息及其他经济信息。</w:t>
      </w:r>
    </w:p>
    <w:p>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4、定期与业务科室、代理银行、预算单位核对账务，提供财政资金支付和清算信息，报告财政资金支付情况。</w:t>
      </w:r>
    </w:p>
    <w:p>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5、审核、汇总区本级部门决算。</w:t>
      </w:r>
    </w:p>
    <w:p>
      <w:pPr>
        <w:pStyle w:val="3"/>
        <w:ind w:left="0" w:leftChars="0" w:firstLine="640" w:firstLineChars="200"/>
        <w:rPr>
          <w:rFonts w:hint="eastAsia" w:ascii="宋体" w:hAnsi="宋体" w:eastAsia="宋体" w:cs="宋体"/>
          <w:sz w:val="32"/>
          <w:szCs w:val="32"/>
          <w:highlight w:val="none"/>
        </w:rPr>
      </w:pPr>
      <w:r>
        <w:rPr>
          <w:rFonts w:hint="eastAsia" w:ascii="宋体" w:hAnsi="宋体" w:eastAsia="宋体" w:cs="宋体"/>
          <w:b w:val="0"/>
          <w:bCs w:val="0"/>
          <w:sz w:val="32"/>
          <w:szCs w:val="32"/>
          <w:highlight w:val="none"/>
        </w:rPr>
        <w:t>6、管理区级财政直发工资账户、办理区级预算单位工资及离退休费</w:t>
      </w:r>
      <w:r>
        <w:rPr>
          <w:rFonts w:hint="eastAsia" w:ascii="宋体" w:hAnsi="宋体" w:eastAsia="宋体" w:cs="宋体"/>
          <w:sz w:val="32"/>
          <w:szCs w:val="32"/>
          <w:highlight w:val="none"/>
        </w:rPr>
        <w:t>的直接支付。</w:t>
      </w:r>
    </w:p>
    <w:p>
      <w:pPr>
        <w:spacing w:line="360" w:lineRule="auto"/>
        <w:ind w:firstLine="640" w:firstLineChars="200"/>
        <w:rPr>
          <w:rFonts w:hint="eastAsia" w:ascii="宋体" w:hAnsi="宋体" w:eastAsia="宋体" w:cs="宋体"/>
          <w:b w:val="0"/>
          <w:bCs w:val="0"/>
          <w:sz w:val="32"/>
          <w:szCs w:val="32"/>
          <w:highlight w:val="none"/>
        </w:rPr>
      </w:pPr>
    </w:p>
    <w:p>
      <w:pPr>
        <w:pStyle w:val="2"/>
        <w:rPr>
          <w:rFonts w:hint="eastAsia" w:ascii="宋体" w:hAnsi="宋体" w:eastAsia="宋体" w:cs="宋体"/>
          <w:b w:val="0"/>
          <w:bCs w:val="0"/>
          <w:sz w:val="32"/>
          <w:szCs w:val="32"/>
          <w:highlight w:val="none"/>
        </w:rPr>
      </w:pPr>
    </w:p>
    <w:p>
      <w:pPr>
        <w:pStyle w:val="3"/>
        <w:rPr>
          <w:rFonts w:hint="eastAsia" w:ascii="宋体" w:hAnsi="宋体" w:eastAsia="宋体" w:cs="宋体"/>
          <w:b w:val="0"/>
          <w:bCs w:val="0"/>
          <w:sz w:val="32"/>
          <w:szCs w:val="32"/>
          <w:highlight w:val="none"/>
        </w:rPr>
      </w:pPr>
    </w:p>
    <w:p>
      <w:pPr>
        <w:pStyle w:val="3"/>
        <w:rPr>
          <w:rFonts w:hint="eastAsia" w:ascii="宋体" w:hAnsi="宋体" w:eastAsia="宋体" w:cs="宋体"/>
          <w:b w:val="0"/>
          <w:bCs w:val="0"/>
          <w:sz w:val="32"/>
          <w:szCs w:val="32"/>
          <w:highlight w:val="none"/>
        </w:rPr>
      </w:pPr>
    </w:p>
    <w:p>
      <w:pPr>
        <w:pStyle w:val="3"/>
        <w:rPr>
          <w:rFonts w:hint="eastAsia" w:ascii="宋体" w:hAnsi="宋体" w:eastAsia="宋体" w:cs="宋体"/>
          <w:b w:val="0"/>
          <w:bCs w:val="0"/>
          <w:sz w:val="32"/>
          <w:szCs w:val="32"/>
          <w:highlight w:val="none"/>
        </w:rPr>
      </w:pPr>
    </w:p>
    <w:p>
      <w:pPr>
        <w:pStyle w:val="3"/>
        <w:rPr>
          <w:rFonts w:hint="eastAsia" w:ascii="宋体" w:hAnsi="宋体" w:eastAsia="宋体" w:cs="宋体"/>
          <w:b w:val="0"/>
          <w:bCs w:val="0"/>
          <w:sz w:val="32"/>
          <w:szCs w:val="32"/>
          <w:highlight w:val="none"/>
        </w:rPr>
      </w:pPr>
    </w:p>
    <w:p>
      <w:pPr>
        <w:pStyle w:val="2"/>
        <w:rPr>
          <w:rFonts w:hint="eastAsia" w:ascii="宋体" w:hAnsi="宋体" w:eastAsia="宋体" w:cs="宋体"/>
          <w:b w:val="0"/>
          <w:bCs w:val="0"/>
          <w:sz w:val="32"/>
          <w:szCs w:val="32"/>
          <w:highlight w:val="none"/>
        </w:rPr>
      </w:pPr>
    </w:p>
    <w:p>
      <w:pPr>
        <w:pStyle w:val="3"/>
        <w:rPr>
          <w:rFonts w:hint="eastAsia" w:ascii="宋体" w:hAnsi="宋体" w:eastAsia="宋体" w:cs="宋体"/>
          <w:b w:val="0"/>
          <w:bCs w:val="0"/>
          <w:sz w:val="32"/>
          <w:szCs w:val="32"/>
          <w:highlight w:val="none"/>
        </w:rPr>
      </w:pPr>
    </w:p>
    <w:p>
      <w:pPr>
        <w:pStyle w:val="3"/>
        <w:rPr>
          <w:rFonts w:hint="eastAsia" w:ascii="宋体" w:hAnsi="宋体" w:eastAsia="宋体" w:cs="宋体"/>
          <w:b w:val="0"/>
          <w:bCs w:val="0"/>
          <w:sz w:val="32"/>
          <w:szCs w:val="32"/>
          <w:highlight w:val="none"/>
        </w:rPr>
      </w:pPr>
    </w:p>
    <w:p>
      <w:pPr>
        <w:pStyle w:val="6"/>
        <w:rPr>
          <w:rStyle w:val="30"/>
          <w:rFonts w:hint="eastAsia" w:ascii="宋体" w:hAnsi="宋体" w:eastAsia="宋体" w:cs="宋体"/>
          <w:b/>
          <w:bCs/>
          <w:color w:val="auto"/>
          <w:sz w:val="32"/>
          <w:szCs w:val="32"/>
          <w:highlight w:val="none"/>
        </w:rPr>
      </w:pPr>
      <w:r>
        <w:rPr>
          <w:rFonts w:hint="eastAsia" w:ascii="宋体" w:hAnsi="宋体" w:eastAsia="宋体" w:cs="宋体"/>
          <w:b/>
          <w:bCs/>
          <w:sz w:val="32"/>
          <w:szCs w:val="32"/>
          <w:highlight w:val="none"/>
          <w:lang w:val="en-US" w:eastAsia="zh-CN"/>
        </w:rPr>
        <w:t>.</w:t>
      </w:r>
      <w:r>
        <w:rPr>
          <w:rFonts w:hint="eastAsia" w:ascii="宋体" w:hAnsi="宋体" w:eastAsia="宋体" w:cs="宋体"/>
          <w:b/>
          <w:bCs/>
          <w:color w:val="auto"/>
          <w:sz w:val="32"/>
          <w:szCs w:val="32"/>
          <w:highlight w:val="none"/>
        </w:rPr>
        <w:t>二、机</w:t>
      </w:r>
      <w:r>
        <w:rPr>
          <w:rStyle w:val="30"/>
          <w:rFonts w:hint="eastAsia" w:ascii="宋体" w:hAnsi="宋体" w:eastAsia="宋体" w:cs="宋体"/>
          <w:b/>
          <w:bCs/>
          <w:color w:val="auto"/>
          <w:sz w:val="32"/>
          <w:szCs w:val="32"/>
          <w:highlight w:val="none"/>
        </w:rPr>
        <w:t>构设置</w:t>
      </w:r>
    </w:p>
    <w:p>
      <w:pPr>
        <w:pStyle w:val="6"/>
        <w:ind w:firstLine="960" w:firstLineChars="300"/>
        <w:rPr>
          <w:rFonts w:hint="eastAsia" w:ascii="宋体" w:hAnsi="宋体" w:eastAsia="宋体" w:cs="宋体"/>
          <w:b w:val="0"/>
          <w:bCs w:val="0"/>
          <w:snapToGrid w:val="0"/>
          <w:color w:val="000000"/>
          <w:spacing w:val="2"/>
          <w:kern w:val="0"/>
          <w:sz w:val="32"/>
          <w:szCs w:val="32"/>
          <w:highlight w:val="none"/>
          <w:lang w:eastAsia="zh-CN"/>
        </w:rPr>
      </w:pPr>
      <w:r>
        <w:rPr>
          <w:rFonts w:hint="eastAsia" w:ascii="宋体" w:hAnsi="宋体" w:eastAsia="宋体" w:cs="宋体"/>
          <w:b w:val="0"/>
          <w:bCs w:val="0"/>
          <w:sz w:val="32"/>
          <w:szCs w:val="32"/>
          <w:highlight w:val="none"/>
        </w:rPr>
        <w:t>攀枝花市东区财政国库支付中心属于</w:t>
      </w:r>
      <w:r>
        <w:rPr>
          <w:rFonts w:hint="eastAsia" w:ascii="宋体" w:hAnsi="宋体" w:eastAsia="宋体" w:cs="宋体"/>
          <w:b w:val="0"/>
          <w:bCs w:val="0"/>
          <w:sz w:val="32"/>
          <w:szCs w:val="32"/>
          <w:highlight w:val="none"/>
          <w:lang w:val="en-US" w:eastAsia="zh-CN"/>
        </w:rPr>
        <w:t>二</w:t>
      </w:r>
      <w:r>
        <w:rPr>
          <w:rFonts w:hint="eastAsia" w:ascii="宋体" w:hAnsi="宋体" w:eastAsia="宋体" w:cs="宋体"/>
          <w:b w:val="0"/>
          <w:bCs w:val="0"/>
          <w:sz w:val="32"/>
          <w:szCs w:val="32"/>
          <w:highlight w:val="none"/>
        </w:rPr>
        <w:t>级预算单位，</w:t>
      </w:r>
      <w:r>
        <w:rPr>
          <w:rFonts w:hint="eastAsia" w:ascii="宋体" w:hAnsi="宋体" w:eastAsia="宋体" w:cs="宋体"/>
          <w:b w:val="0"/>
          <w:bCs w:val="0"/>
          <w:sz w:val="32"/>
          <w:szCs w:val="32"/>
          <w:highlight w:val="none"/>
          <w:lang w:val="en-US" w:eastAsia="zh-CN"/>
        </w:rPr>
        <w:t>无</w:t>
      </w:r>
      <w:r>
        <w:rPr>
          <w:rFonts w:hint="eastAsia" w:ascii="宋体" w:hAnsi="宋体" w:eastAsia="宋体" w:cs="宋体"/>
          <w:b w:val="0"/>
          <w:bCs w:val="0"/>
          <w:snapToGrid w:val="0"/>
          <w:color w:val="000000"/>
          <w:spacing w:val="2"/>
          <w:kern w:val="0"/>
          <w:sz w:val="32"/>
          <w:szCs w:val="32"/>
          <w:highlight w:val="none"/>
        </w:rPr>
        <w:t>下属预算单位</w:t>
      </w:r>
      <w:r>
        <w:rPr>
          <w:rFonts w:hint="eastAsia" w:ascii="宋体" w:hAnsi="宋体" w:eastAsia="宋体" w:cs="宋体"/>
          <w:b w:val="0"/>
          <w:bCs w:val="0"/>
          <w:snapToGrid w:val="0"/>
          <w:color w:val="000000"/>
          <w:spacing w:val="2"/>
          <w:kern w:val="0"/>
          <w:sz w:val="32"/>
          <w:szCs w:val="32"/>
          <w:highlight w:val="none"/>
          <w:lang w:eastAsia="zh-CN"/>
        </w:rPr>
        <w:t>。</w:t>
      </w:r>
    </w:p>
    <w:p>
      <w:pPr>
        <w:pStyle w:val="6"/>
        <w:ind w:firstLine="972" w:firstLineChars="300"/>
        <w:rPr>
          <w:rFonts w:hint="eastAsia" w:ascii="宋体" w:hAnsi="宋体" w:eastAsia="宋体" w:cs="宋体"/>
          <w:b w:val="0"/>
          <w:bCs w:val="0"/>
          <w:snapToGrid w:val="0"/>
          <w:color w:val="000000"/>
          <w:spacing w:val="2"/>
          <w:kern w:val="0"/>
          <w:sz w:val="32"/>
          <w:szCs w:val="32"/>
          <w:highlight w:val="none"/>
        </w:rPr>
      </w:pPr>
      <w:r>
        <w:rPr>
          <w:rFonts w:hint="eastAsia" w:ascii="宋体" w:hAnsi="宋体" w:eastAsia="宋体" w:cs="宋体"/>
          <w:b w:val="0"/>
          <w:bCs w:val="0"/>
          <w:snapToGrid w:val="0"/>
          <w:color w:val="000000"/>
          <w:spacing w:val="2"/>
          <w:kern w:val="0"/>
          <w:sz w:val="32"/>
          <w:szCs w:val="32"/>
          <w:highlight w:val="none"/>
        </w:rPr>
        <w:t>纳入</w:t>
      </w:r>
      <w:r>
        <w:rPr>
          <w:rFonts w:hint="eastAsia" w:ascii="宋体" w:hAnsi="宋体" w:eastAsia="宋体" w:cs="宋体"/>
          <w:b w:val="0"/>
          <w:bCs w:val="0"/>
          <w:snapToGrid w:val="0"/>
          <w:color w:val="000000"/>
          <w:spacing w:val="-32"/>
          <w:kern w:val="0"/>
          <w:sz w:val="32"/>
          <w:szCs w:val="32"/>
          <w:highlight w:val="none"/>
        </w:rPr>
        <w:t xml:space="preserve"> </w:t>
      </w:r>
      <w:r>
        <w:rPr>
          <w:rFonts w:hint="eastAsia" w:ascii="宋体" w:hAnsi="宋体" w:eastAsia="宋体" w:cs="宋体"/>
          <w:b w:val="0"/>
          <w:bCs w:val="0"/>
          <w:snapToGrid w:val="0"/>
          <w:color w:val="000000"/>
          <w:spacing w:val="2"/>
          <w:kern w:val="0"/>
          <w:sz w:val="32"/>
          <w:szCs w:val="32"/>
          <w:highlight w:val="none"/>
        </w:rPr>
        <w:t>202</w:t>
      </w:r>
      <w:r>
        <w:rPr>
          <w:rFonts w:hint="eastAsia" w:ascii="宋体" w:hAnsi="宋体" w:eastAsia="宋体" w:cs="宋体"/>
          <w:b w:val="0"/>
          <w:bCs w:val="0"/>
          <w:snapToGrid w:val="0"/>
          <w:color w:val="000000"/>
          <w:spacing w:val="2"/>
          <w:kern w:val="0"/>
          <w:sz w:val="32"/>
          <w:szCs w:val="32"/>
          <w:highlight w:val="none"/>
          <w:lang w:val="en-US" w:eastAsia="zh-CN"/>
        </w:rPr>
        <w:t>4</w:t>
      </w:r>
      <w:r>
        <w:rPr>
          <w:rFonts w:hint="eastAsia" w:ascii="宋体" w:hAnsi="宋体" w:eastAsia="宋体" w:cs="宋体"/>
          <w:b w:val="0"/>
          <w:bCs w:val="0"/>
          <w:snapToGrid w:val="0"/>
          <w:color w:val="000000"/>
          <w:spacing w:val="-58"/>
          <w:kern w:val="0"/>
          <w:sz w:val="32"/>
          <w:szCs w:val="32"/>
          <w:highlight w:val="none"/>
        </w:rPr>
        <w:t xml:space="preserve"> </w:t>
      </w:r>
      <w:r>
        <w:rPr>
          <w:rFonts w:hint="eastAsia" w:ascii="宋体" w:hAnsi="宋体" w:eastAsia="宋体" w:cs="宋体"/>
          <w:b w:val="0"/>
          <w:bCs w:val="0"/>
          <w:snapToGrid w:val="0"/>
          <w:color w:val="000000"/>
          <w:spacing w:val="2"/>
          <w:kern w:val="0"/>
          <w:sz w:val="32"/>
          <w:szCs w:val="32"/>
          <w:highlight w:val="none"/>
        </w:rPr>
        <w:t>年度</w:t>
      </w:r>
      <w:r>
        <w:rPr>
          <w:rFonts w:hint="eastAsia" w:ascii="宋体" w:hAnsi="宋体" w:eastAsia="宋体" w:cs="宋体"/>
          <w:b w:val="0"/>
          <w:bCs w:val="0"/>
          <w:snapToGrid w:val="0"/>
          <w:color w:val="000000"/>
          <w:spacing w:val="2"/>
          <w:kern w:val="0"/>
          <w:sz w:val="32"/>
          <w:szCs w:val="32"/>
          <w:highlight w:val="none"/>
          <w:lang w:val="en-US" w:eastAsia="zh-CN"/>
        </w:rPr>
        <w:t>单位</w:t>
      </w:r>
      <w:r>
        <w:rPr>
          <w:rFonts w:hint="eastAsia" w:ascii="宋体" w:hAnsi="宋体" w:eastAsia="宋体" w:cs="宋体"/>
          <w:b w:val="0"/>
          <w:bCs w:val="0"/>
          <w:snapToGrid w:val="0"/>
          <w:color w:val="000000"/>
          <w:spacing w:val="2"/>
          <w:kern w:val="0"/>
          <w:sz w:val="32"/>
          <w:szCs w:val="32"/>
          <w:highlight w:val="none"/>
        </w:rPr>
        <w:t>决算编制范围的预算单位包括：</w:t>
      </w:r>
    </w:p>
    <w:p>
      <w:pPr>
        <w:ind w:firstLine="800" w:firstLineChars="250"/>
        <w:rPr>
          <w:rFonts w:hint="eastAsia" w:ascii="宋体" w:hAnsi="宋体" w:eastAsia="宋体" w:cs="宋体"/>
          <w:b w:val="0"/>
          <w:bCs w:val="0"/>
          <w:sz w:val="32"/>
          <w:szCs w:val="32"/>
          <w:highlight w:val="none"/>
        </w:rPr>
      </w:pPr>
      <w:r>
        <w:rPr>
          <w:rFonts w:hint="eastAsia" w:ascii="宋体" w:hAnsi="宋体" w:eastAsia="宋体" w:cs="宋体"/>
          <w:b w:val="0"/>
          <w:bCs w:val="0"/>
          <w:snapToGrid w:val="0"/>
          <w:color w:val="000000"/>
          <w:kern w:val="0"/>
          <w:sz w:val="32"/>
          <w:szCs w:val="32"/>
          <w:highlight w:val="none"/>
        </w:rPr>
        <w:t xml:space="preserve"> </w:t>
      </w:r>
      <w:r>
        <w:rPr>
          <w:rFonts w:hint="eastAsia" w:ascii="宋体" w:hAnsi="宋体" w:eastAsia="宋体" w:cs="宋体"/>
          <w:b w:val="0"/>
          <w:bCs w:val="0"/>
          <w:snapToGrid w:val="0"/>
          <w:color w:val="000000"/>
          <w:spacing w:val="4"/>
          <w:kern w:val="0"/>
          <w:sz w:val="32"/>
          <w:szCs w:val="32"/>
          <w:highlight w:val="none"/>
        </w:rPr>
        <w:t>1.</w:t>
      </w:r>
      <w:r>
        <w:rPr>
          <w:rFonts w:hint="eastAsia" w:ascii="宋体" w:hAnsi="宋体" w:eastAsia="宋体" w:cs="宋体"/>
          <w:b w:val="0"/>
          <w:bCs w:val="0"/>
          <w:sz w:val="32"/>
          <w:szCs w:val="32"/>
          <w:highlight w:val="none"/>
        </w:rPr>
        <w:t xml:space="preserve"> 攀枝花市东区财政国库支付中心</w:t>
      </w:r>
    </w:p>
    <w:p>
      <w:pPr>
        <w:pStyle w:val="2"/>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p>
      <w:pPr>
        <w:pStyle w:val="3"/>
        <w:rPr>
          <w:rFonts w:hint="eastAsia" w:ascii="宋体" w:hAnsi="宋体" w:eastAsia="宋体" w:cs="宋体"/>
          <w:sz w:val="32"/>
          <w:szCs w:val="32"/>
          <w:highlight w:val="none"/>
        </w:rPr>
      </w:pPr>
    </w:p>
    <w:bookmarkEnd w:id="8"/>
    <w:bookmarkEnd w:id="9"/>
    <w:bookmarkEnd w:id="10"/>
    <w:p>
      <w:pPr>
        <w:pStyle w:val="5"/>
        <w:jc w:val="center"/>
        <w:rPr>
          <w:rFonts w:hint="eastAsia" w:ascii="宋体" w:hAnsi="宋体" w:eastAsia="宋体" w:cs="宋体"/>
          <w:b/>
          <w:bCs w:val="0"/>
          <w:color w:val="auto"/>
          <w:sz w:val="44"/>
          <w:szCs w:val="44"/>
          <w:highlight w:val="none"/>
        </w:rPr>
      </w:pPr>
      <w:bookmarkStart w:id="11" w:name="_Toc15377204"/>
      <w:bookmarkStart w:id="12" w:name="_Toc15396602"/>
      <w:r>
        <w:rPr>
          <w:rFonts w:hint="eastAsia" w:ascii="宋体" w:hAnsi="宋体" w:eastAsia="宋体" w:cs="宋体"/>
          <w:b/>
          <w:bCs w:val="0"/>
          <w:color w:val="auto"/>
          <w:sz w:val="44"/>
          <w:szCs w:val="44"/>
          <w:highlight w:val="none"/>
        </w:rPr>
        <w:t>第二部分</w:t>
      </w:r>
      <w:r>
        <w:rPr>
          <w:rFonts w:hint="eastAsia" w:ascii="宋体" w:hAnsi="宋体" w:eastAsia="宋体" w:cs="宋体"/>
          <w:b/>
          <w:bCs w:val="0"/>
          <w:color w:val="auto"/>
          <w:sz w:val="44"/>
          <w:szCs w:val="44"/>
          <w:highlight w:val="none"/>
          <w:lang w:val="en-US" w:eastAsia="zh-CN"/>
        </w:rPr>
        <w:t xml:space="preserve"> </w:t>
      </w:r>
      <w:r>
        <w:rPr>
          <w:rFonts w:hint="eastAsia" w:ascii="宋体" w:hAnsi="宋体" w:eastAsia="宋体" w:cs="宋体"/>
          <w:b/>
          <w:bCs w:val="0"/>
          <w:color w:val="auto"/>
          <w:sz w:val="44"/>
          <w:szCs w:val="44"/>
          <w:highlight w:val="none"/>
        </w:rPr>
        <w:t xml:space="preserve"> </w:t>
      </w:r>
      <w:r>
        <w:rPr>
          <w:rFonts w:hint="eastAsia" w:ascii="宋体" w:hAnsi="宋体" w:eastAsia="宋体" w:cs="宋体"/>
          <w:b/>
          <w:bCs w:val="0"/>
          <w:color w:val="auto"/>
          <w:sz w:val="44"/>
          <w:szCs w:val="44"/>
          <w:highlight w:val="none"/>
          <w:lang w:val="en-US" w:eastAsia="zh-CN"/>
        </w:rPr>
        <w:t>2024年度</w:t>
      </w:r>
      <w:r>
        <w:rPr>
          <w:rFonts w:hint="eastAsia" w:ascii="宋体" w:hAnsi="宋体" w:cs="宋体"/>
          <w:b/>
          <w:bCs w:val="0"/>
          <w:color w:val="auto"/>
          <w:sz w:val="44"/>
          <w:szCs w:val="44"/>
          <w:highlight w:val="none"/>
          <w:lang w:val="en-US" w:eastAsia="zh-CN"/>
        </w:rPr>
        <w:t>单位</w:t>
      </w:r>
      <w:r>
        <w:rPr>
          <w:rFonts w:hint="eastAsia" w:ascii="宋体" w:hAnsi="宋体" w:eastAsia="宋体" w:cs="宋体"/>
          <w:b/>
          <w:bCs w:val="0"/>
          <w:color w:val="auto"/>
          <w:sz w:val="44"/>
          <w:szCs w:val="44"/>
          <w:highlight w:val="none"/>
        </w:rPr>
        <w:t>决算情况说明</w:t>
      </w:r>
      <w:bookmarkEnd w:id="11"/>
      <w:bookmarkEnd w:id="12"/>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Style w:val="30"/>
          <w:rFonts w:hint="eastAsia" w:ascii="宋体" w:hAnsi="宋体" w:eastAsia="宋体" w:cs="宋体"/>
          <w:b/>
          <w:bCs/>
          <w:color w:val="auto"/>
          <w:sz w:val="32"/>
          <w:szCs w:val="32"/>
          <w:highlight w:val="none"/>
        </w:rPr>
      </w:pPr>
      <w:bookmarkStart w:id="13" w:name="_Toc15377205"/>
      <w:bookmarkStart w:id="14" w:name="_Toc15396603"/>
      <w:r>
        <w:rPr>
          <w:rFonts w:hint="eastAsia" w:ascii="宋体" w:hAnsi="宋体" w:eastAsia="宋体" w:cs="宋体"/>
          <w:b/>
          <w:bCs/>
          <w:color w:val="auto"/>
          <w:sz w:val="32"/>
          <w:szCs w:val="32"/>
          <w:highlight w:val="none"/>
          <w:lang w:eastAsia="zh-CN"/>
        </w:rPr>
        <w:t>一、</w:t>
      </w:r>
      <w:r>
        <w:rPr>
          <w:rFonts w:hint="eastAsia" w:ascii="宋体" w:hAnsi="宋体" w:eastAsia="宋体" w:cs="宋体"/>
          <w:b/>
          <w:bCs/>
          <w:color w:val="auto"/>
          <w:sz w:val="32"/>
          <w:szCs w:val="32"/>
          <w:highlight w:val="none"/>
        </w:rPr>
        <w:t>收</w:t>
      </w:r>
      <w:r>
        <w:rPr>
          <w:rStyle w:val="30"/>
          <w:rFonts w:hint="eastAsia" w:ascii="宋体" w:hAnsi="宋体" w:eastAsia="宋体" w:cs="宋体"/>
          <w:b/>
          <w:bCs/>
          <w:color w:val="auto"/>
          <w:sz w:val="32"/>
          <w:szCs w:val="32"/>
          <w:highlight w:val="none"/>
        </w:rPr>
        <w:t>入支出决算总体情况说明</w:t>
      </w:r>
      <w:bookmarkEnd w:id="13"/>
      <w:bookmarkEnd w:id="14"/>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eastAsia="zh-CN"/>
        </w:rPr>
        <w:t>2024年度收入</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支出</w:t>
      </w:r>
      <w:r>
        <w:rPr>
          <w:rFonts w:hint="eastAsia" w:ascii="宋体" w:hAnsi="宋体" w:eastAsia="宋体" w:cs="宋体"/>
          <w:color w:val="auto"/>
          <w:sz w:val="32"/>
          <w:szCs w:val="32"/>
          <w:highlight w:val="none"/>
        </w:rPr>
        <w:t>总计</w:t>
      </w:r>
      <w:r>
        <w:rPr>
          <w:rFonts w:hint="eastAsia" w:ascii="宋体" w:hAnsi="宋体" w:eastAsia="宋体" w:cs="宋体"/>
          <w:color w:val="auto"/>
          <w:sz w:val="32"/>
          <w:szCs w:val="32"/>
          <w:highlight w:val="none"/>
          <w:lang w:eastAsia="zh-CN"/>
        </w:rPr>
        <w:t>均为</w:t>
      </w:r>
      <w:r>
        <w:rPr>
          <w:rFonts w:hint="eastAsia" w:ascii="宋体" w:hAnsi="宋体" w:eastAsia="宋体" w:cs="宋体"/>
          <w:sz w:val="32"/>
          <w:szCs w:val="32"/>
          <w:highlight w:val="none"/>
          <w:lang w:val="en-US" w:eastAsia="zh-CN"/>
        </w:rPr>
        <w:t>332.79</w:t>
      </w:r>
      <w:r>
        <w:rPr>
          <w:rFonts w:hint="eastAsia" w:ascii="宋体" w:hAnsi="宋体" w:eastAsia="宋体" w:cs="宋体"/>
          <w:color w:val="auto"/>
          <w:sz w:val="32"/>
          <w:szCs w:val="32"/>
          <w:highlight w:val="none"/>
        </w:rPr>
        <w:t>万元。与</w:t>
      </w:r>
      <w:r>
        <w:rPr>
          <w:rFonts w:hint="eastAsia" w:ascii="宋体" w:hAnsi="宋体" w:eastAsia="宋体" w:cs="宋体"/>
          <w:color w:val="auto"/>
          <w:sz w:val="32"/>
          <w:szCs w:val="32"/>
          <w:highlight w:val="none"/>
          <w:lang w:eastAsia="zh-CN"/>
        </w:rPr>
        <w:t>202</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eastAsia="zh-CN"/>
        </w:rPr>
        <w:t>度</w:t>
      </w:r>
      <w:r>
        <w:rPr>
          <w:rFonts w:hint="eastAsia" w:ascii="宋体" w:hAnsi="宋体" w:eastAsia="宋体" w:cs="宋体"/>
          <w:color w:val="auto"/>
          <w:sz w:val="32"/>
          <w:szCs w:val="32"/>
          <w:highlight w:val="none"/>
        </w:rPr>
        <w:t>相比，</w:t>
      </w:r>
      <w:r>
        <w:rPr>
          <w:rFonts w:hint="eastAsia" w:ascii="宋体" w:hAnsi="宋体" w:eastAsia="宋体" w:cs="宋体"/>
          <w:color w:val="auto"/>
          <w:sz w:val="32"/>
          <w:szCs w:val="32"/>
          <w:highlight w:val="none"/>
          <w:lang w:eastAsia="zh-CN"/>
        </w:rPr>
        <w:t>收入</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支出</w:t>
      </w:r>
      <w:r>
        <w:rPr>
          <w:rFonts w:hint="eastAsia" w:ascii="宋体" w:hAnsi="宋体" w:eastAsia="宋体" w:cs="宋体"/>
          <w:color w:val="auto"/>
          <w:sz w:val="32"/>
          <w:szCs w:val="32"/>
          <w:highlight w:val="none"/>
        </w:rPr>
        <w:t>总计</w:t>
      </w:r>
      <w:r>
        <w:rPr>
          <w:rFonts w:hint="eastAsia" w:ascii="宋体" w:hAnsi="宋体" w:eastAsia="宋体" w:cs="宋体"/>
          <w:color w:val="auto"/>
          <w:sz w:val="32"/>
          <w:szCs w:val="32"/>
          <w:highlight w:val="none"/>
          <w:lang w:val="en-US" w:eastAsia="zh-CN"/>
        </w:rPr>
        <w:t>减少8.74</w:t>
      </w:r>
      <w:r>
        <w:rPr>
          <w:rFonts w:hint="eastAsia" w:ascii="宋体" w:hAnsi="宋体" w:eastAsia="宋体" w:cs="宋体"/>
          <w:color w:val="auto"/>
          <w:sz w:val="32"/>
          <w:szCs w:val="32"/>
          <w:highlight w:val="none"/>
        </w:rPr>
        <w:t>万元，</w:t>
      </w:r>
      <w:bookmarkStart w:id="15" w:name="OLE_LINK2"/>
      <w:r>
        <w:rPr>
          <w:rFonts w:hint="eastAsia" w:ascii="宋体" w:hAnsi="宋体" w:eastAsia="宋体" w:cs="宋体"/>
          <w:color w:val="auto"/>
          <w:sz w:val="32"/>
          <w:szCs w:val="32"/>
          <w:highlight w:val="none"/>
          <w:lang w:val="en-US" w:eastAsia="zh-CN"/>
        </w:rPr>
        <w:t>下降2.56</w:t>
      </w:r>
      <w:r>
        <w:rPr>
          <w:rFonts w:hint="eastAsia" w:ascii="宋体" w:hAnsi="宋体" w:eastAsia="宋体" w:cs="宋体"/>
          <w:color w:val="auto"/>
          <w:sz w:val="32"/>
          <w:szCs w:val="32"/>
          <w:highlight w:val="none"/>
        </w:rPr>
        <w:t>%。主要变动原因是</w:t>
      </w:r>
      <w:r>
        <w:rPr>
          <w:rFonts w:hint="eastAsia" w:ascii="宋体" w:hAnsi="宋体" w:eastAsia="宋体" w:cs="宋体"/>
          <w:color w:val="auto"/>
          <w:sz w:val="32"/>
          <w:szCs w:val="32"/>
          <w:highlight w:val="none"/>
          <w:lang w:val="en-US" w:eastAsia="zh-CN"/>
        </w:rPr>
        <w:t>2024年专项经费有所减少。</w:t>
      </w:r>
    </w:p>
    <w:bookmarkEnd w:id="15"/>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（图1：</w:t>
      </w:r>
      <w:r>
        <w:rPr>
          <w:rFonts w:hint="eastAsia" w:ascii="宋体" w:hAnsi="宋体" w:eastAsia="宋体" w:cs="宋体"/>
          <w:color w:val="auto"/>
          <w:sz w:val="32"/>
          <w:szCs w:val="32"/>
          <w:highlight w:val="none"/>
          <w:lang w:eastAsia="zh-CN"/>
        </w:rPr>
        <w:t>收入</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支出</w:t>
      </w:r>
      <w:r>
        <w:rPr>
          <w:rFonts w:hint="eastAsia" w:ascii="宋体" w:hAnsi="宋体" w:eastAsia="宋体" w:cs="宋体"/>
          <w:color w:val="auto"/>
          <w:sz w:val="32"/>
          <w:szCs w:val="32"/>
          <w:highlight w:val="none"/>
        </w:rPr>
        <w:t>决算总计变动情况图）（柱状图）</w:t>
      </w:r>
    </w:p>
    <w:p>
      <w:pPr>
        <w:pStyle w:val="2"/>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r>
        <w:rPr>
          <w:rFonts w:hint="eastAsia" w:ascii="宋体" w:hAnsi="宋体" w:eastAsia="宋体" w:cs="宋体"/>
          <w:sz w:val="32"/>
          <w:szCs w:val="32"/>
          <w:highlight w:val="none"/>
        </w:rPr>
        <w:pict>
          <v:shape id="Object 3" o:spid="_x0000_s1028" o:spt="75" type="#_x0000_t75" style="position:absolute;left:0pt;margin-left:26.55pt;margin-top:21.2pt;height:220.7pt;width:362.65pt;z-index:-251656192;mso-width-relative:page;mso-height-relative:page;" o:ole="t" filled="f" o:preferrelative="t" stroked="f" coordsize="21600,21600">
            <v:path/>
            <v:fill on="f" focussize="0,0"/>
            <v:stroke on="f"/>
            <v:imagedata r:id="rId10" o:title=""/>
            <o:lock v:ext="edit" aspectratio="t"/>
          </v:shape>
          <o:OLEObject Type="Embed" ProgID="Excel.Chart.8" ShapeID="Object 3" DrawAspect="Content" ObjectID="_1468075725" r:id="rId9">
            <o:LockedField>false</o:LockedField>
          </o:OLEObject>
        </w:pict>
      </w: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宋体" w:hAnsi="宋体" w:eastAsia="宋体" w:cs="宋体"/>
          <w:b/>
          <w:bCs/>
          <w:color w:val="auto"/>
          <w:sz w:val="32"/>
          <w:szCs w:val="32"/>
          <w:highlight w:val="none"/>
          <w:lang w:eastAsia="zh-CN"/>
        </w:rPr>
      </w:pPr>
      <w:bookmarkStart w:id="16" w:name="_Toc15396604"/>
      <w:bookmarkStart w:id="17" w:name="_Toc15377206"/>
      <w:r>
        <w:rPr>
          <w:rFonts w:hint="eastAsia" w:ascii="宋体" w:hAnsi="宋体" w:eastAsia="宋体" w:cs="宋体"/>
          <w:b/>
          <w:bCs/>
          <w:color w:val="auto"/>
          <w:sz w:val="32"/>
          <w:szCs w:val="32"/>
          <w:highlight w:val="none"/>
          <w:lang w:eastAsia="zh-CN"/>
        </w:rPr>
        <w:t>二、收入决算情况说明</w:t>
      </w:r>
      <w:bookmarkEnd w:id="16"/>
      <w:bookmarkEnd w:id="17"/>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宋体" w:hAnsi="宋体" w:eastAsia="宋体" w:cs="宋体"/>
          <w:b/>
          <w:bCs/>
          <w:color w:val="auto"/>
          <w:sz w:val="32"/>
          <w:szCs w:val="32"/>
          <w:highlight w:val="none"/>
          <w:lang w:eastAsia="zh-CN"/>
        </w:rPr>
      </w:pPr>
      <w:r>
        <w:rPr>
          <w:rFonts w:hint="eastAsia" w:ascii="宋体" w:hAnsi="宋体" w:eastAsia="宋体" w:cs="宋体"/>
          <w:color w:val="auto"/>
          <w:sz w:val="32"/>
          <w:szCs w:val="32"/>
          <w:highlight w:val="none"/>
          <w:lang w:eastAsia="zh-CN"/>
        </w:rPr>
        <w:t>2024年度本年收入合计</w:t>
      </w:r>
      <w:r>
        <w:rPr>
          <w:rFonts w:hint="eastAsia" w:ascii="宋体" w:hAnsi="宋体" w:eastAsia="宋体" w:cs="宋体"/>
          <w:sz w:val="32"/>
          <w:szCs w:val="32"/>
          <w:highlight w:val="none"/>
          <w:lang w:val="en-US" w:eastAsia="zh-CN"/>
        </w:rPr>
        <w:t>331.96</w:t>
      </w:r>
      <w:r>
        <w:rPr>
          <w:rFonts w:hint="eastAsia" w:ascii="宋体" w:hAnsi="宋体" w:eastAsia="宋体" w:cs="宋体"/>
          <w:sz w:val="32"/>
          <w:szCs w:val="32"/>
          <w:highlight w:val="none"/>
        </w:rPr>
        <w:t>万元，其中：一般公共预算财政拨款收入</w:t>
      </w:r>
      <w:r>
        <w:rPr>
          <w:rFonts w:hint="eastAsia" w:ascii="宋体" w:hAnsi="宋体" w:eastAsia="宋体" w:cs="宋体"/>
          <w:sz w:val="32"/>
          <w:szCs w:val="32"/>
          <w:highlight w:val="none"/>
          <w:lang w:val="en-US" w:eastAsia="zh-CN"/>
        </w:rPr>
        <w:t>331.96</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100</w:t>
      </w:r>
      <w:r>
        <w:rPr>
          <w:rFonts w:hint="eastAsia" w:ascii="宋体" w:hAnsi="宋体" w:eastAsia="宋体" w:cs="宋体"/>
          <w:color w:val="auto"/>
          <w:sz w:val="32"/>
          <w:szCs w:val="32"/>
          <w:highlight w:val="none"/>
          <w:lang w:eastAsia="zh-CN"/>
        </w:rPr>
        <w:t>%；政府性基金预算财政拨款收入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%；国有资本经营预算财政拨款收入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%；上级补助收入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%；事业收入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%；经营收入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%；附属单位上缴收入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%；其他收入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w:t>
      </w:r>
    </w:p>
    <w:p>
      <w:pPr>
        <w:ind w:firstLine="800" w:firstLineChars="25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（图2：收入决算结构图）（饼状图）</w:t>
      </w:r>
    </w:p>
    <w:p>
      <w:pPr>
        <w:pStyle w:val="2"/>
        <w:rPr>
          <w:rFonts w:hint="eastAsia" w:ascii="宋体" w:hAnsi="宋体" w:eastAsia="宋体" w:cs="宋体"/>
          <w:color w:val="auto"/>
          <w:sz w:val="32"/>
          <w:szCs w:val="32"/>
          <w:highlight w:val="none"/>
          <w:lang w:eastAsia="zh-CN"/>
        </w:rPr>
      </w:pPr>
      <w:r>
        <w:rPr>
          <w:rFonts w:hint="eastAsia" w:ascii="宋体" w:hAnsi="宋体" w:eastAsia="宋体" w:cs="宋体"/>
          <w:color w:val="000000"/>
          <w:sz w:val="32"/>
          <w:szCs w:val="32"/>
          <w:highlight w:val="none"/>
          <w:lang w:val="zh-CN"/>
        </w:rPr>
        <w:pict>
          <v:shape id="Object 4" o:spid="_x0000_s1029" o:spt="75" type="#_x0000_t75" style="position:absolute;left:0pt;margin-left:24.9pt;margin-top:3.85pt;height:183.05pt;width:348.75pt;z-index:-251655168;mso-width-relative:page;mso-height-relative:page;" o:ole="t" filled="f" o:preferrelative="t" stroked="f" coordsize="21600,21600">
            <v:path/>
            <v:fill on="f" focussize="0,0"/>
            <v:stroke on="f"/>
            <v:imagedata r:id="rId12" o:title=""/>
            <o:lock v:ext="edit" aspectratio="t"/>
          </v:shape>
          <o:OLEObject Type="Embed" ProgID="Excel.Chart.8" ShapeID="Object 4" DrawAspect="Content" ObjectID="_1468075726" r:id="rId11">
            <o:LockedField>false</o:LockedField>
          </o:OLEObject>
        </w:pict>
      </w: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Style w:val="30"/>
          <w:rFonts w:hint="eastAsia" w:ascii="宋体" w:hAnsi="宋体" w:eastAsia="宋体" w:cs="宋体"/>
          <w:b/>
          <w:bCs/>
          <w:color w:val="auto"/>
          <w:sz w:val="32"/>
          <w:szCs w:val="32"/>
          <w:highlight w:val="none"/>
        </w:rPr>
      </w:pPr>
      <w:bookmarkStart w:id="18" w:name="_Toc15377207"/>
      <w:bookmarkStart w:id="19" w:name="_Toc15396605"/>
      <w:r>
        <w:rPr>
          <w:rFonts w:hint="eastAsia" w:ascii="宋体" w:hAnsi="宋体" w:eastAsia="宋体" w:cs="宋体"/>
          <w:b/>
          <w:bCs/>
          <w:color w:val="auto"/>
          <w:sz w:val="32"/>
          <w:szCs w:val="32"/>
          <w:highlight w:val="none"/>
          <w:lang w:eastAsia="zh-CN"/>
        </w:rPr>
        <w:t>三、</w:t>
      </w:r>
      <w:r>
        <w:rPr>
          <w:rFonts w:hint="eastAsia" w:ascii="宋体" w:hAnsi="宋体" w:eastAsia="宋体" w:cs="宋体"/>
          <w:b/>
          <w:bCs/>
          <w:color w:val="auto"/>
          <w:sz w:val="32"/>
          <w:szCs w:val="32"/>
          <w:highlight w:val="none"/>
        </w:rPr>
        <w:t>支</w:t>
      </w:r>
      <w:r>
        <w:rPr>
          <w:rStyle w:val="30"/>
          <w:rFonts w:hint="eastAsia" w:ascii="宋体" w:hAnsi="宋体" w:eastAsia="宋体" w:cs="宋体"/>
          <w:b/>
          <w:bCs/>
          <w:color w:val="auto"/>
          <w:sz w:val="32"/>
          <w:szCs w:val="32"/>
          <w:highlight w:val="none"/>
        </w:rPr>
        <w:t>出决算情况说明</w:t>
      </w:r>
      <w:bookmarkEnd w:id="18"/>
      <w:bookmarkEnd w:id="19"/>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2024年度本年支出合计</w:t>
      </w:r>
      <w:r>
        <w:rPr>
          <w:rFonts w:hint="eastAsia" w:ascii="宋体" w:hAnsi="宋体" w:eastAsia="宋体" w:cs="宋体"/>
          <w:color w:val="auto"/>
          <w:sz w:val="32"/>
          <w:szCs w:val="32"/>
          <w:highlight w:val="none"/>
          <w:lang w:val="en-US" w:eastAsia="zh-CN"/>
        </w:rPr>
        <w:t>331.96</w:t>
      </w:r>
      <w:r>
        <w:rPr>
          <w:rFonts w:hint="eastAsia" w:ascii="宋体" w:hAnsi="宋体" w:eastAsia="宋体" w:cs="宋体"/>
          <w:color w:val="auto"/>
          <w:sz w:val="32"/>
          <w:szCs w:val="32"/>
          <w:highlight w:val="none"/>
          <w:lang w:eastAsia="zh-CN"/>
        </w:rPr>
        <w:t>万元，其中：基本支出</w:t>
      </w:r>
      <w:r>
        <w:rPr>
          <w:rFonts w:hint="eastAsia" w:ascii="宋体" w:hAnsi="宋体" w:eastAsia="宋体" w:cs="宋体"/>
          <w:sz w:val="32"/>
          <w:szCs w:val="32"/>
          <w:highlight w:val="none"/>
          <w:lang w:val="en-US" w:eastAsia="zh-CN"/>
        </w:rPr>
        <w:t>331.96</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lang w:val="en-US" w:eastAsia="zh-CN"/>
        </w:rPr>
        <w:t>100.00</w:t>
      </w:r>
      <w:r>
        <w:rPr>
          <w:rFonts w:hint="eastAsia" w:ascii="宋体" w:hAnsi="宋体" w:eastAsia="宋体" w:cs="宋体"/>
          <w:color w:val="auto"/>
          <w:sz w:val="32"/>
          <w:szCs w:val="32"/>
          <w:highlight w:val="none"/>
          <w:lang w:eastAsia="zh-CN"/>
        </w:rPr>
        <w:t>%；项目支出</w:t>
      </w:r>
      <w:r>
        <w:rPr>
          <w:rFonts w:hint="eastAsia" w:ascii="宋体" w:hAnsi="宋体" w:eastAsia="宋体" w:cs="宋体"/>
          <w:sz w:val="32"/>
          <w:szCs w:val="32"/>
          <w:highlight w:val="none"/>
          <w:lang w:val="en-US" w:eastAsia="zh-CN"/>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lang w:val="en-US" w:eastAsia="zh-CN"/>
        </w:rPr>
        <w:t>0</w:t>
      </w:r>
      <w:r>
        <w:rPr>
          <w:rFonts w:hint="eastAsia" w:ascii="宋体" w:hAnsi="宋体" w:eastAsia="宋体" w:cs="宋体"/>
          <w:color w:val="auto"/>
          <w:sz w:val="32"/>
          <w:szCs w:val="32"/>
          <w:highlight w:val="none"/>
          <w:lang w:eastAsia="zh-CN"/>
        </w:rPr>
        <w:t>%；上缴上级支出</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%；经营支出</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%；对附属单位补助支出</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w:t>
      </w:r>
    </w:p>
    <w:p>
      <w:pPr>
        <w:ind w:firstLine="800" w:firstLineChars="25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（图3：支出决算结构图）（饼状图）</w:t>
      </w:r>
    </w:p>
    <w:p>
      <w:pPr>
        <w:pStyle w:val="2"/>
        <w:rPr>
          <w:rFonts w:hint="eastAsia" w:ascii="宋体" w:hAnsi="宋体" w:eastAsia="宋体" w:cs="宋体"/>
          <w:color w:val="auto"/>
          <w:sz w:val="32"/>
          <w:szCs w:val="32"/>
          <w:highlight w:val="none"/>
          <w:lang w:eastAsia="zh-CN"/>
        </w:rPr>
      </w:pPr>
      <w:r>
        <w:rPr>
          <w:rFonts w:hint="eastAsia" w:ascii="宋体" w:hAnsi="宋体" w:eastAsia="宋体" w:cs="宋体"/>
          <w:sz w:val="32"/>
          <w:szCs w:val="32"/>
          <w:highlight w:val="none"/>
        </w:rPr>
        <w:pict>
          <v:shape id="Object 5" o:spid="_x0000_s1030" o:spt="75" type="#_x0000_t75" style="position:absolute;left:0pt;margin-left:38.85pt;margin-top:11.3pt;height:183.15pt;width:300.9pt;z-index:-251654144;mso-width-relative:page;mso-height-relative:page;" o:ole="t" filled="f" o:preferrelative="t" stroked="f" coordsize="21600,21600">
            <v:path/>
            <v:fill on="f" focussize="0,0"/>
            <v:stroke on="f"/>
            <v:imagedata r:id="rId14" o:title=""/>
            <o:lock v:ext="edit" aspectratio="t"/>
          </v:shape>
          <o:OLEObject Type="Embed" ProgID="Excel.Chart.8" ShapeID="Object 5" DrawAspect="Content" ObjectID="_1468075727" r:id="rId13">
            <o:LockedField>false</o:LockedField>
          </o:OLEObject>
        </w:pict>
      </w: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ind w:firstLine="800" w:firstLineChars="250"/>
        <w:rPr>
          <w:rFonts w:hint="eastAsia" w:ascii="宋体" w:hAnsi="宋体" w:eastAsia="宋体" w:cs="宋体"/>
          <w:color w:val="auto"/>
          <w:sz w:val="32"/>
          <w:szCs w:val="32"/>
          <w:highlight w:val="none"/>
          <w:lang w:eastAsia="zh-CN"/>
        </w:rPr>
      </w:pPr>
    </w:p>
    <w:p>
      <w:pPr>
        <w:spacing w:line="600" w:lineRule="exact"/>
        <w:ind w:firstLine="643" w:firstLineChars="200"/>
        <w:outlineLvl w:val="1"/>
        <w:rPr>
          <w:rStyle w:val="30"/>
          <w:rFonts w:hint="eastAsia" w:ascii="宋体" w:hAnsi="宋体" w:eastAsia="宋体" w:cs="宋体"/>
          <w:b/>
          <w:bCs/>
          <w:color w:val="auto"/>
          <w:sz w:val="32"/>
          <w:szCs w:val="32"/>
          <w:highlight w:val="none"/>
        </w:rPr>
      </w:pPr>
      <w:bookmarkStart w:id="20" w:name="_Toc15396606"/>
      <w:bookmarkStart w:id="21" w:name="_Toc15377208"/>
      <w:r>
        <w:rPr>
          <w:rFonts w:hint="eastAsia" w:ascii="宋体" w:hAnsi="宋体" w:eastAsia="宋体" w:cs="宋体"/>
          <w:b/>
          <w:bCs/>
          <w:color w:val="auto"/>
          <w:sz w:val="32"/>
          <w:szCs w:val="32"/>
          <w:highlight w:val="none"/>
        </w:rPr>
        <w:t>四、财</w:t>
      </w:r>
      <w:r>
        <w:rPr>
          <w:rStyle w:val="30"/>
          <w:rFonts w:hint="eastAsia" w:ascii="宋体" w:hAnsi="宋体" w:eastAsia="宋体" w:cs="宋体"/>
          <w:b/>
          <w:bCs/>
          <w:color w:val="auto"/>
          <w:sz w:val="32"/>
          <w:szCs w:val="32"/>
          <w:highlight w:val="none"/>
        </w:rPr>
        <w:t>政拨款收入支出决算总体情况说明</w:t>
      </w:r>
      <w:bookmarkEnd w:id="20"/>
      <w:bookmarkEnd w:id="21"/>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auto"/>
          <w:kern w:val="2"/>
          <w:sz w:val="32"/>
          <w:szCs w:val="32"/>
          <w:highlight w:val="none"/>
          <w:lang w:val="en-US" w:eastAsia="zh-CN" w:bidi="ar-SA"/>
        </w:rPr>
        <w:t>2024年度财政拨款收入、支出总计均为</w:t>
      </w:r>
      <w:r>
        <w:rPr>
          <w:rFonts w:hint="eastAsia" w:ascii="宋体" w:hAnsi="宋体" w:eastAsia="宋体" w:cs="宋体"/>
          <w:sz w:val="32"/>
          <w:szCs w:val="32"/>
          <w:highlight w:val="none"/>
          <w:lang w:val="en-US" w:eastAsia="zh-CN"/>
        </w:rPr>
        <w:t>332.79</w:t>
      </w:r>
      <w:r>
        <w:rPr>
          <w:rFonts w:hint="eastAsia" w:ascii="宋体" w:hAnsi="宋体" w:eastAsia="宋体" w:cs="宋体"/>
          <w:color w:val="auto"/>
          <w:kern w:val="2"/>
          <w:sz w:val="32"/>
          <w:szCs w:val="32"/>
          <w:highlight w:val="none"/>
          <w:lang w:val="en-US" w:eastAsia="zh-CN" w:bidi="ar-SA"/>
        </w:rPr>
        <w:t>万元。与2023年度相比，财政拨款收入总计、支出总计减少8.74万元，</w:t>
      </w:r>
      <w:r>
        <w:rPr>
          <w:rFonts w:hint="eastAsia" w:ascii="宋体" w:hAnsi="宋体" w:eastAsia="宋体" w:cs="宋体"/>
          <w:color w:val="auto"/>
          <w:sz w:val="32"/>
          <w:szCs w:val="32"/>
          <w:highlight w:val="none"/>
          <w:lang w:val="en-US" w:eastAsia="zh-CN"/>
        </w:rPr>
        <w:t>下降2.56</w:t>
      </w:r>
      <w:r>
        <w:rPr>
          <w:rFonts w:hint="eastAsia" w:ascii="宋体" w:hAnsi="宋体" w:eastAsia="宋体" w:cs="宋体"/>
          <w:color w:val="auto"/>
          <w:sz w:val="32"/>
          <w:szCs w:val="32"/>
          <w:highlight w:val="none"/>
        </w:rPr>
        <w:t>%。主要变动原因是</w:t>
      </w:r>
      <w:r>
        <w:rPr>
          <w:rFonts w:hint="eastAsia" w:ascii="宋体" w:hAnsi="宋体" w:eastAsia="宋体" w:cs="宋体"/>
          <w:color w:val="auto"/>
          <w:sz w:val="32"/>
          <w:szCs w:val="32"/>
          <w:highlight w:val="none"/>
          <w:lang w:val="en-US" w:eastAsia="zh-CN"/>
        </w:rPr>
        <w:t>2024年专项经费有所减少。</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000000"/>
          <w:sz w:val="32"/>
          <w:szCs w:val="32"/>
          <w:highlight w:val="none"/>
          <w:lang w:val="zh-CN"/>
        </w:rPr>
        <w:pict>
          <v:shape id="_x0000_s1031" o:spid="_x0000_s1031" o:spt="75" type="#_x0000_t75" style="position:absolute;left:0pt;margin-left:20.7pt;margin-top:12.5pt;height:222.75pt;width:366pt;z-index:-251653120;mso-width-relative:page;mso-height-relative:page;" o:ole="t" filled="f" o:preferrelative="t" stroked="f" coordsize="21600,21600">
            <v:path/>
            <v:fill on="f" focussize="0,0"/>
            <v:stroke on="f"/>
            <v:imagedata r:id="rId16" o:title=""/>
            <o:lock v:ext="edit" aspectratio="t"/>
          </v:shape>
          <o:OLEObject Type="Embed" ProgID="Excel.Chart.8" ShapeID="_x0000_s1031" DrawAspect="Content" ObjectID="_1468075728" r:id="rId15">
            <o:LockedField>false</o:LockedField>
          </o:OLEObject>
        </w:pic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firstLineChars="20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（图4：财政拨款收、支决算总计变动情况）（柱状图）</w:t>
      </w: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3" w:firstLineChars="200"/>
        <w:outlineLvl w:val="1"/>
        <w:rPr>
          <w:rStyle w:val="30"/>
          <w:rFonts w:hint="eastAsia" w:ascii="宋体" w:hAnsi="宋体" w:eastAsia="宋体" w:cs="宋体"/>
          <w:b/>
          <w:bCs/>
          <w:color w:val="auto"/>
          <w:sz w:val="32"/>
          <w:szCs w:val="32"/>
          <w:highlight w:val="none"/>
        </w:rPr>
      </w:pPr>
      <w:bookmarkStart w:id="22" w:name="_Toc15377209"/>
      <w:bookmarkStart w:id="23" w:name="_Toc15396607"/>
      <w:r>
        <w:rPr>
          <w:rFonts w:hint="eastAsia" w:ascii="宋体" w:hAnsi="宋体" w:eastAsia="宋体" w:cs="宋体"/>
          <w:b/>
          <w:bCs/>
          <w:color w:val="auto"/>
          <w:sz w:val="32"/>
          <w:szCs w:val="32"/>
          <w:highlight w:val="none"/>
        </w:rPr>
        <w:t>五、一</w:t>
      </w:r>
      <w:r>
        <w:rPr>
          <w:rStyle w:val="30"/>
          <w:rFonts w:hint="eastAsia" w:ascii="宋体" w:hAnsi="宋体" w:eastAsia="宋体" w:cs="宋体"/>
          <w:b/>
          <w:bCs/>
          <w:color w:val="auto"/>
          <w:sz w:val="32"/>
          <w:szCs w:val="32"/>
          <w:highlight w:val="none"/>
        </w:rPr>
        <w:t>般公共预算财政拨款支出决算情况说明</w:t>
      </w:r>
      <w:bookmarkEnd w:id="22"/>
      <w:bookmarkEnd w:id="23"/>
    </w:p>
    <w:p>
      <w:pPr>
        <w:spacing w:line="600" w:lineRule="exact"/>
        <w:ind w:firstLine="643" w:firstLineChars="200"/>
        <w:outlineLvl w:val="2"/>
        <w:rPr>
          <w:rFonts w:hint="eastAsia" w:ascii="宋体" w:hAnsi="宋体" w:eastAsia="宋体" w:cs="宋体"/>
          <w:b/>
          <w:color w:val="auto"/>
          <w:sz w:val="32"/>
          <w:szCs w:val="32"/>
          <w:highlight w:val="none"/>
        </w:rPr>
      </w:pPr>
      <w:bookmarkStart w:id="24" w:name="_Toc15377210"/>
      <w:r>
        <w:rPr>
          <w:rFonts w:hint="eastAsia" w:ascii="宋体" w:hAnsi="宋体" w:eastAsia="宋体" w:cs="宋体"/>
          <w:b/>
          <w:color w:val="auto"/>
          <w:sz w:val="32"/>
          <w:szCs w:val="32"/>
          <w:highlight w:val="none"/>
        </w:rPr>
        <w:t>（一）一般公共预算财政拨款支出决算总体情况</w:t>
      </w:r>
      <w:bookmarkEnd w:id="24"/>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auto"/>
          <w:kern w:val="2"/>
          <w:sz w:val="32"/>
          <w:szCs w:val="32"/>
          <w:highlight w:val="none"/>
          <w:lang w:val="en-US" w:eastAsia="zh-CN" w:bidi="ar-SA"/>
        </w:rPr>
        <w:t>2024年度一般公共预算财政拨款支出</w:t>
      </w:r>
      <w:r>
        <w:rPr>
          <w:rFonts w:hint="eastAsia" w:ascii="宋体" w:hAnsi="宋体" w:eastAsia="宋体" w:cs="宋体"/>
          <w:sz w:val="32"/>
          <w:szCs w:val="32"/>
          <w:highlight w:val="none"/>
          <w:lang w:val="en-US" w:eastAsia="zh-CN"/>
        </w:rPr>
        <w:t>331.96</w:t>
      </w:r>
      <w:r>
        <w:rPr>
          <w:rFonts w:hint="eastAsia" w:ascii="宋体" w:hAnsi="宋体" w:eastAsia="宋体" w:cs="宋体"/>
          <w:color w:val="auto"/>
          <w:kern w:val="2"/>
          <w:sz w:val="32"/>
          <w:szCs w:val="32"/>
          <w:highlight w:val="none"/>
          <w:lang w:val="en-US" w:eastAsia="zh-CN" w:bidi="ar-SA"/>
        </w:rPr>
        <w:t>万元，占本年支出合计的</w:t>
      </w:r>
      <w:r>
        <w:rPr>
          <w:rFonts w:hint="eastAsia" w:ascii="宋体" w:hAnsi="宋体" w:eastAsia="宋体" w:cs="宋体"/>
          <w:sz w:val="32"/>
          <w:szCs w:val="32"/>
          <w:highlight w:val="none"/>
        </w:rPr>
        <w:t>100</w:t>
      </w:r>
      <w:r>
        <w:rPr>
          <w:rFonts w:hint="eastAsia" w:ascii="宋体" w:hAnsi="宋体" w:eastAsia="宋体" w:cs="宋体"/>
          <w:color w:val="auto"/>
          <w:kern w:val="2"/>
          <w:sz w:val="32"/>
          <w:szCs w:val="32"/>
          <w:highlight w:val="none"/>
          <w:lang w:val="en-US" w:eastAsia="zh-CN" w:bidi="ar-SA"/>
        </w:rPr>
        <w:t>%。与2023年度相比，一般公共预算财政拨款支出减少</w:t>
      </w:r>
      <w:r>
        <w:rPr>
          <w:rFonts w:hint="eastAsia" w:ascii="宋体" w:hAnsi="宋体" w:eastAsia="宋体" w:cs="宋体"/>
          <w:color w:val="auto"/>
          <w:sz w:val="32"/>
          <w:szCs w:val="32"/>
          <w:highlight w:val="none"/>
          <w:lang w:val="en-US" w:eastAsia="zh-CN"/>
        </w:rPr>
        <w:t>8.74</w:t>
      </w:r>
      <w:r>
        <w:rPr>
          <w:rFonts w:hint="eastAsia" w:ascii="宋体" w:hAnsi="宋体" w:eastAsia="宋体" w:cs="宋体"/>
          <w:color w:val="auto"/>
          <w:sz w:val="32"/>
          <w:szCs w:val="32"/>
          <w:highlight w:val="none"/>
        </w:rPr>
        <w:t>万元，</w:t>
      </w:r>
      <w:r>
        <w:rPr>
          <w:rFonts w:hint="eastAsia" w:ascii="宋体" w:hAnsi="宋体" w:eastAsia="宋体" w:cs="宋体"/>
          <w:color w:val="auto"/>
          <w:sz w:val="32"/>
          <w:szCs w:val="32"/>
          <w:highlight w:val="none"/>
          <w:lang w:val="en-US" w:eastAsia="zh-CN"/>
        </w:rPr>
        <w:t>下降2.56</w:t>
      </w:r>
      <w:r>
        <w:rPr>
          <w:rFonts w:hint="eastAsia" w:ascii="宋体" w:hAnsi="宋体" w:eastAsia="宋体" w:cs="宋体"/>
          <w:color w:val="auto"/>
          <w:sz w:val="32"/>
          <w:szCs w:val="32"/>
          <w:highlight w:val="none"/>
        </w:rPr>
        <w:t>%。主要变动原因是</w:t>
      </w:r>
      <w:r>
        <w:rPr>
          <w:rFonts w:hint="eastAsia" w:ascii="宋体" w:hAnsi="宋体" w:eastAsia="宋体" w:cs="宋体"/>
          <w:color w:val="auto"/>
          <w:sz w:val="32"/>
          <w:szCs w:val="32"/>
          <w:highlight w:val="none"/>
          <w:lang w:val="en-US" w:eastAsia="zh-CN"/>
        </w:rPr>
        <w:t>2024年专项经费有所减少。</w:t>
      </w: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sz w:val="32"/>
          <w:szCs w:val="32"/>
          <w:highlight w:val="none"/>
        </w:rPr>
        <w:pict>
          <v:shape id="Object 6" o:spid="_x0000_s1032" o:spt="75" type="#_x0000_t75" style="position:absolute;left:0pt;margin-left:36.65pt;margin-top:12.35pt;height:214.25pt;width:352pt;z-index:-251652096;mso-width-relative:page;mso-height-relative:page;" o:ole="t" filled="f" o:preferrelative="t" stroked="f" coordsize="21600,21600">
            <v:path/>
            <v:fill on="f" focussize="0,0"/>
            <v:stroke on="f"/>
            <v:imagedata r:id="rId18" o:title=""/>
            <o:lock v:ext="edit" aspectratio="t"/>
          </v:shape>
          <o:OLEObject Type="Embed" ProgID="Excel.Chart.8" ShapeID="Object 6" DrawAspect="Content" ObjectID="_1468075729" r:id="rId17">
            <o:LockedField>false</o:LockedField>
          </o:OLEObject>
        </w:pict>
      </w: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（图5：一般公共预算财政拨款支出决算变动情况）（柱状图）</w:t>
      </w:r>
    </w:p>
    <w:p>
      <w:pPr>
        <w:spacing w:line="600" w:lineRule="exact"/>
        <w:ind w:firstLine="643" w:firstLineChars="200"/>
        <w:outlineLvl w:val="2"/>
        <w:rPr>
          <w:rFonts w:hint="eastAsia" w:ascii="宋体" w:hAnsi="宋体" w:eastAsia="宋体" w:cs="宋体"/>
          <w:b/>
          <w:color w:val="auto"/>
          <w:sz w:val="32"/>
          <w:szCs w:val="32"/>
          <w:highlight w:val="none"/>
        </w:rPr>
      </w:pPr>
      <w:bookmarkStart w:id="25" w:name="_Toc15377211"/>
      <w:r>
        <w:rPr>
          <w:rFonts w:hint="eastAsia" w:ascii="宋体" w:hAnsi="宋体" w:eastAsia="宋体" w:cs="宋体"/>
          <w:b/>
          <w:color w:val="auto"/>
          <w:sz w:val="32"/>
          <w:szCs w:val="32"/>
          <w:highlight w:val="none"/>
        </w:rPr>
        <w:t>（二）一般公共预算财政拨款支出决算结构情况</w:t>
      </w:r>
      <w:bookmarkEnd w:id="25"/>
    </w:p>
    <w:p>
      <w:pPr>
        <w:spacing w:line="600" w:lineRule="exact"/>
        <w:ind w:firstLine="640" w:firstLineChars="200"/>
        <w:outlineLvl w:val="2"/>
        <w:rPr>
          <w:rFonts w:hint="eastAsia" w:ascii="宋体" w:hAnsi="宋体" w:eastAsia="宋体" w:cs="宋体"/>
          <w:color w:val="000000"/>
          <w:sz w:val="32"/>
          <w:szCs w:val="32"/>
          <w:highlight w:val="none"/>
          <w:lang w:val="zh-CN"/>
        </w:rPr>
      </w:pPr>
      <w:r>
        <w:rPr>
          <w:rFonts w:hint="eastAsia" w:ascii="宋体" w:hAnsi="宋体" w:eastAsia="宋体" w:cs="宋体"/>
          <w:color w:val="auto"/>
          <w:kern w:val="2"/>
          <w:sz w:val="32"/>
          <w:szCs w:val="32"/>
          <w:highlight w:val="none"/>
          <w:lang w:val="en-US" w:eastAsia="zh-CN" w:bidi="ar-SA"/>
        </w:rPr>
        <w:t>2024年度一般公共预算财政拨款支出</w:t>
      </w:r>
      <w:r>
        <w:rPr>
          <w:rFonts w:hint="eastAsia" w:ascii="宋体" w:hAnsi="宋体" w:eastAsia="宋体" w:cs="宋体"/>
          <w:sz w:val="32"/>
          <w:szCs w:val="32"/>
          <w:highlight w:val="none"/>
          <w:lang w:val="en-US" w:eastAsia="zh-CN"/>
        </w:rPr>
        <w:t>331.96</w:t>
      </w:r>
      <w:r>
        <w:rPr>
          <w:rFonts w:hint="eastAsia" w:ascii="宋体" w:hAnsi="宋体" w:eastAsia="宋体" w:cs="宋体"/>
          <w:color w:val="auto"/>
          <w:kern w:val="2"/>
          <w:sz w:val="32"/>
          <w:szCs w:val="32"/>
          <w:highlight w:val="none"/>
          <w:lang w:val="en-US" w:eastAsia="zh-CN" w:bidi="ar-SA"/>
        </w:rPr>
        <w:t>万元，主要用于以下方面</w:t>
      </w:r>
      <w:r>
        <w:rPr>
          <w:rFonts w:hint="eastAsia" w:ascii="宋体" w:hAnsi="宋体" w:eastAsia="宋体" w:cs="宋体"/>
          <w:sz w:val="32"/>
          <w:szCs w:val="32"/>
          <w:highlight w:val="none"/>
        </w:rPr>
        <w:t>:</w:t>
      </w:r>
      <w:r>
        <w:rPr>
          <w:rFonts w:hint="eastAsia" w:ascii="宋体" w:hAnsi="宋体" w:eastAsia="宋体" w:cs="宋体"/>
          <w:color w:val="000000"/>
          <w:sz w:val="32"/>
          <w:szCs w:val="32"/>
          <w:highlight w:val="none"/>
          <w:lang w:val="zh-CN"/>
        </w:rPr>
        <w:t>一般公共服务支出</w:t>
      </w:r>
      <w:r>
        <w:rPr>
          <w:rFonts w:hint="eastAsia" w:ascii="宋体" w:hAnsi="宋体" w:eastAsia="宋体" w:cs="宋体"/>
          <w:sz w:val="32"/>
          <w:szCs w:val="32"/>
          <w:highlight w:val="none"/>
          <w:lang w:val="en-US" w:eastAsia="zh-CN"/>
        </w:rPr>
        <w:t>220.76</w:t>
      </w:r>
      <w:r>
        <w:rPr>
          <w:rFonts w:hint="eastAsia" w:ascii="宋体" w:hAnsi="宋体" w:eastAsia="宋体" w:cs="宋体"/>
          <w:color w:val="000000"/>
          <w:sz w:val="32"/>
          <w:szCs w:val="32"/>
          <w:highlight w:val="none"/>
          <w:lang w:val="zh-CN"/>
        </w:rPr>
        <w:t>万元，占</w:t>
      </w:r>
      <w:r>
        <w:rPr>
          <w:rFonts w:hint="eastAsia" w:ascii="宋体" w:hAnsi="宋体" w:eastAsia="宋体" w:cs="宋体"/>
          <w:sz w:val="32"/>
          <w:szCs w:val="32"/>
          <w:highlight w:val="none"/>
          <w:lang w:val="en-US" w:eastAsia="zh-CN"/>
        </w:rPr>
        <w:t>66.50</w:t>
      </w:r>
      <w:r>
        <w:rPr>
          <w:rFonts w:hint="eastAsia" w:ascii="宋体" w:hAnsi="宋体" w:eastAsia="宋体" w:cs="宋体"/>
          <w:color w:val="000000"/>
          <w:sz w:val="32"/>
          <w:szCs w:val="32"/>
          <w:highlight w:val="none"/>
          <w:lang w:val="zh-CN"/>
        </w:rPr>
        <w:t>%；社会保障和就业支出</w:t>
      </w:r>
      <w:r>
        <w:rPr>
          <w:rFonts w:hint="eastAsia" w:ascii="宋体" w:hAnsi="宋体" w:eastAsia="宋体" w:cs="宋体"/>
          <w:color w:val="000000"/>
          <w:sz w:val="32"/>
          <w:szCs w:val="32"/>
          <w:highlight w:val="none"/>
          <w:lang w:val="en-US" w:eastAsia="zh-CN"/>
        </w:rPr>
        <w:t>68.16</w:t>
      </w:r>
      <w:r>
        <w:rPr>
          <w:rFonts w:hint="eastAsia" w:ascii="宋体" w:hAnsi="宋体" w:eastAsia="宋体" w:cs="宋体"/>
          <w:color w:val="000000"/>
          <w:sz w:val="32"/>
          <w:szCs w:val="32"/>
          <w:highlight w:val="none"/>
          <w:lang w:val="zh-CN"/>
        </w:rPr>
        <w:t>万元，占</w:t>
      </w:r>
      <w:r>
        <w:rPr>
          <w:rFonts w:hint="eastAsia" w:ascii="宋体" w:hAnsi="宋体" w:eastAsia="宋体" w:cs="宋体"/>
          <w:color w:val="000000"/>
          <w:sz w:val="32"/>
          <w:szCs w:val="32"/>
          <w:highlight w:val="none"/>
          <w:lang w:val="en-US" w:eastAsia="zh-CN"/>
        </w:rPr>
        <w:t>20.53</w:t>
      </w:r>
      <w:r>
        <w:rPr>
          <w:rFonts w:hint="eastAsia" w:ascii="宋体" w:hAnsi="宋体" w:eastAsia="宋体" w:cs="宋体"/>
          <w:color w:val="000000"/>
          <w:sz w:val="32"/>
          <w:szCs w:val="32"/>
          <w:highlight w:val="none"/>
          <w:lang w:val="zh-CN"/>
        </w:rPr>
        <w:t>%；卫生健康支出</w:t>
      </w:r>
      <w:r>
        <w:rPr>
          <w:rFonts w:hint="eastAsia" w:ascii="宋体" w:hAnsi="宋体" w:eastAsia="宋体" w:cs="宋体"/>
          <w:color w:val="000000"/>
          <w:sz w:val="32"/>
          <w:szCs w:val="32"/>
          <w:highlight w:val="none"/>
          <w:lang w:val="en-US" w:eastAsia="zh-CN"/>
        </w:rPr>
        <w:t>21.44</w:t>
      </w:r>
      <w:r>
        <w:rPr>
          <w:rFonts w:hint="eastAsia" w:ascii="宋体" w:hAnsi="宋体" w:eastAsia="宋体" w:cs="宋体"/>
          <w:color w:val="000000"/>
          <w:sz w:val="32"/>
          <w:szCs w:val="32"/>
          <w:highlight w:val="none"/>
          <w:lang w:val="zh-CN"/>
        </w:rPr>
        <w:t>万元，占</w:t>
      </w:r>
      <w:r>
        <w:rPr>
          <w:rFonts w:hint="eastAsia" w:ascii="宋体" w:hAnsi="宋体" w:eastAsia="宋体" w:cs="宋体"/>
          <w:color w:val="000000"/>
          <w:sz w:val="32"/>
          <w:szCs w:val="32"/>
          <w:highlight w:val="none"/>
          <w:lang w:val="en-US" w:eastAsia="zh-CN"/>
        </w:rPr>
        <w:t>6.46</w:t>
      </w:r>
      <w:r>
        <w:rPr>
          <w:rFonts w:hint="eastAsia" w:ascii="宋体" w:hAnsi="宋体" w:eastAsia="宋体" w:cs="宋体"/>
          <w:color w:val="000000"/>
          <w:sz w:val="32"/>
          <w:szCs w:val="32"/>
          <w:highlight w:val="none"/>
          <w:lang w:val="zh-CN"/>
        </w:rPr>
        <w:t>%；住房保障支出</w:t>
      </w:r>
      <w:r>
        <w:rPr>
          <w:rFonts w:hint="eastAsia" w:ascii="宋体" w:hAnsi="宋体" w:eastAsia="宋体" w:cs="宋体"/>
          <w:color w:val="000000"/>
          <w:sz w:val="32"/>
          <w:szCs w:val="32"/>
          <w:highlight w:val="none"/>
          <w:lang w:val="en-US" w:eastAsia="zh-CN"/>
        </w:rPr>
        <w:t>21.60</w:t>
      </w:r>
      <w:r>
        <w:rPr>
          <w:rFonts w:hint="eastAsia" w:ascii="宋体" w:hAnsi="宋体" w:eastAsia="宋体" w:cs="宋体"/>
          <w:color w:val="000000"/>
          <w:sz w:val="32"/>
          <w:szCs w:val="32"/>
          <w:highlight w:val="none"/>
          <w:lang w:val="zh-CN"/>
        </w:rPr>
        <w:t>万元，占</w:t>
      </w:r>
      <w:r>
        <w:rPr>
          <w:rFonts w:hint="eastAsia" w:ascii="宋体" w:hAnsi="宋体" w:eastAsia="宋体" w:cs="宋体"/>
          <w:color w:val="000000"/>
          <w:sz w:val="32"/>
          <w:szCs w:val="32"/>
          <w:highlight w:val="none"/>
          <w:lang w:val="en-US" w:eastAsia="zh-CN"/>
        </w:rPr>
        <w:t>6.51</w:t>
      </w:r>
      <w:r>
        <w:rPr>
          <w:rFonts w:hint="eastAsia" w:ascii="宋体" w:hAnsi="宋体" w:eastAsia="宋体" w:cs="宋体"/>
          <w:color w:val="000000"/>
          <w:sz w:val="32"/>
          <w:szCs w:val="32"/>
          <w:highlight w:val="none"/>
          <w:lang w:val="zh-CN"/>
        </w:rPr>
        <w:t>%；</w:t>
      </w:r>
    </w:p>
    <w:p>
      <w:pPr>
        <w:pStyle w:val="2"/>
        <w:rPr>
          <w:rFonts w:hint="eastAsia" w:ascii="宋体" w:hAnsi="宋体" w:eastAsia="宋体" w:cs="宋体"/>
          <w:color w:val="000000"/>
          <w:sz w:val="32"/>
          <w:szCs w:val="32"/>
          <w:highlight w:val="none"/>
          <w:lang w:val="zh-CN"/>
        </w:rPr>
      </w:pPr>
      <w:r>
        <w:rPr>
          <w:rFonts w:hint="eastAsia" w:ascii="宋体" w:hAnsi="宋体" w:eastAsia="宋体" w:cs="宋体"/>
          <w:b/>
          <w:sz w:val="32"/>
          <w:szCs w:val="32"/>
          <w:highlight w:val="none"/>
        </w:rPr>
        <w:pict>
          <v:shape id="_x0000_s1033" o:spid="_x0000_s1033" o:spt="75" type="#_x0000_t75" style="position:absolute;left:0pt;margin-left:31.1pt;margin-top:1.4pt;height:216.35pt;width:355.45pt;z-index:-251651072;mso-width-relative:page;mso-height-relative:page;" o:ole="t" filled="f" o:preferrelative="t" stroked="f" coordsize="21600,21600">
            <v:path/>
            <v:fill on="f" focussize="0,0"/>
            <v:stroke on="f"/>
            <v:imagedata r:id="rId20" o:title=""/>
            <o:lock v:ext="edit" aspectratio="t"/>
          </v:shape>
          <o:OLEObject Type="Embed" ProgID="Excel.Chart.8" ShapeID="_x0000_s1033" DrawAspect="Content" ObjectID="_1468075730" r:id="rId19">
            <o:LockedField>false</o:LockedField>
          </o:OLEObject>
        </w:pict>
      </w:r>
    </w:p>
    <w:p>
      <w:pPr>
        <w:pStyle w:val="3"/>
        <w:rPr>
          <w:rFonts w:hint="eastAsia" w:ascii="宋体" w:hAnsi="宋体" w:eastAsia="宋体" w:cs="宋体"/>
          <w:color w:val="000000"/>
          <w:sz w:val="32"/>
          <w:szCs w:val="32"/>
          <w:highlight w:val="none"/>
          <w:lang w:val="zh-CN"/>
        </w:rPr>
      </w:pPr>
    </w:p>
    <w:p>
      <w:pPr>
        <w:pStyle w:val="3"/>
        <w:rPr>
          <w:rFonts w:hint="eastAsia" w:ascii="宋体" w:hAnsi="宋体" w:eastAsia="宋体" w:cs="宋体"/>
          <w:color w:val="000000"/>
          <w:sz w:val="32"/>
          <w:szCs w:val="32"/>
          <w:highlight w:val="none"/>
          <w:lang w:val="zh-CN"/>
        </w:rPr>
      </w:pPr>
    </w:p>
    <w:p>
      <w:pPr>
        <w:pStyle w:val="3"/>
        <w:rPr>
          <w:rFonts w:hint="eastAsia" w:ascii="宋体" w:hAnsi="宋体" w:eastAsia="宋体" w:cs="宋体"/>
          <w:color w:val="000000"/>
          <w:sz w:val="32"/>
          <w:szCs w:val="32"/>
          <w:highlight w:val="none"/>
          <w:lang w:val="zh-CN"/>
        </w:rPr>
      </w:pPr>
    </w:p>
    <w:p>
      <w:pPr>
        <w:pStyle w:val="3"/>
        <w:rPr>
          <w:rFonts w:hint="eastAsia" w:ascii="宋体" w:hAnsi="宋体" w:eastAsia="宋体" w:cs="宋体"/>
          <w:color w:val="000000"/>
          <w:sz w:val="32"/>
          <w:szCs w:val="32"/>
          <w:highlight w:val="none"/>
          <w:lang w:val="zh-CN"/>
        </w:rPr>
      </w:pPr>
    </w:p>
    <w:p>
      <w:pPr>
        <w:pStyle w:val="3"/>
        <w:rPr>
          <w:rFonts w:hint="eastAsia" w:ascii="宋体" w:hAnsi="宋体" w:eastAsia="宋体" w:cs="宋体"/>
          <w:color w:val="000000"/>
          <w:sz w:val="32"/>
          <w:szCs w:val="32"/>
          <w:highlight w:val="none"/>
          <w:lang w:val="zh-CN"/>
        </w:rPr>
      </w:pPr>
    </w:p>
    <w:p>
      <w:pPr>
        <w:pStyle w:val="3"/>
        <w:rPr>
          <w:rFonts w:hint="eastAsia" w:ascii="宋体" w:hAnsi="宋体" w:eastAsia="宋体" w:cs="宋体"/>
          <w:color w:val="000000"/>
          <w:sz w:val="32"/>
          <w:szCs w:val="32"/>
          <w:highlight w:val="none"/>
          <w:lang w:val="zh-CN"/>
        </w:rPr>
      </w:pPr>
    </w:p>
    <w:p>
      <w:pPr>
        <w:pStyle w:val="3"/>
        <w:rPr>
          <w:rFonts w:hint="eastAsia" w:ascii="宋体" w:hAnsi="宋体" w:eastAsia="宋体" w:cs="宋体"/>
          <w:color w:val="000000"/>
          <w:sz w:val="32"/>
          <w:szCs w:val="32"/>
          <w:highlight w:val="none"/>
          <w:lang w:val="zh-CN"/>
        </w:rPr>
      </w:pPr>
    </w:p>
    <w:p>
      <w:pPr>
        <w:pStyle w:val="3"/>
        <w:rPr>
          <w:rFonts w:hint="eastAsia" w:ascii="宋体" w:hAnsi="宋体" w:eastAsia="宋体" w:cs="宋体"/>
          <w:color w:val="000000"/>
          <w:sz w:val="32"/>
          <w:szCs w:val="32"/>
          <w:highlight w:val="none"/>
          <w:lang w:val="zh-CN"/>
        </w:rPr>
      </w:pPr>
    </w:p>
    <w:p>
      <w:pPr>
        <w:pStyle w:val="2"/>
        <w:rPr>
          <w:rFonts w:hint="eastAsia" w:ascii="宋体" w:hAnsi="宋体" w:eastAsia="宋体" w:cs="宋体"/>
          <w:b/>
          <w:bCs/>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（图6：一般公共预算财政拨款支出决算结构）（饼状图）</w:t>
      </w:r>
    </w:p>
    <w:p>
      <w:pPr>
        <w:spacing w:line="600" w:lineRule="exact"/>
        <w:ind w:firstLine="643" w:firstLineChars="200"/>
        <w:outlineLvl w:val="2"/>
        <w:rPr>
          <w:rFonts w:hint="eastAsia" w:ascii="宋体" w:hAnsi="宋体" w:eastAsia="宋体" w:cs="宋体"/>
          <w:b/>
          <w:color w:val="auto"/>
          <w:sz w:val="32"/>
          <w:szCs w:val="32"/>
          <w:highlight w:val="none"/>
        </w:rPr>
      </w:pPr>
      <w:bookmarkStart w:id="26" w:name="_Toc15377212"/>
      <w:r>
        <w:rPr>
          <w:rFonts w:hint="eastAsia" w:ascii="宋体" w:hAnsi="宋体" w:eastAsia="宋体" w:cs="宋体"/>
          <w:b/>
          <w:color w:val="auto"/>
          <w:sz w:val="32"/>
          <w:szCs w:val="32"/>
          <w:highlight w:val="none"/>
        </w:rPr>
        <w:t>（三）一般公共预算财政拨款支出决算具体情况</w:t>
      </w:r>
      <w:bookmarkEnd w:id="26"/>
    </w:p>
    <w:p>
      <w:pPr>
        <w:spacing w:line="600" w:lineRule="exact"/>
        <w:ind w:firstLine="640"/>
        <w:rPr>
          <w:rFonts w:hint="eastAsia" w:ascii="宋体" w:hAnsi="宋体" w:eastAsia="宋体" w:cs="宋体"/>
          <w:color w:val="auto"/>
          <w:kern w:val="2"/>
          <w:sz w:val="32"/>
          <w:szCs w:val="32"/>
          <w:highlight w:val="none"/>
          <w:lang w:val="en-US" w:eastAsia="zh-CN" w:bidi="ar-SA"/>
        </w:rPr>
      </w:pPr>
      <w:bookmarkStart w:id="27" w:name="_Toc15378460"/>
      <w:bookmarkStart w:id="28" w:name="_Toc15377213"/>
      <w:bookmarkStart w:id="29" w:name="_Toc15377444"/>
      <w:r>
        <w:rPr>
          <w:rFonts w:hint="eastAsia" w:ascii="宋体" w:hAnsi="宋体" w:eastAsia="宋体" w:cs="宋体"/>
          <w:color w:val="auto"/>
          <w:kern w:val="2"/>
          <w:sz w:val="32"/>
          <w:szCs w:val="32"/>
          <w:highlight w:val="none"/>
          <w:lang w:val="en-US" w:eastAsia="zh-CN" w:bidi="ar-SA"/>
        </w:rPr>
        <w:t>2024年度一般公共预算财政拨款支出决算数为</w:t>
      </w:r>
      <w:r>
        <w:rPr>
          <w:rFonts w:hint="eastAsia" w:ascii="宋体" w:hAnsi="宋体" w:eastAsia="宋体" w:cs="宋体"/>
          <w:sz w:val="32"/>
          <w:szCs w:val="32"/>
          <w:highlight w:val="none"/>
          <w:lang w:val="en-US" w:eastAsia="zh-CN"/>
        </w:rPr>
        <w:t>331.96</w:t>
      </w:r>
      <w:r>
        <w:rPr>
          <w:rFonts w:hint="eastAsia" w:ascii="宋体" w:hAnsi="宋体" w:eastAsia="宋体" w:cs="宋体"/>
          <w:color w:val="auto"/>
          <w:kern w:val="2"/>
          <w:sz w:val="32"/>
          <w:szCs w:val="32"/>
          <w:highlight w:val="none"/>
          <w:lang w:val="en-US" w:eastAsia="zh-CN" w:bidi="ar-SA"/>
        </w:rPr>
        <w:t>，完成预算100%。其中：</w:t>
      </w:r>
      <w:bookmarkEnd w:id="27"/>
      <w:bookmarkEnd w:id="28"/>
      <w:bookmarkEnd w:id="29"/>
    </w:p>
    <w:p>
      <w:pPr>
        <w:spacing w:line="600" w:lineRule="exact"/>
        <w:ind w:firstLine="643" w:firstLineChars="200"/>
        <w:rPr>
          <w:rStyle w:val="18"/>
          <w:rFonts w:hint="eastAsia" w:ascii="宋体" w:hAnsi="宋体" w:eastAsia="宋体" w:cs="宋体"/>
          <w:b w:val="0"/>
          <w:sz w:val="32"/>
          <w:szCs w:val="32"/>
          <w:highlight w:val="none"/>
        </w:rPr>
      </w:pPr>
      <w:bookmarkStart w:id="30" w:name="OLE_LINK3"/>
      <w:r>
        <w:rPr>
          <w:rStyle w:val="18"/>
          <w:rFonts w:hint="eastAsia" w:ascii="宋体" w:hAnsi="宋体" w:eastAsia="宋体" w:cs="宋体"/>
          <w:sz w:val="32"/>
          <w:szCs w:val="32"/>
          <w:highlight w:val="none"/>
          <w:lang w:val="en-US" w:eastAsia="zh-CN"/>
        </w:rPr>
        <w:t>1</w:t>
      </w:r>
      <w:r>
        <w:rPr>
          <w:rStyle w:val="18"/>
          <w:rFonts w:hint="eastAsia" w:ascii="宋体" w:hAnsi="宋体" w:eastAsia="宋体" w:cs="宋体"/>
          <w:sz w:val="32"/>
          <w:szCs w:val="32"/>
          <w:highlight w:val="none"/>
        </w:rPr>
        <w:t>.一般公共服务（类）财政事务（款）行政运行（项）:</w:t>
      </w:r>
      <w:r>
        <w:rPr>
          <w:rStyle w:val="18"/>
          <w:rFonts w:hint="eastAsia" w:ascii="宋体" w:hAnsi="宋体" w:eastAsia="宋体" w:cs="宋体"/>
          <w:b w:val="0"/>
          <w:sz w:val="32"/>
          <w:szCs w:val="32"/>
          <w:highlight w:val="none"/>
        </w:rPr>
        <w:t xml:space="preserve"> 支出决算为</w:t>
      </w:r>
      <w:r>
        <w:rPr>
          <w:rStyle w:val="18"/>
          <w:rFonts w:hint="eastAsia" w:ascii="宋体" w:hAnsi="宋体" w:eastAsia="宋体" w:cs="宋体"/>
          <w:b w:val="0"/>
          <w:sz w:val="32"/>
          <w:szCs w:val="32"/>
          <w:highlight w:val="none"/>
          <w:lang w:val="en-US" w:eastAsia="zh-CN"/>
        </w:rPr>
        <w:t>220.76</w:t>
      </w:r>
      <w:r>
        <w:rPr>
          <w:rStyle w:val="18"/>
          <w:rFonts w:hint="eastAsia" w:ascii="宋体" w:hAnsi="宋体" w:eastAsia="宋体" w:cs="宋体"/>
          <w:b w:val="0"/>
          <w:sz w:val="32"/>
          <w:szCs w:val="32"/>
          <w:highlight w:val="none"/>
        </w:rPr>
        <w:t>万元，完成预算100%。</w:t>
      </w:r>
    </w:p>
    <w:p>
      <w:pPr>
        <w:spacing w:line="600" w:lineRule="exact"/>
        <w:ind w:firstLine="643" w:firstLineChars="200"/>
        <w:rPr>
          <w:rFonts w:hint="eastAsia" w:ascii="宋体" w:hAnsi="宋体" w:eastAsia="宋体" w:cs="宋体"/>
          <w:b/>
          <w:sz w:val="32"/>
          <w:szCs w:val="32"/>
          <w:highlight w:val="none"/>
        </w:rPr>
      </w:pPr>
      <w:r>
        <w:rPr>
          <w:rStyle w:val="18"/>
          <w:rFonts w:hint="eastAsia" w:ascii="宋体" w:hAnsi="宋体" w:eastAsia="宋体" w:cs="宋体"/>
          <w:sz w:val="32"/>
          <w:szCs w:val="32"/>
          <w:highlight w:val="none"/>
          <w:lang w:val="en-US" w:eastAsia="zh-CN"/>
        </w:rPr>
        <w:t>2</w:t>
      </w:r>
      <w:r>
        <w:rPr>
          <w:rStyle w:val="18"/>
          <w:rFonts w:hint="eastAsia" w:ascii="宋体" w:hAnsi="宋体" w:eastAsia="宋体" w:cs="宋体"/>
          <w:sz w:val="32"/>
          <w:szCs w:val="32"/>
          <w:highlight w:val="none"/>
        </w:rPr>
        <w:t>.社会保障和就业（类）行政事业单位养老支出（款）行政单位离退休（项）:</w:t>
      </w:r>
      <w:r>
        <w:rPr>
          <w:rStyle w:val="18"/>
          <w:rFonts w:hint="eastAsia" w:ascii="宋体" w:hAnsi="宋体" w:eastAsia="宋体" w:cs="宋体"/>
          <w:b w:val="0"/>
          <w:sz w:val="32"/>
          <w:szCs w:val="32"/>
          <w:highlight w:val="none"/>
        </w:rPr>
        <w:t xml:space="preserve"> 支出决算为</w:t>
      </w:r>
      <w:r>
        <w:rPr>
          <w:rStyle w:val="18"/>
          <w:rFonts w:hint="eastAsia" w:ascii="宋体" w:hAnsi="宋体" w:eastAsia="宋体" w:cs="宋体"/>
          <w:b w:val="0"/>
          <w:sz w:val="32"/>
          <w:szCs w:val="32"/>
          <w:highlight w:val="none"/>
          <w:lang w:val="en-US" w:eastAsia="zh-CN"/>
        </w:rPr>
        <w:t>7.27</w:t>
      </w:r>
      <w:r>
        <w:rPr>
          <w:rStyle w:val="18"/>
          <w:rFonts w:hint="eastAsia" w:ascii="宋体" w:hAnsi="宋体" w:eastAsia="宋体" w:cs="宋体"/>
          <w:b w:val="0"/>
          <w:sz w:val="32"/>
          <w:szCs w:val="32"/>
          <w:highlight w:val="none"/>
        </w:rPr>
        <w:t>万元，完成预算100%。</w:t>
      </w:r>
    </w:p>
    <w:p>
      <w:pPr>
        <w:spacing w:line="600" w:lineRule="exact"/>
        <w:ind w:firstLine="643" w:firstLineChars="200"/>
        <w:rPr>
          <w:rStyle w:val="18"/>
          <w:rFonts w:hint="eastAsia" w:ascii="宋体" w:hAnsi="宋体" w:eastAsia="宋体" w:cs="宋体"/>
          <w:b w:val="0"/>
          <w:sz w:val="32"/>
          <w:szCs w:val="32"/>
          <w:highlight w:val="none"/>
        </w:rPr>
      </w:pPr>
      <w:r>
        <w:rPr>
          <w:rStyle w:val="18"/>
          <w:rFonts w:hint="eastAsia" w:ascii="宋体" w:hAnsi="宋体" w:eastAsia="宋体" w:cs="宋体"/>
          <w:sz w:val="32"/>
          <w:szCs w:val="32"/>
          <w:highlight w:val="none"/>
          <w:lang w:val="en-US" w:eastAsia="zh-CN"/>
        </w:rPr>
        <w:t>3</w:t>
      </w:r>
      <w:r>
        <w:rPr>
          <w:rStyle w:val="18"/>
          <w:rFonts w:hint="eastAsia" w:ascii="宋体" w:hAnsi="宋体" w:eastAsia="宋体" w:cs="宋体"/>
          <w:sz w:val="32"/>
          <w:szCs w:val="32"/>
          <w:highlight w:val="none"/>
        </w:rPr>
        <w:t>.社会保障和就业（类）行政事业单位养老支出（款）机关事业单位基本养老保险缴费支出（项）:</w:t>
      </w:r>
      <w:r>
        <w:rPr>
          <w:rStyle w:val="18"/>
          <w:rFonts w:hint="eastAsia" w:ascii="宋体" w:hAnsi="宋体" w:eastAsia="宋体" w:cs="宋体"/>
          <w:b w:val="0"/>
          <w:sz w:val="32"/>
          <w:szCs w:val="32"/>
          <w:highlight w:val="none"/>
        </w:rPr>
        <w:t xml:space="preserve"> 支出决算为</w:t>
      </w:r>
      <w:r>
        <w:rPr>
          <w:rStyle w:val="18"/>
          <w:rFonts w:hint="eastAsia" w:ascii="宋体" w:hAnsi="宋体" w:eastAsia="宋体" w:cs="宋体"/>
          <w:b w:val="0"/>
          <w:sz w:val="32"/>
          <w:szCs w:val="32"/>
          <w:highlight w:val="none"/>
          <w:lang w:val="en-US" w:eastAsia="zh-CN"/>
        </w:rPr>
        <w:t>27.16</w:t>
      </w:r>
      <w:r>
        <w:rPr>
          <w:rStyle w:val="18"/>
          <w:rFonts w:hint="eastAsia" w:ascii="宋体" w:hAnsi="宋体" w:eastAsia="宋体" w:cs="宋体"/>
          <w:b w:val="0"/>
          <w:sz w:val="32"/>
          <w:szCs w:val="32"/>
          <w:highlight w:val="none"/>
        </w:rPr>
        <w:t>万元，完成预算100%。</w:t>
      </w:r>
    </w:p>
    <w:p>
      <w:pPr>
        <w:spacing w:line="600" w:lineRule="exact"/>
        <w:ind w:firstLine="643" w:firstLineChars="200"/>
        <w:rPr>
          <w:rStyle w:val="18"/>
          <w:rFonts w:hint="eastAsia" w:ascii="宋体" w:hAnsi="宋体" w:eastAsia="宋体" w:cs="宋体"/>
          <w:b w:val="0"/>
          <w:sz w:val="32"/>
          <w:szCs w:val="32"/>
          <w:highlight w:val="none"/>
        </w:rPr>
      </w:pPr>
      <w:r>
        <w:rPr>
          <w:rStyle w:val="18"/>
          <w:rFonts w:hint="eastAsia" w:ascii="宋体" w:hAnsi="宋体" w:eastAsia="宋体" w:cs="宋体"/>
          <w:sz w:val="32"/>
          <w:szCs w:val="32"/>
          <w:highlight w:val="none"/>
          <w:lang w:val="en-US" w:eastAsia="zh-CN"/>
        </w:rPr>
        <w:t>4</w:t>
      </w:r>
      <w:r>
        <w:rPr>
          <w:rStyle w:val="18"/>
          <w:rFonts w:hint="eastAsia" w:ascii="宋体" w:hAnsi="宋体" w:eastAsia="宋体" w:cs="宋体"/>
          <w:sz w:val="32"/>
          <w:szCs w:val="32"/>
          <w:highlight w:val="none"/>
        </w:rPr>
        <w:t>.社会保障和就业（类）行政事业单位养老支出（款）机关事业单位职业年金缴费支出（项）:</w:t>
      </w:r>
      <w:r>
        <w:rPr>
          <w:rStyle w:val="18"/>
          <w:rFonts w:hint="eastAsia" w:ascii="宋体" w:hAnsi="宋体" w:eastAsia="宋体" w:cs="宋体"/>
          <w:b w:val="0"/>
          <w:sz w:val="32"/>
          <w:szCs w:val="32"/>
          <w:highlight w:val="none"/>
        </w:rPr>
        <w:t xml:space="preserve"> 支出决算为</w:t>
      </w:r>
      <w:r>
        <w:rPr>
          <w:rStyle w:val="18"/>
          <w:rFonts w:hint="eastAsia" w:ascii="宋体" w:hAnsi="宋体" w:eastAsia="宋体" w:cs="宋体"/>
          <w:b w:val="0"/>
          <w:sz w:val="32"/>
          <w:szCs w:val="32"/>
          <w:highlight w:val="none"/>
          <w:lang w:val="en-US" w:eastAsia="zh-CN"/>
        </w:rPr>
        <w:t>33.73</w:t>
      </w:r>
      <w:r>
        <w:rPr>
          <w:rStyle w:val="18"/>
          <w:rFonts w:hint="eastAsia" w:ascii="宋体" w:hAnsi="宋体" w:eastAsia="宋体" w:cs="宋体"/>
          <w:b w:val="0"/>
          <w:sz w:val="32"/>
          <w:szCs w:val="32"/>
          <w:highlight w:val="none"/>
        </w:rPr>
        <w:t xml:space="preserve">万元，完成预算100%。 </w:t>
      </w:r>
    </w:p>
    <w:p>
      <w:pPr>
        <w:spacing w:line="600" w:lineRule="exact"/>
        <w:ind w:firstLine="643" w:firstLineChars="200"/>
        <w:rPr>
          <w:rStyle w:val="18"/>
          <w:rFonts w:hint="eastAsia" w:ascii="宋体" w:hAnsi="宋体" w:eastAsia="宋体" w:cs="宋体"/>
          <w:b w:val="0"/>
          <w:sz w:val="32"/>
          <w:szCs w:val="32"/>
          <w:highlight w:val="none"/>
        </w:rPr>
      </w:pPr>
      <w:r>
        <w:rPr>
          <w:rStyle w:val="18"/>
          <w:rFonts w:hint="eastAsia" w:ascii="宋体" w:hAnsi="宋体" w:eastAsia="宋体" w:cs="宋体"/>
          <w:sz w:val="32"/>
          <w:szCs w:val="32"/>
          <w:highlight w:val="none"/>
          <w:lang w:val="en-US" w:eastAsia="zh-CN"/>
        </w:rPr>
        <w:t>5</w:t>
      </w:r>
      <w:r>
        <w:rPr>
          <w:rStyle w:val="18"/>
          <w:rFonts w:hint="eastAsia" w:ascii="宋体" w:hAnsi="宋体" w:eastAsia="宋体" w:cs="宋体"/>
          <w:sz w:val="32"/>
          <w:szCs w:val="32"/>
          <w:highlight w:val="none"/>
        </w:rPr>
        <w:t>.卫生健康（类）卫生健康支出（款）行政单位医疗（项）:</w:t>
      </w:r>
      <w:r>
        <w:rPr>
          <w:rStyle w:val="18"/>
          <w:rFonts w:hint="eastAsia" w:ascii="宋体" w:hAnsi="宋体" w:eastAsia="宋体" w:cs="宋体"/>
          <w:b w:val="0"/>
          <w:sz w:val="32"/>
          <w:szCs w:val="32"/>
          <w:highlight w:val="none"/>
        </w:rPr>
        <w:t xml:space="preserve"> 支出决算为</w:t>
      </w:r>
      <w:r>
        <w:rPr>
          <w:rStyle w:val="18"/>
          <w:rFonts w:hint="eastAsia" w:ascii="宋体" w:hAnsi="宋体" w:eastAsia="宋体" w:cs="宋体"/>
          <w:b w:val="0"/>
          <w:sz w:val="32"/>
          <w:szCs w:val="32"/>
          <w:highlight w:val="none"/>
          <w:lang w:val="en-US" w:eastAsia="zh-CN"/>
        </w:rPr>
        <w:t>13.83</w:t>
      </w:r>
      <w:r>
        <w:rPr>
          <w:rStyle w:val="18"/>
          <w:rFonts w:hint="eastAsia" w:ascii="宋体" w:hAnsi="宋体" w:eastAsia="宋体" w:cs="宋体"/>
          <w:b w:val="0"/>
          <w:sz w:val="32"/>
          <w:szCs w:val="32"/>
          <w:highlight w:val="none"/>
        </w:rPr>
        <w:t>万元，完成预算100%。</w:t>
      </w:r>
    </w:p>
    <w:p>
      <w:pPr>
        <w:spacing w:line="600" w:lineRule="exact"/>
        <w:ind w:firstLine="643" w:firstLineChars="200"/>
        <w:rPr>
          <w:rFonts w:hint="eastAsia" w:ascii="宋体" w:hAnsi="宋体" w:eastAsia="宋体" w:cs="宋体"/>
          <w:b/>
          <w:sz w:val="32"/>
          <w:szCs w:val="32"/>
          <w:highlight w:val="none"/>
        </w:rPr>
      </w:pPr>
      <w:r>
        <w:rPr>
          <w:rStyle w:val="18"/>
          <w:rFonts w:hint="eastAsia" w:ascii="宋体" w:hAnsi="宋体" w:eastAsia="宋体" w:cs="宋体"/>
          <w:sz w:val="32"/>
          <w:szCs w:val="32"/>
          <w:highlight w:val="none"/>
          <w:lang w:val="en-US" w:eastAsia="zh-CN"/>
        </w:rPr>
        <w:t>6</w:t>
      </w:r>
      <w:r>
        <w:rPr>
          <w:rStyle w:val="18"/>
          <w:rFonts w:hint="eastAsia" w:ascii="宋体" w:hAnsi="宋体" w:eastAsia="宋体" w:cs="宋体"/>
          <w:sz w:val="32"/>
          <w:szCs w:val="32"/>
          <w:highlight w:val="none"/>
        </w:rPr>
        <w:t>.卫生健康（类）卫生健康支出（款）公务员医疗补助（项）:</w:t>
      </w:r>
      <w:r>
        <w:rPr>
          <w:rStyle w:val="18"/>
          <w:rFonts w:hint="eastAsia" w:ascii="宋体" w:hAnsi="宋体" w:eastAsia="宋体" w:cs="宋体"/>
          <w:b w:val="0"/>
          <w:sz w:val="32"/>
          <w:szCs w:val="32"/>
          <w:highlight w:val="none"/>
        </w:rPr>
        <w:t xml:space="preserve"> 支出决算为</w:t>
      </w:r>
      <w:r>
        <w:rPr>
          <w:rStyle w:val="18"/>
          <w:rFonts w:hint="eastAsia" w:ascii="宋体" w:hAnsi="宋体" w:eastAsia="宋体" w:cs="宋体"/>
          <w:b w:val="0"/>
          <w:sz w:val="32"/>
          <w:szCs w:val="32"/>
          <w:highlight w:val="none"/>
          <w:lang w:val="en-US" w:eastAsia="zh-CN"/>
        </w:rPr>
        <w:t>7.62</w:t>
      </w:r>
      <w:r>
        <w:rPr>
          <w:rStyle w:val="18"/>
          <w:rFonts w:hint="eastAsia" w:ascii="宋体" w:hAnsi="宋体" w:eastAsia="宋体" w:cs="宋体"/>
          <w:b w:val="0"/>
          <w:sz w:val="32"/>
          <w:szCs w:val="32"/>
          <w:highlight w:val="none"/>
        </w:rPr>
        <w:t>万元，完成预算100%。</w:t>
      </w:r>
    </w:p>
    <w:p>
      <w:pPr>
        <w:keepNext/>
        <w:keepLines/>
        <w:spacing w:line="576" w:lineRule="exact"/>
        <w:ind w:firstLine="640"/>
        <w:rPr>
          <w:rStyle w:val="18"/>
          <w:rFonts w:hint="eastAsia" w:ascii="宋体" w:hAnsi="宋体" w:eastAsia="宋体" w:cs="宋体"/>
          <w:b w:val="0"/>
          <w:sz w:val="32"/>
          <w:szCs w:val="32"/>
          <w:highlight w:val="none"/>
        </w:rPr>
      </w:pPr>
      <w:r>
        <w:rPr>
          <w:rStyle w:val="18"/>
          <w:rFonts w:hint="eastAsia" w:ascii="宋体" w:hAnsi="宋体" w:eastAsia="宋体" w:cs="宋体"/>
          <w:sz w:val="32"/>
          <w:szCs w:val="32"/>
          <w:highlight w:val="none"/>
          <w:lang w:val="en-US" w:eastAsia="zh-CN"/>
        </w:rPr>
        <w:t>7</w:t>
      </w:r>
      <w:r>
        <w:rPr>
          <w:rStyle w:val="18"/>
          <w:rFonts w:hint="eastAsia" w:ascii="宋体" w:hAnsi="宋体" w:eastAsia="宋体" w:cs="宋体"/>
          <w:sz w:val="32"/>
          <w:szCs w:val="32"/>
          <w:highlight w:val="none"/>
        </w:rPr>
        <w:t>.住房保障支出（类）住房改革支出（款）住房公积金（项）:</w:t>
      </w:r>
      <w:r>
        <w:rPr>
          <w:rStyle w:val="18"/>
          <w:rFonts w:hint="eastAsia" w:ascii="宋体" w:hAnsi="宋体" w:eastAsia="宋体" w:cs="宋体"/>
          <w:b w:val="0"/>
          <w:sz w:val="32"/>
          <w:szCs w:val="32"/>
          <w:highlight w:val="none"/>
        </w:rPr>
        <w:t xml:space="preserve"> 支出决算为</w:t>
      </w:r>
      <w:r>
        <w:rPr>
          <w:rStyle w:val="18"/>
          <w:rFonts w:hint="eastAsia" w:ascii="宋体" w:hAnsi="宋体" w:eastAsia="宋体" w:cs="宋体"/>
          <w:b w:val="0"/>
          <w:sz w:val="32"/>
          <w:szCs w:val="32"/>
          <w:highlight w:val="none"/>
          <w:lang w:val="en-US" w:eastAsia="zh-CN"/>
        </w:rPr>
        <w:t>21.60</w:t>
      </w:r>
      <w:r>
        <w:rPr>
          <w:rStyle w:val="18"/>
          <w:rFonts w:hint="eastAsia" w:ascii="宋体" w:hAnsi="宋体" w:eastAsia="宋体" w:cs="宋体"/>
          <w:b w:val="0"/>
          <w:sz w:val="32"/>
          <w:szCs w:val="32"/>
          <w:highlight w:val="none"/>
        </w:rPr>
        <w:t>万元，完成预算100%。</w:t>
      </w:r>
    </w:p>
    <w:p>
      <w:pPr>
        <w:pStyle w:val="2"/>
        <w:rPr>
          <w:rStyle w:val="18"/>
          <w:rFonts w:hint="eastAsia" w:ascii="宋体" w:hAnsi="宋体" w:eastAsia="宋体" w:cs="宋体"/>
          <w:b w:val="0"/>
          <w:sz w:val="32"/>
          <w:szCs w:val="32"/>
          <w:highlight w:val="none"/>
        </w:rPr>
      </w:pPr>
    </w:p>
    <w:p>
      <w:pPr>
        <w:pStyle w:val="3"/>
        <w:rPr>
          <w:rFonts w:hint="eastAsia"/>
        </w:rPr>
      </w:pPr>
    </w:p>
    <w:bookmarkEnd w:id="30"/>
    <w:p>
      <w:pPr>
        <w:tabs>
          <w:tab w:val="right" w:pos="8306"/>
        </w:tabs>
        <w:spacing w:line="600" w:lineRule="exact"/>
        <w:ind w:firstLine="640"/>
        <w:outlineLvl w:val="1"/>
        <w:rPr>
          <w:rStyle w:val="30"/>
          <w:rFonts w:hint="eastAsia" w:ascii="宋体" w:hAnsi="宋体" w:eastAsia="宋体" w:cs="宋体"/>
          <w:b/>
          <w:bCs/>
          <w:i w:val="0"/>
          <w:iCs w:val="0"/>
          <w:color w:val="auto"/>
          <w:sz w:val="32"/>
          <w:szCs w:val="32"/>
          <w:highlight w:val="none"/>
        </w:rPr>
      </w:pPr>
      <w:bookmarkStart w:id="31" w:name="_Toc15396608"/>
      <w:bookmarkStart w:id="32" w:name="_Toc15377214"/>
      <w:r>
        <w:rPr>
          <w:rFonts w:hint="eastAsia" w:ascii="宋体" w:hAnsi="宋体" w:eastAsia="宋体" w:cs="宋体"/>
          <w:b/>
          <w:bCs/>
          <w:i w:val="0"/>
          <w:iCs w:val="0"/>
          <w:color w:val="auto"/>
          <w:sz w:val="32"/>
          <w:szCs w:val="32"/>
          <w:highlight w:val="none"/>
        </w:rPr>
        <w:t>六、一</w:t>
      </w:r>
      <w:r>
        <w:rPr>
          <w:rStyle w:val="30"/>
          <w:rFonts w:hint="eastAsia" w:ascii="宋体" w:hAnsi="宋体" w:eastAsia="宋体" w:cs="宋体"/>
          <w:b/>
          <w:bCs/>
          <w:i w:val="0"/>
          <w:iCs w:val="0"/>
          <w:color w:val="auto"/>
          <w:sz w:val="32"/>
          <w:szCs w:val="32"/>
          <w:highlight w:val="none"/>
        </w:rPr>
        <w:t>般公共预算财政拨款基本支出决算情况说明</w:t>
      </w:r>
      <w:bookmarkEnd w:id="31"/>
      <w:bookmarkEnd w:id="32"/>
      <w:r>
        <w:rPr>
          <w:rStyle w:val="30"/>
          <w:rFonts w:hint="eastAsia" w:ascii="宋体" w:hAnsi="宋体" w:eastAsia="宋体" w:cs="宋体"/>
          <w:b/>
          <w:bCs/>
          <w:i w:val="0"/>
          <w:iCs w:val="0"/>
          <w:color w:val="auto"/>
          <w:sz w:val="32"/>
          <w:szCs w:val="32"/>
          <w:highlight w:val="none"/>
        </w:rPr>
        <w:tab/>
      </w:r>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2024年度一般公共预算财政拨款基本支出</w:t>
      </w:r>
      <w:r>
        <w:rPr>
          <w:rFonts w:hint="eastAsia" w:ascii="宋体" w:hAnsi="宋体" w:eastAsia="宋体" w:cs="宋体"/>
          <w:sz w:val="32"/>
          <w:szCs w:val="32"/>
          <w:highlight w:val="none"/>
          <w:lang w:val="en-US" w:eastAsia="zh-CN"/>
        </w:rPr>
        <w:t>331.96</w:t>
      </w:r>
      <w:r>
        <w:rPr>
          <w:rFonts w:hint="eastAsia" w:ascii="宋体" w:hAnsi="宋体" w:eastAsia="宋体" w:cs="宋体"/>
          <w:color w:val="auto"/>
          <w:kern w:val="2"/>
          <w:sz w:val="32"/>
          <w:szCs w:val="32"/>
          <w:highlight w:val="none"/>
          <w:lang w:val="en-US" w:eastAsia="zh-CN" w:bidi="ar-SA"/>
        </w:rPr>
        <w:t>万元，其中：</w:t>
      </w:r>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人员经费</w:t>
      </w:r>
      <w:r>
        <w:rPr>
          <w:rFonts w:hint="eastAsia" w:ascii="宋体" w:hAnsi="宋体" w:eastAsia="宋体" w:cs="宋体"/>
          <w:sz w:val="32"/>
          <w:szCs w:val="32"/>
          <w:highlight w:val="none"/>
          <w:lang w:val="en-US" w:eastAsia="zh-CN"/>
        </w:rPr>
        <w:t>306</w:t>
      </w:r>
      <w:r>
        <w:rPr>
          <w:rFonts w:hint="eastAsia" w:ascii="宋体" w:hAnsi="宋体" w:eastAsia="宋体" w:cs="宋体"/>
          <w:color w:val="auto"/>
          <w:kern w:val="2"/>
          <w:sz w:val="32"/>
          <w:szCs w:val="32"/>
          <w:highlight w:val="none"/>
          <w:lang w:val="en-US" w:eastAsia="zh-CN" w:bidi="ar-SA"/>
        </w:rPr>
        <w:t>万元，主要包括：基本工资62.23万元、津贴补贴59.82万元、奖金66.51万元、伙食补助费0万元、绩效工资0万元、机关事业单位基本养老保险缴费27.16万元、职业年金缴费33.73万元、</w:t>
      </w:r>
      <w:r>
        <w:rPr>
          <w:rFonts w:hint="eastAsia" w:ascii="宋体" w:hAnsi="宋体" w:eastAsia="宋体" w:cs="宋体"/>
          <w:sz w:val="32"/>
          <w:szCs w:val="32"/>
          <w:highlight w:val="none"/>
        </w:rPr>
        <w:t>、</w:t>
      </w:r>
      <w:r>
        <w:rPr>
          <w:rFonts w:hint="eastAsia" w:ascii="宋体" w:hAnsi="宋体" w:eastAsia="宋体" w:cs="宋体"/>
          <w:color w:val="000000"/>
          <w:sz w:val="32"/>
          <w:szCs w:val="32"/>
          <w:highlight w:val="none"/>
        </w:rPr>
        <w:t>职工基本医疗保险缴费</w:t>
      </w:r>
      <w:r>
        <w:rPr>
          <w:rFonts w:hint="eastAsia" w:ascii="宋体" w:hAnsi="宋体" w:eastAsia="宋体" w:cs="宋体"/>
          <w:color w:val="000000"/>
          <w:sz w:val="32"/>
          <w:szCs w:val="32"/>
          <w:highlight w:val="none"/>
          <w:lang w:val="en-US" w:eastAsia="zh-CN"/>
        </w:rPr>
        <w:t>13.83</w:t>
      </w:r>
      <w:r>
        <w:rPr>
          <w:rFonts w:hint="eastAsia" w:ascii="宋体" w:hAnsi="宋体" w:eastAsia="宋体" w:cs="宋体"/>
          <w:color w:val="000000"/>
          <w:sz w:val="32"/>
          <w:szCs w:val="32"/>
          <w:highlight w:val="none"/>
        </w:rPr>
        <w:t>万元、公务员医疗补助缴费</w:t>
      </w:r>
      <w:r>
        <w:rPr>
          <w:rFonts w:hint="eastAsia" w:ascii="宋体" w:hAnsi="宋体" w:eastAsia="宋体" w:cs="宋体"/>
          <w:color w:val="000000"/>
          <w:sz w:val="32"/>
          <w:szCs w:val="32"/>
          <w:highlight w:val="none"/>
          <w:lang w:val="en-US" w:eastAsia="zh-CN"/>
        </w:rPr>
        <w:t>7.62</w:t>
      </w:r>
      <w:r>
        <w:rPr>
          <w:rFonts w:hint="eastAsia" w:ascii="宋体" w:hAnsi="宋体" w:eastAsia="宋体" w:cs="宋体"/>
          <w:color w:val="000000"/>
          <w:sz w:val="32"/>
          <w:szCs w:val="32"/>
          <w:highlight w:val="none"/>
        </w:rPr>
        <w:t>万元、</w:t>
      </w:r>
      <w:r>
        <w:rPr>
          <w:rFonts w:hint="eastAsia" w:ascii="宋体" w:hAnsi="宋体" w:eastAsia="宋体" w:cs="宋体"/>
          <w:sz w:val="32"/>
          <w:szCs w:val="32"/>
          <w:highlight w:val="none"/>
        </w:rPr>
        <w:t>其他社会保障缴费</w:t>
      </w:r>
      <w:r>
        <w:rPr>
          <w:rFonts w:hint="eastAsia" w:ascii="宋体" w:hAnsi="宋体" w:eastAsia="宋体" w:cs="宋体"/>
          <w:sz w:val="32"/>
          <w:szCs w:val="32"/>
          <w:highlight w:val="none"/>
          <w:lang w:val="en-US" w:eastAsia="zh-CN"/>
        </w:rPr>
        <w:t>0.26</w:t>
      </w:r>
      <w:r>
        <w:rPr>
          <w:rFonts w:hint="eastAsia" w:ascii="宋体" w:hAnsi="宋体" w:eastAsia="宋体" w:cs="宋体"/>
          <w:sz w:val="32"/>
          <w:szCs w:val="32"/>
          <w:highlight w:val="none"/>
        </w:rPr>
        <w:t>万元、</w:t>
      </w:r>
      <w:r>
        <w:rPr>
          <w:rFonts w:hint="eastAsia" w:ascii="宋体" w:hAnsi="宋体" w:eastAsia="宋体" w:cs="宋体"/>
          <w:color w:val="000000"/>
          <w:sz w:val="32"/>
          <w:szCs w:val="32"/>
          <w:highlight w:val="none"/>
        </w:rPr>
        <w:t>住房公积金</w:t>
      </w:r>
      <w:r>
        <w:rPr>
          <w:rFonts w:hint="eastAsia" w:ascii="宋体" w:hAnsi="宋体" w:eastAsia="宋体" w:cs="宋体"/>
          <w:color w:val="000000"/>
          <w:sz w:val="32"/>
          <w:szCs w:val="32"/>
          <w:highlight w:val="none"/>
          <w:lang w:val="en-US" w:eastAsia="zh-CN"/>
        </w:rPr>
        <w:t>21.60</w:t>
      </w:r>
      <w:r>
        <w:rPr>
          <w:rFonts w:hint="eastAsia" w:ascii="宋体" w:hAnsi="宋体" w:eastAsia="宋体" w:cs="宋体"/>
          <w:color w:val="000000"/>
          <w:sz w:val="32"/>
          <w:szCs w:val="32"/>
          <w:highlight w:val="none"/>
        </w:rPr>
        <w:t>万元、</w:t>
      </w:r>
      <w:r>
        <w:rPr>
          <w:rFonts w:hint="eastAsia" w:ascii="宋体" w:hAnsi="宋体" w:eastAsia="宋体" w:cs="宋体"/>
          <w:sz w:val="32"/>
          <w:szCs w:val="32"/>
          <w:highlight w:val="none"/>
        </w:rPr>
        <w:t>其他工资福利支出</w:t>
      </w:r>
      <w:r>
        <w:rPr>
          <w:rFonts w:hint="eastAsia" w:ascii="宋体" w:hAnsi="宋体" w:eastAsia="宋体" w:cs="宋体"/>
          <w:sz w:val="32"/>
          <w:szCs w:val="32"/>
          <w:highlight w:val="none"/>
          <w:lang w:val="en-US" w:eastAsia="zh-CN"/>
        </w:rPr>
        <w:t>6.30</w:t>
      </w:r>
      <w:r>
        <w:rPr>
          <w:rFonts w:hint="eastAsia" w:ascii="宋体" w:hAnsi="宋体" w:eastAsia="宋体" w:cs="宋体"/>
          <w:sz w:val="32"/>
          <w:szCs w:val="32"/>
          <w:highlight w:val="none"/>
        </w:rPr>
        <w:t>万元、离休费0万元、退休费0万元、</w:t>
      </w:r>
      <w:r>
        <w:rPr>
          <w:rFonts w:hint="eastAsia" w:ascii="宋体" w:hAnsi="宋体" w:eastAsia="宋体" w:cs="宋体"/>
          <w:color w:val="000000"/>
          <w:sz w:val="32"/>
          <w:szCs w:val="32"/>
          <w:highlight w:val="none"/>
        </w:rPr>
        <w:t>退职（役）费0万元、</w:t>
      </w:r>
      <w:r>
        <w:rPr>
          <w:rFonts w:hint="eastAsia" w:ascii="宋体" w:hAnsi="宋体" w:eastAsia="宋体" w:cs="宋体"/>
          <w:sz w:val="32"/>
          <w:szCs w:val="32"/>
          <w:highlight w:val="none"/>
        </w:rPr>
        <w:t>抚恤金</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万元、生活补助</w:t>
      </w:r>
      <w:r>
        <w:rPr>
          <w:rFonts w:hint="eastAsia" w:ascii="宋体" w:hAnsi="宋体" w:eastAsia="宋体" w:cs="宋体"/>
          <w:sz w:val="32"/>
          <w:szCs w:val="32"/>
          <w:highlight w:val="none"/>
          <w:lang w:val="en-US" w:eastAsia="zh-CN"/>
        </w:rPr>
        <w:t>5.82</w:t>
      </w:r>
      <w:r>
        <w:rPr>
          <w:rFonts w:hint="eastAsia" w:ascii="宋体" w:hAnsi="宋体" w:eastAsia="宋体" w:cs="宋体"/>
          <w:sz w:val="32"/>
          <w:szCs w:val="32"/>
          <w:highlight w:val="none"/>
        </w:rPr>
        <w:t>万元、</w:t>
      </w:r>
      <w:r>
        <w:rPr>
          <w:rFonts w:hint="eastAsia" w:ascii="宋体" w:hAnsi="宋体" w:eastAsia="宋体" w:cs="宋体"/>
          <w:color w:val="000000"/>
          <w:sz w:val="32"/>
          <w:szCs w:val="32"/>
          <w:highlight w:val="none"/>
        </w:rPr>
        <w:t>救济费0万元、医疗费补助</w:t>
      </w:r>
      <w:r>
        <w:rPr>
          <w:rFonts w:hint="eastAsia" w:ascii="宋体" w:hAnsi="宋体" w:eastAsia="宋体" w:cs="宋体"/>
          <w:color w:val="000000"/>
          <w:sz w:val="32"/>
          <w:szCs w:val="32"/>
          <w:highlight w:val="none"/>
          <w:lang w:val="en-US" w:eastAsia="zh-CN"/>
        </w:rPr>
        <w:t>1.12</w:t>
      </w:r>
      <w:r>
        <w:rPr>
          <w:rFonts w:hint="eastAsia" w:ascii="宋体" w:hAnsi="宋体" w:eastAsia="宋体" w:cs="宋体"/>
          <w:color w:val="000000"/>
          <w:sz w:val="32"/>
          <w:szCs w:val="32"/>
          <w:highlight w:val="none"/>
        </w:rPr>
        <w:t>万元、助学金0万元、奖励金0万元、个人农业生产补贴0万元、代缴社会保险0万元、其他对个人和家庭的补助支出0万元</w:t>
      </w:r>
      <w:r>
        <w:rPr>
          <w:rFonts w:hint="eastAsia" w:ascii="宋体" w:hAnsi="宋体" w:eastAsia="宋体" w:cs="宋体"/>
          <w:sz w:val="32"/>
          <w:szCs w:val="32"/>
          <w:highlight w:val="none"/>
        </w:rPr>
        <w:t>等</w:t>
      </w:r>
      <w:r>
        <w:rPr>
          <w:rFonts w:hint="eastAsia" w:ascii="宋体" w:hAnsi="宋体" w:eastAsia="宋体" w:cs="宋体"/>
          <w:color w:val="000000"/>
          <w:sz w:val="32"/>
          <w:szCs w:val="32"/>
          <w:highlight w:val="none"/>
          <w:lang w:val="zh-CN"/>
        </w:rPr>
        <w:t>。</w:t>
      </w:r>
      <w:r>
        <w:rPr>
          <w:rFonts w:hint="eastAsia" w:ascii="宋体" w:hAnsi="宋体" w:eastAsia="宋体" w:cs="宋体"/>
          <w:color w:val="auto"/>
          <w:kern w:val="2"/>
          <w:sz w:val="32"/>
          <w:szCs w:val="32"/>
          <w:highlight w:val="none"/>
          <w:lang w:val="en-US" w:eastAsia="zh-CN" w:bidi="ar-SA"/>
        </w:rPr>
        <w:t>　</w:t>
      </w:r>
    </w:p>
    <w:p>
      <w:pPr>
        <w:spacing w:line="600" w:lineRule="exact"/>
        <w:ind w:firstLine="645"/>
        <w:rPr>
          <w:rFonts w:hint="eastAsia" w:ascii="宋体" w:hAnsi="宋体" w:eastAsia="宋体" w:cs="宋体"/>
          <w:color w:val="000000"/>
          <w:sz w:val="32"/>
          <w:szCs w:val="32"/>
          <w:highlight w:val="none"/>
        </w:rPr>
      </w:pPr>
      <w:r>
        <w:rPr>
          <w:rFonts w:hint="eastAsia" w:ascii="宋体" w:hAnsi="宋体" w:eastAsia="宋体" w:cs="宋体"/>
          <w:color w:val="auto"/>
          <w:kern w:val="2"/>
          <w:sz w:val="32"/>
          <w:szCs w:val="32"/>
          <w:highlight w:val="none"/>
          <w:lang w:val="en-US" w:eastAsia="zh-CN" w:bidi="ar-SA"/>
        </w:rPr>
        <w:t>公用经费</w:t>
      </w:r>
      <w:r>
        <w:rPr>
          <w:rFonts w:hint="eastAsia" w:ascii="宋体" w:hAnsi="宋体" w:eastAsia="宋体" w:cs="宋体"/>
          <w:sz w:val="32"/>
          <w:szCs w:val="32"/>
          <w:highlight w:val="none"/>
          <w:lang w:val="en-US" w:eastAsia="zh-CN"/>
        </w:rPr>
        <w:t>25.96</w:t>
      </w:r>
      <w:r>
        <w:rPr>
          <w:rFonts w:hint="eastAsia" w:ascii="宋体" w:hAnsi="宋体" w:eastAsia="宋体" w:cs="宋体"/>
          <w:color w:val="auto"/>
          <w:kern w:val="2"/>
          <w:sz w:val="32"/>
          <w:szCs w:val="32"/>
          <w:highlight w:val="none"/>
          <w:lang w:val="en-US" w:eastAsia="zh-CN" w:bidi="ar-SA"/>
        </w:rPr>
        <w:t>万元，主要包括：</w:t>
      </w:r>
      <w:r>
        <w:rPr>
          <w:rFonts w:hint="eastAsia" w:ascii="宋体" w:hAnsi="宋体" w:eastAsia="宋体" w:cs="宋体"/>
          <w:sz w:val="32"/>
          <w:szCs w:val="32"/>
          <w:highlight w:val="none"/>
        </w:rPr>
        <w:t>办公费</w:t>
      </w:r>
      <w:r>
        <w:rPr>
          <w:rFonts w:hint="eastAsia" w:ascii="宋体" w:hAnsi="宋体" w:eastAsia="宋体" w:cs="宋体"/>
          <w:sz w:val="32"/>
          <w:szCs w:val="32"/>
          <w:highlight w:val="none"/>
          <w:lang w:val="en-US" w:eastAsia="zh-CN"/>
        </w:rPr>
        <w:t>1.94</w:t>
      </w:r>
      <w:r>
        <w:rPr>
          <w:rFonts w:hint="eastAsia" w:ascii="宋体" w:hAnsi="宋体" w:eastAsia="宋体" w:cs="宋体"/>
          <w:sz w:val="32"/>
          <w:szCs w:val="32"/>
          <w:highlight w:val="none"/>
        </w:rPr>
        <w:t>万元、印刷费0万元、咨询费0万元、手续费0万元、水费0万元、电费</w:t>
      </w:r>
      <w:r>
        <w:rPr>
          <w:rFonts w:hint="eastAsia" w:ascii="宋体" w:hAnsi="宋体" w:eastAsia="宋体" w:cs="宋体"/>
          <w:sz w:val="32"/>
          <w:szCs w:val="32"/>
          <w:highlight w:val="none"/>
          <w:lang w:val="en-US" w:eastAsia="zh-CN"/>
        </w:rPr>
        <w:t>1.02</w:t>
      </w:r>
      <w:r>
        <w:rPr>
          <w:rFonts w:hint="eastAsia" w:ascii="宋体" w:hAnsi="宋体" w:eastAsia="宋体" w:cs="宋体"/>
          <w:sz w:val="32"/>
          <w:szCs w:val="32"/>
          <w:highlight w:val="none"/>
        </w:rPr>
        <w:t>万元、邮电费</w:t>
      </w:r>
      <w:r>
        <w:rPr>
          <w:rFonts w:hint="eastAsia" w:ascii="宋体" w:hAnsi="宋体" w:eastAsia="宋体" w:cs="宋体"/>
          <w:sz w:val="32"/>
          <w:szCs w:val="32"/>
          <w:highlight w:val="none"/>
          <w:lang w:val="en-US" w:eastAsia="zh-CN"/>
        </w:rPr>
        <w:t>0.36</w:t>
      </w:r>
      <w:r>
        <w:rPr>
          <w:rFonts w:hint="eastAsia" w:ascii="宋体" w:hAnsi="宋体" w:eastAsia="宋体" w:cs="宋体"/>
          <w:sz w:val="32"/>
          <w:szCs w:val="32"/>
          <w:highlight w:val="none"/>
        </w:rPr>
        <w:t>万元、取暖费0万元、物业管理费0万元、差旅费</w:t>
      </w:r>
      <w:r>
        <w:rPr>
          <w:rFonts w:hint="eastAsia" w:ascii="宋体" w:hAnsi="宋体" w:eastAsia="宋体" w:cs="宋体"/>
          <w:sz w:val="32"/>
          <w:szCs w:val="32"/>
          <w:highlight w:val="none"/>
          <w:lang w:val="en-US" w:eastAsia="zh-CN"/>
        </w:rPr>
        <w:t>1.70</w:t>
      </w:r>
      <w:r>
        <w:rPr>
          <w:rFonts w:hint="eastAsia" w:ascii="宋体" w:hAnsi="宋体" w:eastAsia="宋体" w:cs="宋体"/>
          <w:sz w:val="32"/>
          <w:szCs w:val="32"/>
          <w:highlight w:val="none"/>
        </w:rPr>
        <w:t>万元、因公出国（境）费用0万元、维修（护）费0万元、租赁费</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万元、会议费0万元、培训费0</w:t>
      </w:r>
      <w:r>
        <w:rPr>
          <w:rFonts w:hint="eastAsia" w:ascii="宋体" w:hAnsi="宋体" w:eastAsia="宋体" w:cs="宋体"/>
          <w:sz w:val="32"/>
          <w:szCs w:val="32"/>
          <w:highlight w:val="none"/>
          <w:lang w:val="en-US" w:eastAsia="zh-CN"/>
        </w:rPr>
        <w:t>.48</w:t>
      </w:r>
      <w:r>
        <w:rPr>
          <w:rFonts w:hint="eastAsia" w:ascii="宋体" w:hAnsi="宋体" w:eastAsia="宋体" w:cs="宋体"/>
          <w:sz w:val="32"/>
          <w:szCs w:val="32"/>
          <w:highlight w:val="none"/>
        </w:rPr>
        <w:t>万元、公务接待费</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万元、专用材料费0万元， 被装购置费0万元、专用燃料费0万元，劳务费</w:t>
      </w:r>
      <w:r>
        <w:rPr>
          <w:rFonts w:hint="eastAsia" w:ascii="宋体" w:hAnsi="宋体" w:eastAsia="宋体" w:cs="宋体"/>
          <w:sz w:val="32"/>
          <w:szCs w:val="32"/>
          <w:highlight w:val="none"/>
          <w:lang w:val="en-US" w:eastAsia="zh-CN"/>
        </w:rPr>
        <w:t>0.48</w:t>
      </w:r>
      <w:r>
        <w:rPr>
          <w:rFonts w:hint="eastAsia" w:ascii="宋体" w:hAnsi="宋体" w:eastAsia="宋体" w:cs="宋体"/>
          <w:sz w:val="32"/>
          <w:szCs w:val="32"/>
          <w:highlight w:val="none"/>
        </w:rPr>
        <w:t>万元、委托业务费0万元、工会经费</w:t>
      </w:r>
      <w:r>
        <w:rPr>
          <w:rFonts w:hint="eastAsia" w:ascii="宋体" w:hAnsi="宋体" w:eastAsia="宋体" w:cs="宋体"/>
          <w:sz w:val="32"/>
          <w:szCs w:val="32"/>
          <w:highlight w:val="none"/>
          <w:lang w:val="en-US" w:eastAsia="zh-CN"/>
        </w:rPr>
        <w:t>4.23</w:t>
      </w:r>
      <w:r>
        <w:rPr>
          <w:rFonts w:hint="eastAsia" w:ascii="宋体" w:hAnsi="宋体" w:eastAsia="宋体" w:cs="宋体"/>
          <w:sz w:val="32"/>
          <w:szCs w:val="32"/>
          <w:highlight w:val="none"/>
        </w:rPr>
        <w:t>万元、福利费0</w:t>
      </w:r>
      <w:r>
        <w:rPr>
          <w:rFonts w:hint="eastAsia" w:ascii="宋体" w:hAnsi="宋体" w:eastAsia="宋体" w:cs="宋体"/>
          <w:sz w:val="32"/>
          <w:szCs w:val="32"/>
          <w:highlight w:val="none"/>
          <w:lang w:val="en-US" w:eastAsia="zh-CN"/>
        </w:rPr>
        <w:t>.05</w:t>
      </w:r>
      <w:r>
        <w:rPr>
          <w:rFonts w:hint="eastAsia" w:ascii="宋体" w:hAnsi="宋体" w:eastAsia="宋体" w:cs="宋体"/>
          <w:sz w:val="32"/>
          <w:szCs w:val="32"/>
          <w:highlight w:val="none"/>
        </w:rPr>
        <w:t>万元、公务用车运行维护费0万元、其他交通费</w:t>
      </w:r>
      <w:r>
        <w:rPr>
          <w:rFonts w:hint="eastAsia" w:ascii="宋体" w:hAnsi="宋体" w:eastAsia="宋体" w:cs="宋体"/>
          <w:sz w:val="32"/>
          <w:szCs w:val="32"/>
          <w:highlight w:val="none"/>
          <w:lang w:val="en-US" w:eastAsia="zh-CN"/>
        </w:rPr>
        <w:t>12.37</w:t>
      </w:r>
      <w:r>
        <w:rPr>
          <w:rFonts w:hint="eastAsia" w:ascii="宋体" w:hAnsi="宋体" w:eastAsia="宋体" w:cs="宋体"/>
          <w:sz w:val="32"/>
          <w:szCs w:val="32"/>
          <w:highlight w:val="none"/>
        </w:rPr>
        <w:t>万元、税金及附加费用0万元、其他商品和服务支出</w:t>
      </w:r>
      <w:r>
        <w:rPr>
          <w:rFonts w:hint="eastAsia" w:ascii="宋体" w:hAnsi="宋体" w:eastAsia="宋体" w:cs="宋体"/>
          <w:sz w:val="32"/>
          <w:szCs w:val="32"/>
          <w:highlight w:val="none"/>
          <w:lang w:val="en-US" w:eastAsia="zh-CN"/>
        </w:rPr>
        <w:t>3.33</w:t>
      </w:r>
      <w:r>
        <w:rPr>
          <w:rFonts w:hint="eastAsia" w:ascii="宋体" w:hAnsi="宋体" w:eastAsia="宋体" w:cs="宋体"/>
          <w:sz w:val="32"/>
          <w:szCs w:val="32"/>
          <w:highlight w:val="none"/>
        </w:rPr>
        <w:t>万元、</w:t>
      </w:r>
      <w:r>
        <w:rPr>
          <w:rFonts w:hint="eastAsia" w:ascii="宋体" w:hAnsi="宋体" w:eastAsia="宋体" w:cs="宋体"/>
          <w:color w:val="000000"/>
          <w:sz w:val="32"/>
          <w:szCs w:val="32"/>
          <w:highlight w:val="none"/>
        </w:rPr>
        <w:t>国内债务付息0万元、国外债务付息0万元、国内债务发行费用0万元、国外债务发行费用0万元、房屋建筑物构建0万元、办公设备购置</w:t>
      </w:r>
      <w:r>
        <w:rPr>
          <w:rFonts w:hint="eastAsia" w:ascii="宋体" w:hAnsi="宋体" w:eastAsia="宋体" w:cs="宋体"/>
          <w:color w:val="000000"/>
          <w:sz w:val="32"/>
          <w:szCs w:val="32"/>
          <w:highlight w:val="none"/>
          <w:lang w:val="en-US" w:eastAsia="zh-CN"/>
        </w:rPr>
        <w:t>0</w:t>
      </w:r>
      <w:r>
        <w:rPr>
          <w:rFonts w:hint="eastAsia" w:ascii="宋体" w:hAnsi="宋体" w:eastAsia="宋体" w:cs="宋体"/>
          <w:color w:val="000000"/>
          <w:sz w:val="32"/>
          <w:szCs w:val="32"/>
          <w:highlight w:val="none"/>
        </w:rPr>
        <w:t>万元、专用设备购置0万元、基础设施建设0万元、大型修缮0万元、信息网络及软件购置更新0万元、物资储备0万元、土地补偿0万元、安置补助0万元、地上附着物和青苗补偿0万元、拆迁补偿0万元、公务用车购置0万元、其他交通工具购置0万元、文物和陈列品购置0万元、无形资产购置0万元、其他资本性支出0万元、资本金注入0万元、政府投资基金股权投资0万元、费用补贴0万元、利息补贴0万元、其他对企业补助0万元、赠与0万元、国家赔偿费用支出0万元、对民间非营利组织和群众性自治组织补贴0万元、其他支出0万元。</w:t>
      </w:r>
    </w:p>
    <w:p>
      <w:pPr>
        <w:spacing w:line="600" w:lineRule="exact"/>
        <w:ind w:firstLine="640"/>
        <w:outlineLvl w:val="1"/>
        <w:rPr>
          <w:rStyle w:val="30"/>
          <w:rFonts w:hint="eastAsia" w:ascii="宋体" w:hAnsi="宋体" w:eastAsia="宋体" w:cs="宋体"/>
          <w:b/>
          <w:bCs/>
          <w:color w:val="auto"/>
          <w:sz w:val="32"/>
          <w:szCs w:val="32"/>
          <w:highlight w:val="none"/>
        </w:rPr>
      </w:pPr>
      <w:bookmarkStart w:id="33" w:name="_Toc15396609"/>
      <w:bookmarkStart w:id="34" w:name="_Toc15377215"/>
      <w:r>
        <w:rPr>
          <w:rFonts w:hint="eastAsia" w:ascii="宋体" w:hAnsi="宋体" w:eastAsia="宋体" w:cs="宋体"/>
          <w:b/>
          <w:bCs/>
          <w:color w:val="auto"/>
          <w:sz w:val="32"/>
          <w:szCs w:val="32"/>
          <w:highlight w:val="none"/>
        </w:rPr>
        <w:t>七、</w:t>
      </w:r>
      <w:r>
        <w:rPr>
          <w:rStyle w:val="30"/>
          <w:rFonts w:hint="eastAsia" w:ascii="宋体" w:hAnsi="宋体" w:eastAsia="宋体" w:cs="宋体"/>
          <w:b/>
          <w:bCs/>
          <w:color w:val="auto"/>
          <w:sz w:val="32"/>
          <w:szCs w:val="32"/>
          <w:highlight w:val="none"/>
        </w:rPr>
        <w:t>财政拨款“三公”经费支出决算情况说明</w:t>
      </w:r>
      <w:bookmarkEnd w:id="33"/>
      <w:bookmarkEnd w:id="34"/>
    </w:p>
    <w:p>
      <w:pPr>
        <w:spacing w:line="600" w:lineRule="exact"/>
        <w:ind w:firstLine="643" w:firstLineChars="200"/>
        <w:outlineLvl w:val="2"/>
        <w:rPr>
          <w:rFonts w:hint="eastAsia" w:ascii="宋体" w:hAnsi="宋体" w:eastAsia="宋体" w:cs="宋体"/>
          <w:b/>
          <w:color w:val="auto"/>
          <w:sz w:val="32"/>
          <w:szCs w:val="32"/>
          <w:highlight w:val="none"/>
        </w:rPr>
      </w:pPr>
      <w:bookmarkStart w:id="35" w:name="_Toc15377216"/>
      <w:r>
        <w:rPr>
          <w:rFonts w:hint="eastAsia" w:ascii="宋体" w:hAnsi="宋体" w:eastAsia="宋体" w:cs="宋体"/>
          <w:b/>
          <w:color w:val="auto"/>
          <w:sz w:val="32"/>
          <w:szCs w:val="32"/>
          <w:highlight w:val="none"/>
        </w:rPr>
        <w:t>（一）“三公”经费财政拨款支出决算总体情况说明</w:t>
      </w:r>
      <w:bookmarkEnd w:id="35"/>
    </w:p>
    <w:p>
      <w:pPr>
        <w:spacing w:line="600" w:lineRule="exact"/>
        <w:ind w:firstLine="64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2024年度“三公”经费财政拨款支出决算为</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万元，完成预算</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%，较上年度减少0.70万元，下降100%。决算数小于预算数的主要原因是厉行节约，控制三公经费支出。</w:t>
      </w:r>
    </w:p>
    <w:p>
      <w:pPr>
        <w:spacing w:line="600" w:lineRule="exact"/>
        <w:ind w:firstLine="643" w:firstLineChars="200"/>
        <w:outlineLvl w:val="2"/>
        <w:rPr>
          <w:rFonts w:hint="eastAsia" w:ascii="宋体" w:hAnsi="宋体" w:eastAsia="宋体" w:cs="宋体"/>
          <w:b/>
          <w:color w:val="auto"/>
          <w:sz w:val="32"/>
          <w:szCs w:val="32"/>
          <w:highlight w:val="none"/>
        </w:rPr>
      </w:pPr>
      <w:bookmarkStart w:id="36" w:name="_Toc15377217"/>
      <w:r>
        <w:rPr>
          <w:rFonts w:hint="eastAsia" w:ascii="宋体" w:hAnsi="宋体" w:eastAsia="宋体" w:cs="宋体"/>
          <w:b/>
          <w:color w:val="auto"/>
          <w:sz w:val="32"/>
          <w:szCs w:val="32"/>
          <w:highlight w:val="none"/>
        </w:rPr>
        <w:t>（二）“三公”经费财政拨款支出决算具体情况说明</w:t>
      </w:r>
      <w:bookmarkEnd w:id="36"/>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2024年度“三公”经费财政拨款支出决算中，因公出国（境）费支出决算</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万元，占0%；公务用车购置及运行维护费支出决算</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万元，占0%；公务接待费支出决算</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万元，占0%。具体情况如下：</w:t>
      </w:r>
    </w:p>
    <w:p>
      <w:pPr>
        <w:pStyle w:val="2"/>
        <w:rPr>
          <w:rFonts w:hint="eastAsia" w:ascii="宋体" w:hAnsi="宋体" w:eastAsia="宋体" w:cs="宋体"/>
          <w:color w:val="auto"/>
          <w:kern w:val="2"/>
          <w:sz w:val="32"/>
          <w:szCs w:val="32"/>
          <w:highlight w:val="none"/>
          <w:lang w:val="en-US" w:eastAsia="zh-CN" w:bidi="ar-SA"/>
        </w:rPr>
      </w:pPr>
    </w:p>
    <w:p>
      <w:pPr>
        <w:pStyle w:val="3"/>
        <w:rPr>
          <w:rFonts w:hint="eastAsia" w:ascii="宋体" w:hAnsi="宋体" w:eastAsia="宋体" w:cs="宋体"/>
          <w:color w:val="auto"/>
          <w:kern w:val="2"/>
          <w:sz w:val="32"/>
          <w:szCs w:val="32"/>
          <w:highlight w:val="none"/>
          <w:lang w:val="en-US" w:eastAsia="zh-CN" w:bidi="ar-SA"/>
        </w:rPr>
      </w:pPr>
    </w:p>
    <w:p>
      <w:pPr>
        <w:pStyle w:val="3"/>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（因当年三公经费无支出数据，故而饼状图无法显示）</w:t>
      </w:r>
    </w:p>
    <w:p>
      <w:pPr>
        <w:numPr>
          <w:ilvl w:val="0"/>
          <w:numId w:val="0"/>
        </w:numPr>
        <w:spacing w:line="600" w:lineRule="exact"/>
        <w:ind w:firstLine="643" w:firstLineChars="20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1.因公出国（境）经费支出0万元，完成预算0%。</w:t>
      </w:r>
      <w:r>
        <w:rPr>
          <w:rFonts w:hint="eastAsia" w:ascii="宋体" w:hAnsi="宋体" w:eastAsia="宋体" w:cs="宋体"/>
          <w:color w:val="auto"/>
          <w:kern w:val="2"/>
          <w:sz w:val="32"/>
          <w:szCs w:val="32"/>
          <w:highlight w:val="none"/>
          <w:lang w:val="en-US" w:eastAsia="zh-CN" w:bidi="ar-SA"/>
        </w:rPr>
        <w:t>全年安排因公出国（境）团组</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次，出国（境）</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人。因公出国（境）支出决算与2023年持平。</w:t>
      </w:r>
    </w:p>
    <w:p>
      <w:pPr>
        <w:numPr>
          <w:ilvl w:val="0"/>
          <w:numId w:val="0"/>
        </w:numPr>
        <w:spacing w:line="600" w:lineRule="exact"/>
        <w:ind w:firstLine="643" w:firstLineChars="20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2.公务用车购置及运行维护费支出0万元，完成预算0%。</w:t>
      </w:r>
      <w:r>
        <w:rPr>
          <w:rFonts w:hint="eastAsia" w:ascii="宋体" w:hAnsi="宋体" w:eastAsia="宋体" w:cs="宋体"/>
          <w:color w:val="auto"/>
          <w:kern w:val="2"/>
          <w:sz w:val="32"/>
          <w:szCs w:val="32"/>
          <w:highlight w:val="none"/>
          <w:lang w:val="en-US" w:eastAsia="zh-CN" w:bidi="ar-SA"/>
        </w:rPr>
        <w:t>公务用车购置及运行维护费支出决算与2023年持平。</w:t>
      </w:r>
    </w:p>
    <w:p>
      <w:pPr>
        <w:spacing w:line="600" w:lineRule="exact"/>
        <w:ind w:firstLine="640" w:firstLineChars="200"/>
        <w:rPr>
          <w:rFonts w:hint="eastAsia" w:ascii="宋体" w:hAnsi="宋体" w:eastAsia="宋体" w:cs="宋体"/>
          <w:color w:val="000000"/>
          <w:sz w:val="32"/>
          <w:szCs w:val="32"/>
          <w:highlight w:val="none"/>
          <w:lang w:val="zh-CN"/>
        </w:rPr>
      </w:pPr>
      <w:r>
        <w:rPr>
          <w:rFonts w:hint="eastAsia" w:ascii="宋体" w:hAnsi="宋体" w:eastAsia="宋体" w:cs="宋体"/>
          <w:color w:val="auto"/>
          <w:kern w:val="2"/>
          <w:sz w:val="32"/>
          <w:szCs w:val="32"/>
          <w:highlight w:val="none"/>
          <w:lang w:val="en-US" w:eastAsia="zh-CN" w:bidi="ar-SA"/>
        </w:rPr>
        <w:t>其中：公务用车购置支出</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w:t>
      </w:r>
      <w:r>
        <w:rPr>
          <w:rFonts w:hint="eastAsia" w:ascii="宋体" w:hAnsi="宋体" w:eastAsia="宋体" w:cs="宋体"/>
          <w:color w:val="000000"/>
          <w:sz w:val="32"/>
          <w:szCs w:val="32"/>
          <w:highlight w:val="none"/>
          <w:lang w:val="zh-CN"/>
        </w:rPr>
        <w:t>全年按规定更新购置公务用车0辆，其中：轿车</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辆、金额</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万元，越野车</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辆、金额</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万元，小型载客汽车</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辆、金额</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万元，大中型载客汽车</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辆、金额</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万元，其他车型</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辆、金额</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万元</w:t>
      </w:r>
      <w:r>
        <w:rPr>
          <w:rFonts w:hint="eastAsia" w:ascii="宋体" w:hAnsi="宋体" w:eastAsia="宋体" w:cs="宋体"/>
          <w:color w:val="000000"/>
          <w:sz w:val="32"/>
          <w:szCs w:val="32"/>
          <w:highlight w:val="none"/>
        </w:rPr>
        <w:t>.</w:t>
      </w:r>
      <w:r>
        <w:rPr>
          <w:rFonts w:hint="eastAsia" w:ascii="宋体" w:hAnsi="宋体" w:eastAsia="宋体" w:cs="宋体"/>
          <w:color w:val="000000"/>
          <w:sz w:val="32"/>
          <w:szCs w:val="32"/>
          <w:highlight w:val="none"/>
          <w:lang w:val="zh-CN"/>
        </w:rPr>
        <w:t>截至2022年12月底，本部门共有公务用车0辆，其中：轿车</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辆、越野车</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辆、小型载客汽车</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辆、大中型载客汽车</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辆、其他车型</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辆。</w:t>
      </w:r>
    </w:p>
    <w:p>
      <w:pPr>
        <w:spacing w:line="600" w:lineRule="exact"/>
        <w:ind w:firstLine="643" w:firstLineChars="200"/>
        <w:rPr>
          <w:rFonts w:hint="eastAsia" w:ascii="宋体" w:hAnsi="宋体" w:eastAsia="宋体" w:cs="宋体"/>
          <w:color w:val="000000"/>
          <w:sz w:val="32"/>
          <w:szCs w:val="32"/>
          <w:highlight w:val="none"/>
          <w:lang w:val="zh-CN"/>
        </w:rPr>
      </w:pPr>
      <w:r>
        <w:rPr>
          <w:rFonts w:hint="eastAsia" w:ascii="宋体" w:hAnsi="宋体" w:eastAsia="宋体" w:cs="宋体"/>
          <w:b/>
          <w:color w:val="000000"/>
          <w:sz w:val="32"/>
          <w:szCs w:val="32"/>
          <w:highlight w:val="none"/>
          <w:lang w:val="zh-CN"/>
        </w:rPr>
        <w:t>公务用车运行维护费</w:t>
      </w:r>
      <w:r>
        <w:rPr>
          <w:rFonts w:hint="eastAsia" w:ascii="宋体" w:hAnsi="宋体" w:eastAsia="宋体" w:cs="宋体"/>
          <w:color w:val="000000"/>
          <w:sz w:val="32"/>
          <w:szCs w:val="32"/>
          <w:highlight w:val="none"/>
          <w:lang w:val="zh-CN"/>
        </w:rPr>
        <w:t>支出0万元。</w:t>
      </w:r>
    </w:p>
    <w:p>
      <w:pPr>
        <w:keepNext/>
        <w:keepLines/>
        <w:tabs>
          <w:tab w:val="left" w:pos="480"/>
        </w:tabs>
        <w:spacing w:line="576" w:lineRule="exact"/>
        <w:ind w:firstLine="723" w:firstLineChars="225"/>
        <w:rPr>
          <w:rFonts w:hint="eastAsia" w:ascii="宋体" w:hAnsi="宋体" w:eastAsia="宋体" w:cs="宋体"/>
          <w:color w:val="000000"/>
          <w:sz w:val="32"/>
          <w:szCs w:val="32"/>
          <w:highlight w:val="none"/>
          <w:lang w:val="zh-CN"/>
        </w:rPr>
      </w:pPr>
      <w:r>
        <w:rPr>
          <w:rFonts w:hint="eastAsia" w:ascii="宋体" w:hAnsi="宋体" w:eastAsia="宋体" w:cs="宋体"/>
          <w:b/>
          <w:color w:val="000000"/>
          <w:sz w:val="32"/>
          <w:szCs w:val="32"/>
          <w:highlight w:val="none"/>
        </w:rPr>
        <w:t>3.</w:t>
      </w:r>
      <w:r>
        <w:rPr>
          <w:rFonts w:hint="eastAsia" w:ascii="宋体" w:hAnsi="宋体" w:eastAsia="宋体" w:cs="宋体"/>
          <w:b/>
          <w:color w:val="000000"/>
          <w:sz w:val="32"/>
          <w:szCs w:val="32"/>
          <w:highlight w:val="none"/>
          <w:lang w:val="zh-CN"/>
        </w:rPr>
        <w:t>公务接待费</w:t>
      </w:r>
      <w:r>
        <w:rPr>
          <w:rFonts w:hint="eastAsia" w:ascii="宋体" w:hAnsi="宋体" w:eastAsia="宋体" w:cs="宋体"/>
          <w:color w:val="000000"/>
          <w:sz w:val="32"/>
          <w:szCs w:val="32"/>
          <w:highlight w:val="none"/>
          <w:lang w:val="zh-CN"/>
        </w:rPr>
        <w:t>支出0万元，完成预算0%。公务接待费支出决算比202</w:t>
      </w:r>
      <w:r>
        <w:rPr>
          <w:rFonts w:hint="eastAsia" w:ascii="宋体"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lang w:val="zh-CN"/>
        </w:rPr>
        <w:t>年增加0万元，增长</w:t>
      </w:r>
      <w:r>
        <w:rPr>
          <w:rFonts w:hint="eastAsia" w:ascii="宋体" w:hAnsi="宋体" w:eastAsia="宋体" w:cs="宋体"/>
          <w:color w:val="000000"/>
          <w:sz w:val="32"/>
          <w:szCs w:val="32"/>
          <w:highlight w:val="none"/>
        </w:rPr>
        <w:t>0</w:t>
      </w:r>
      <w:r>
        <w:rPr>
          <w:rFonts w:hint="eastAsia" w:ascii="宋体" w:hAnsi="宋体" w:eastAsia="宋体" w:cs="宋体"/>
          <w:color w:val="000000"/>
          <w:sz w:val="32"/>
          <w:szCs w:val="32"/>
          <w:highlight w:val="none"/>
          <w:lang w:val="zh-CN"/>
        </w:rPr>
        <w:t>%。</w:t>
      </w:r>
    </w:p>
    <w:p>
      <w:pPr>
        <w:keepNext/>
        <w:keepLines/>
        <w:spacing w:line="576" w:lineRule="exact"/>
        <w:ind w:firstLine="643"/>
        <w:rPr>
          <w:rFonts w:hint="eastAsia" w:ascii="宋体" w:hAnsi="宋体" w:eastAsia="宋体" w:cs="宋体"/>
          <w:color w:val="000000"/>
          <w:sz w:val="32"/>
          <w:szCs w:val="32"/>
          <w:highlight w:val="none"/>
        </w:rPr>
      </w:pPr>
      <w:r>
        <w:rPr>
          <w:rFonts w:hint="eastAsia" w:ascii="宋体" w:hAnsi="宋体" w:eastAsia="宋体" w:cs="宋体"/>
          <w:b/>
          <w:color w:val="000000"/>
          <w:sz w:val="32"/>
          <w:szCs w:val="32"/>
          <w:highlight w:val="none"/>
          <w:lang w:val="zh-CN"/>
        </w:rPr>
        <w:t>国内公务接待</w:t>
      </w:r>
      <w:r>
        <w:rPr>
          <w:rFonts w:hint="eastAsia" w:ascii="宋体" w:hAnsi="宋体" w:eastAsia="宋体" w:cs="宋体"/>
          <w:color w:val="000000"/>
          <w:sz w:val="32"/>
          <w:szCs w:val="32"/>
          <w:highlight w:val="none"/>
          <w:lang w:val="zh-CN"/>
        </w:rPr>
        <w:t>支出0万元。国内公务接待0批次，0人次</w:t>
      </w:r>
      <w:r>
        <w:rPr>
          <w:rFonts w:hint="eastAsia" w:ascii="宋体" w:hAnsi="宋体" w:eastAsia="宋体" w:cs="宋体"/>
          <w:sz w:val="32"/>
          <w:szCs w:val="32"/>
          <w:highlight w:val="none"/>
        </w:rPr>
        <w:t>（不包括陪同人员）</w:t>
      </w:r>
      <w:r>
        <w:rPr>
          <w:rFonts w:hint="eastAsia" w:ascii="宋体" w:hAnsi="宋体" w:eastAsia="宋体" w:cs="宋体"/>
          <w:color w:val="000000"/>
          <w:sz w:val="32"/>
          <w:szCs w:val="32"/>
          <w:highlight w:val="none"/>
          <w:lang w:val="zh-CN"/>
        </w:rPr>
        <w:t>，共计支出0万元</w:t>
      </w:r>
      <w:r>
        <w:rPr>
          <w:rFonts w:hint="eastAsia" w:ascii="宋体" w:hAnsi="宋体" w:eastAsia="宋体" w:cs="宋体"/>
          <w:color w:val="000000"/>
          <w:sz w:val="32"/>
          <w:szCs w:val="32"/>
          <w:highlight w:val="none"/>
        </w:rPr>
        <w:t>。</w:t>
      </w:r>
    </w:p>
    <w:p>
      <w:pPr>
        <w:spacing w:line="600" w:lineRule="exact"/>
        <w:ind w:firstLine="643" w:firstLineChars="200"/>
        <w:rPr>
          <w:rFonts w:hint="eastAsia" w:ascii="宋体" w:hAnsi="宋体" w:eastAsia="宋体" w:cs="宋体"/>
          <w:sz w:val="32"/>
          <w:szCs w:val="32"/>
          <w:highlight w:val="none"/>
        </w:rPr>
      </w:pPr>
      <w:r>
        <w:rPr>
          <w:rFonts w:hint="eastAsia" w:ascii="宋体" w:hAnsi="宋体" w:eastAsia="宋体" w:cs="宋体"/>
          <w:b/>
          <w:sz w:val="32"/>
          <w:szCs w:val="32"/>
          <w:highlight w:val="none"/>
        </w:rPr>
        <w:t>外事接待支出</w:t>
      </w:r>
      <w:r>
        <w:rPr>
          <w:rFonts w:hint="eastAsia" w:ascii="宋体" w:hAnsi="宋体" w:eastAsia="宋体" w:cs="宋体"/>
          <w:sz w:val="32"/>
          <w:szCs w:val="32"/>
          <w:highlight w:val="none"/>
        </w:rPr>
        <w:t>0万元，外事接待0批次，0人次（不包括陪同人员），共计支出0万元。</w:t>
      </w: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bookmarkStart w:id="37" w:name="_Toc15377218"/>
      <w:bookmarkStart w:id="38" w:name="_Toc15396610"/>
    </w:p>
    <w:p>
      <w:pPr>
        <w:spacing w:line="600" w:lineRule="exact"/>
        <w:ind w:firstLine="640"/>
        <w:outlineLvl w:val="1"/>
        <w:rPr>
          <w:rStyle w:val="30"/>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八、</w:t>
      </w:r>
      <w:r>
        <w:rPr>
          <w:rStyle w:val="30"/>
          <w:rFonts w:hint="eastAsia" w:ascii="宋体" w:hAnsi="宋体" w:eastAsia="宋体" w:cs="宋体"/>
          <w:b/>
          <w:bCs/>
          <w:color w:val="auto"/>
          <w:sz w:val="32"/>
          <w:szCs w:val="32"/>
          <w:highlight w:val="none"/>
        </w:rPr>
        <w:t>政府性基金预算支出决算情况说明</w:t>
      </w:r>
      <w:bookmarkEnd w:id="37"/>
      <w:bookmarkEnd w:id="38"/>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2024年度政府性基金预算财政拨款支出</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万元，占本年支出合计的</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%。与2023年度相比，政府性基金预算财政拨款支出与2023年持平。</w:t>
      </w:r>
    </w:p>
    <w:p>
      <w:pPr>
        <w:numPr>
          <w:ilvl w:val="0"/>
          <w:numId w:val="0"/>
        </w:numPr>
        <w:spacing w:line="600" w:lineRule="exact"/>
        <w:ind w:left="630" w:leftChars="0"/>
        <w:outlineLvl w:val="1"/>
        <w:rPr>
          <w:rStyle w:val="30"/>
          <w:rFonts w:hint="eastAsia" w:ascii="宋体" w:hAnsi="宋体" w:eastAsia="宋体" w:cs="宋体"/>
          <w:b/>
          <w:bCs w:val="0"/>
          <w:color w:val="auto"/>
          <w:sz w:val="32"/>
          <w:szCs w:val="32"/>
          <w:highlight w:val="none"/>
        </w:rPr>
      </w:pPr>
      <w:bookmarkStart w:id="39" w:name="_Toc15377219"/>
      <w:bookmarkStart w:id="40" w:name="_Toc15396611"/>
      <w:r>
        <w:rPr>
          <w:rStyle w:val="30"/>
          <w:rFonts w:hint="eastAsia" w:ascii="宋体" w:hAnsi="宋体" w:eastAsia="宋体" w:cs="宋体"/>
          <w:b/>
          <w:bCs w:val="0"/>
          <w:color w:val="auto"/>
          <w:sz w:val="32"/>
          <w:szCs w:val="32"/>
          <w:highlight w:val="none"/>
          <w:lang w:eastAsia="zh-CN"/>
        </w:rPr>
        <w:t>九、</w:t>
      </w:r>
      <w:r>
        <w:rPr>
          <w:rStyle w:val="30"/>
          <w:rFonts w:hint="eastAsia" w:ascii="宋体" w:hAnsi="宋体" w:eastAsia="宋体" w:cs="宋体"/>
          <w:b/>
          <w:bCs w:val="0"/>
          <w:color w:val="auto"/>
          <w:sz w:val="32"/>
          <w:szCs w:val="32"/>
          <w:highlight w:val="none"/>
        </w:rPr>
        <w:t>国有资本经营预算支出决算情况说明</w:t>
      </w:r>
      <w:bookmarkEnd w:id="39"/>
      <w:bookmarkEnd w:id="40"/>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2024年度国有资本经营预算财政拨款支出</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万元，占本年支出合计的</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%。与2023年度相比，国有资本经营预算财政拨款支出与2023年持平。</w:t>
      </w:r>
    </w:p>
    <w:p>
      <w:pPr>
        <w:numPr>
          <w:ilvl w:val="0"/>
          <w:numId w:val="0"/>
        </w:numPr>
        <w:spacing w:line="600" w:lineRule="exact"/>
        <w:ind w:left="630" w:leftChars="0"/>
        <w:outlineLvl w:val="1"/>
        <w:rPr>
          <w:rStyle w:val="30"/>
          <w:rFonts w:hint="eastAsia" w:ascii="宋体" w:hAnsi="宋体" w:eastAsia="宋体" w:cs="宋体"/>
          <w:b/>
          <w:bCs w:val="0"/>
          <w:color w:val="auto"/>
          <w:sz w:val="32"/>
          <w:szCs w:val="32"/>
          <w:highlight w:val="none"/>
        </w:rPr>
      </w:pPr>
      <w:bookmarkStart w:id="41" w:name="_Toc15396612"/>
      <w:bookmarkStart w:id="42" w:name="_Toc15377221"/>
      <w:r>
        <w:rPr>
          <w:rStyle w:val="30"/>
          <w:rFonts w:hint="eastAsia" w:ascii="宋体" w:hAnsi="宋体" w:eastAsia="宋体" w:cs="宋体"/>
          <w:b/>
          <w:bCs w:val="0"/>
          <w:color w:val="auto"/>
          <w:sz w:val="32"/>
          <w:szCs w:val="32"/>
          <w:highlight w:val="none"/>
          <w:lang w:eastAsia="zh-CN"/>
        </w:rPr>
        <w:t>十、</w:t>
      </w:r>
      <w:r>
        <w:rPr>
          <w:rStyle w:val="30"/>
          <w:rFonts w:hint="eastAsia" w:ascii="宋体" w:hAnsi="宋体" w:eastAsia="宋体" w:cs="宋体"/>
          <w:b/>
          <w:bCs w:val="0"/>
          <w:color w:val="auto"/>
          <w:sz w:val="32"/>
          <w:szCs w:val="32"/>
          <w:highlight w:val="none"/>
        </w:rPr>
        <w:t>其他重要事项的情况说明</w:t>
      </w:r>
      <w:bookmarkEnd w:id="41"/>
      <w:bookmarkEnd w:id="42"/>
    </w:p>
    <w:p>
      <w:pPr>
        <w:spacing w:line="600" w:lineRule="exact"/>
        <w:ind w:firstLine="643" w:firstLineChars="200"/>
        <w:outlineLvl w:val="2"/>
        <w:rPr>
          <w:rFonts w:hint="eastAsia" w:ascii="宋体" w:hAnsi="宋体" w:eastAsia="宋体" w:cs="宋体"/>
          <w:b/>
          <w:color w:val="auto"/>
          <w:sz w:val="32"/>
          <w:szCs w:val="32"/>
          <w:highlight w:val="none"/>
        </w:rPr>
      </w:pPr>
      <w:bookmarkStart w:id="43" w:name="_Toc15377222"/>
      <w:r>
        <w:rPr>
          <w:rFonts w:hint="eastAsia" w:ascii="宋体" w:hAnsi="宋体" w:eastAsia="宋体" w:cs="宋体"/>
          <w:b/>
          <w:color w:val="auto"/>
          <w:sz w:val="32"/>
          <w:szCs w:val="32"/>
          <w:highlight w:val="none"/>
        </w:rPr>
        <w:t>（一）机关运行经费支出情况</w:t>
      </w:r>
      <w:bookmarkEnd w:id="43"/>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w:t>
      </w:r>
      <w:r>
        <w:rPr>
          <w:rFonts w:hint="eastAsia" w:ascii="宋体" w:hAnsi="宋体" w:eastAsia="宋体" w:cs="宋体"/>
          <w:sz w:val="32"/>
          <w:szCs w:val="32"/>
          <w:highlight w:val="none"/>
        </w:rPr>
        <w:t>攀枝花市东区财政局</w:t>
      </w:r>
      <w:r>
        <w:rPr>
          <w:rFonts w:hint="eastAsia" w:ascii="宋体" w:hAnsi="宋体" w:eastAsia="宋体" w:cs="宋体"/>
          <w:color w:val="auto"/>
          <w:kern w:val="2"/>
          <w:sz w:val="32"/>
          <w:szCs w:val="32"/>
          <w:highlight w:val="none"/>
          <w:lang w:val="en-US" w:eastAsia="zh-CN" w:bidi="ar-SA"/>
        </w:rPr>
        <w:t>机关运行经费支出</w:t>
      </w:r>
      <w:r>
        <w:rPr>
          <w:rFonts w:hint="eastAsia" w:ascii="宋体" w:hAnsi="宋体" w:eastAsia="宋体" w:cs="宋体"/>
          <w:sz w:val="32"/>
          <w:szCs w:val="32"/>
          <w:highlight w:val="none"/>
          <w:lang w:val="en-US" w:eastAsia="zh-CN"/>
        </w:rPr>
        <w:t>25.96</w:t>
      </w:r>
      <w:r>
        <w:rPr>
          <w:rFonts w:hint="eastAsia" w:ascii="宋体" w:hAnsi="宋体" w:eastAsia="宋体" w:cs="宋体"/>
          <w:color w:val="auto"/>
          <w:kern w:val="2"/>
          <w:sz w:val="32"/>
          <w:szCs w:val="32"/>
          <w:highlight w:val="none"/>
          <w:lang w:val="en-US" w:eastAsia="zh-CN" w:bidi="ar-SA"/>
        </w:rPr>
        <w:t>万元，比2023年度增加0.87万元，增长3.47%。主要原因是</w:t>
      </w:r>
      <w:r>
        <w:rPr>
          <w:rFonts w:hint="eastAsia" w:ascii="宋体" w:hAnsi="宋体" w:eastAsia="宋体" w:cs="宋体"/>
          <w:color w:val="000000"/>
          <w:sz w:val="32"/>
          <w:szCs w:val="32"/>
          <w:highlight w:val="none"/>
          <w:lang w:val="zh-CN"/>
        </w:rPr>
        <w:t>日常公用经费比去年有所增加。</w:t>
      </w:r>
    </w:p>
    <w:p>
      <w:pPr>
        <w:spacing w:line="600" w:lineRule="exact"/>
        <w:ind w:firstLine="643" w:firstLineChars="200"/>
        <w:outlineLvl w:val="2"/>
        <w:rPr>
          <w:rFonts w:hint="eastAsia" w:ascii="宋体" w:hAnsi="宋体" w:eastAsia="宋体" w:cs="宋体"/>
          <w:b/>
          <w:color w:val="auto"/>
          <w:sz w:val="32"/>
          <w:szCs w:val="32"/>
          <w:highlight w:val="none"/>
        </w:rPr>
      </w:pPr>
      <w:bookmarkStart w:id="44" w:name="_Toc15377223"/>
      <w:r>
        <w:rPr>
          <w:rFonts w:hint="eastAsia" w:ascii="宋体" w:hAnsi="宋体" w:eastAsia="宋体" w:cs="宋体"/>
          <w:b/>
          <w:color w:val="auto"/>
          <w:sz w:val="32"/>
          <w:szCs w:val="32"/>
          <w:highlight w:val="none"/>
        </w:rPr>
        <w:t>（二）政府采购支出情况</w:t>
      </w:r>
      <w:bookmarkEnd w:id="44"/>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w:t>
      </w:r>
      <w:r>
        <w:rPr>
          <w:rFonts w:hint="eastAsia" w:ascii="宋体" w:hAnsi="宋体" w:eastAsia="宋体" w:cs="宋体"/>
          <w:sz w:val="32"/>
          <w:szCs w:val="32"/>
          <w:highlight w:val="none"/>
        </w:rPr>
        <w:t>攀枝花市东区财政</w:t>
      </w:r>
      <w:r>
        <w:rPr>
          <w:rFonts w:hint="eastAsia" w:ascii="宋体" w:hAnsi="宋体" w:eastAsia="宋体" w:cs="宋体"/>
          <w:sz w:val="32"/>
          <w:szCs w:val="32"/>
          <w:highlight w:val="none"/>
          <w:lang w:val="en-US" w:eastAsia="zh-CN"/>
        </w:rPr>
        <w:t>国库支付中心</w:t>
      </w:r>
      <w:r>
        <w:rPr>
          <w:rFonts w:hint="eastAsia" w:ascii="宋体" w:hAnsi="宋体" w:eastAsia="宋体" w:cs="宋体"/>
          <w:color w:val="auto"/>
          <w:kern w:val="2"/>
          <w:sz w:val="32"/>
          <w:szCs w:val="32"/>
          <w:highlight w:val="none"/>
          <w:lang w:val="en-US" w:eastAsia="zh-CN" w:bidi="ar-SA"/>
        </w:rPr>
        <w:t>政府采购支出总额</w:t>
      </w:r>
      <w:r>
        <w:rPr>
          <w:rFonts w:hint="eastAsia" w:ascii="宋体" w:hAnsi="宋体" w:eastAsia="宋体" w:cs="宋体"/>
          <w:sz w:val="32"/>
          <w:szCs w:val="32"/>
          <w:highlight w:val="none"/>
          <w:lang w:val="en-US" w:eastAsia="zh-CN"/>
        </w:rPr>
        <w:t>0</w:t>
      </w:r>
      <w:r>
        <w:rPr>
          <w:rFonts w:hint="eastAsia" w:ascii="宋体" w:hAnsi="宋体" w:eastAsia="宋体" w:cs="宋体"/>
          <w:color w:val="auto"/>
          <w:kern w:val="2"/>
          <w:sz w:val="32"/>
          <w:szCs w:val="32"/>
          <w:highlight w:val="none"/>
          <w:lang w:val="en-US" w:eastAsia="zh-CN" w:bidi="ar-SA"/>
        </w:rPr>
        <w:t>万元，其中：政府采购货物支出</w:t>
      </w:r>
      <w:r>
        <w:rPr>
          <w:rFonts w:hint="eastAsia" w:ascii="宋体" w:hAnsi="宋体" w:eastAsia="宋体" w:cs="宋体"/>
          <w:sz w:val="32"/>
          <w:szCs w:val="32"/>
          <w:highlight w:val="none"/>
          <w:lang w:val="en-US" w:eastAsia="zh-CN"/>
        </w:rPr>
        <w:t>0</w:t>
      </w:r>
      <w:r>
        <w:rPr>
          <w:rFonts w:hint="eastAsia" w:ascii="宋体" w:hAnsi="宋体" w:eastAsia="宋体" w:cs="宋体"/>
          <w:color w:val="auto"/>
          <w:kern w:val="2"/>
          <w:sz w:val="32"/>
          <w:szCs w:val="32"/>
          <w:highlight w:val="none"/>
          <w:lang w:val="en-US" w:eastAsia="zh-CN" w:bidi="ar-SA"/>
        </w:rPr>
        <w:t>万元、政府采购工程支出</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万元、政府采购服务支出</w:t>
      </w:r>
      <w:r>
        <w:rPr>
          <w:rFonts w:hint="eastAsia" w:ascii="宋体" w:hAnsi="宋体" w:eastAsia="宋体" w:cs="宋体"/>
          <w:sz w:val="32"/>
          <w:szCs w:val="32"/>
          <w:highlight w:val="none"/>
          <w:lang w:val="en-US" w:eastAsia="zh-CN"/>
        </w:rPr>
        <w:t>0</w:t>
      </w:r>
      <w:r>
        <w:rPr>
          <w:rFonts w:hint="eastAsia" w:ascii="宋体" w:hAnsi="宋体" w:eastAsia="宋体" w:cs="宋体"/>
          <w:color w:val="auto"/>
          <w:kern w:val="2"/>
          <w:sz w:val="32"/>
          <w:szCs w:val="32"/>
          <w:highlight w:val="none"/>
          <w:lang w:val="en-US" w:eastAsia="zh-CN" w:bidi="ar-SA"/>
        </w:rPr>
        <w:t>万元。授予中小企业合同金额</w:t>
      </w:r>
      <w:r>
        <w:rPr>
          <w:rFonts w:hint="eastAsia" w:ascii="宋体" w:hAnsi="宋体" w:eastAsia="宋体" w:cs="宋体"/>
          <w:sz w:val="32"/>
          <w:szCs w:val="32"/>
          <w:highlight w:val="none"/>
          <w:lang w:val="en-US" w:eastAsia="zh-CN"/>
        </w:rPr>
        <w:t>0</w:t>
      </w:r>
      <w:r>
        <w:rPr>
          <w:rFonts w:hint="eastAsia" w:ascii="宋体" w:hAnsi="宋体" w:eastAsia="宋体" w:cs="宋体"/>
          <w:color w:val="auto"/>
          <w:kern w:val="2"/>
          <w:sz w:val="32"/>
          <w:szCs w:val="32"/>
          <w:highlight w:val="none"/>
          <w:lang w:val="en-US" w:eastAsia="zh-CN" w:bidi="ar-SA"/>
        </w:rPr>
        <w:t>万元，占政府采购支出总额的</w:t>
      </w:r>
      <w:r>
        <w:rPr>
          <w:rFonts w:hint="eastAsia" w:ascii="宋体" w:hAnsi="宋体" w:eastAsia="宋体" w:cs="宋体"/>
          <w:sz w:val="32"/>
          <w:szCs w:val="32"/>
          <w:highlight w:val="none"/>
          <w:lang w:val="en-US" w:eastAsia="zh-CN"/>
        </w:rPr>
        <w:t>0</w:t>
      </w:r>
      <w:r>
        <w:rPr>
          <w:rFonts w:hint="eastAsia" w:ascii="宋体" w:hAnsi="宋体" w:eastAsia="宋体" w:cs="宋体"/>
          <w:color w:val="auto"/>
          <w:kern w:val="2"/>
          <w:sz w:val="32"/>
          <w:szCs w:val="32"/>
          <w:highlight w:val="none"/>
          <w:lang w:val="en-US" w:eastAsia="zh-CN" w:bidi="ar-SA"/>
        </w:rPr>
        <w:t>%，其中：授予小微企业合同金额</w:t>
      </w:r>
      <w:r>
        <w:rPr>
          <w:rFonts w:hint="eastAsia" w:ascii="宋体" w:hAnsi="宋体" w:eastAsia="宋体" w:cs="宋体"/>
          <w:sz w:val="32"/>
          <w:szCs w:val="32"/>
          <w:highlight w:val="none"/>
          <w:lang w:val="en-US" w:eastAsia="zh-CN"/>
        </w:rPr>
        <w:t>0</w:t>
      </w:r>
      <w:r>
        <w:rPr>
          <w:rFonts w:hint="eastAsia" w:ascii="宋体" w:hAnsi="宋体" w:eastAsia="宋体" w:cs="宋体"/>
          <w:color w:val="auto"/>
          <w:kern w:val="2"/>
          <w:sz w:val="32"/>
          <w:szCs w:val="32"/>
          <w:highlight w:val="none"/>
          <w:lang w:val="en-US" w:eastAsia="zh-CN" w:bidi="ar-SA"/>
        </w:rPr>
        <w:t>万元，占政府采购支出总额的</w:t>
      </w:r>
      <w:r>
        <w:rPr>
          <w:rFonts w:hint="eastAsia" w:ascii="宋体" w:hAnsi="宋体" w:eastAsia="宋体" w:cs="宋体"/>
          <w:sz w:val="32"/>
          <w:szCs w:val="32"/>
          <w:highlight w:val="none"/>
          <w:lang w:val="en-US" w:eastAsia="zh-CN"/>
        </w:rPr>
        <w:t>0</w:t>
      </w:r>
      <w:r>
        <w:rPr>
          <w:rFonts w:hint="eastAsia" w:ascii="宋体" w:hAnsi="宋体" w:eastAsia="宋体" w:cs="宋体"/>
          <w:color w:val="auto"/>
          <w:kern w:val="2"/>
          <w:sz w:val="32"/>
          <w:szCs w:val="32"/>
          <w:highlight w:val="none"/>
          <w:lang w:val="en-US" w:eastAsia="zh-CN" w:bidi="ar-SA"/>
        </w:rPr>
        <w:t>%。</w:t>
      </w:r>
    </w:p>
    <w:p>
      <w:pPr>
        <w:spacing w:line="600" w:lineRule="exact"/>
        <w:ind w:firstLine="643" w:firstLineChars="200"/>
        <w:outlineLvl w:val="2"/>
        <w:rPr>
          <w:rFonts w:hint="eastAsia" w:ascii="宋体" w:hAnsi="宋体" w:eastAsia="宋体" w:cs="宋体"/>
          <w:b/>
          <w:color w:val="auto"/>
          <w:sz w:val="32"/>
          <w:szCs w:val="32"/>
          <w:highlight w:val="none"/>
        </w:rPr>
      </w:pPr>
      <w:bookmarkStart w:id="45" w:name="_Toc15377224"/>
      <w:r>
        <w:rPr>
          <w:rFonts w:hint="eastAsia" w:ascii="宋体" w:hAnsi="宋体" w:eastAsia="宋体" w:cs="宋体"/>
          <w:b/>
          <w:color w:val="auto"/>
          <w:sz w:val="32"/>
          <w:szCs w:val="32"/>
          <w:highlight w:val="none"/>
        </w:rPr>
        <w:t>（三）国有资产占有使用情况</w:t>
      </w:r>
      <w:bookmarkEnd w:id="45"/>
    </w:p>
    <w:p>
      <w:pPr>
        <w:spacing w:line="576" w:lineRule="exact"/>
        <w:ind w:firstLine="640"/>
        <w:rPr>
          <w:rFonts w:hint="eastAsia" w:ascii="宋体" w:hAnsi="宋体" w:eastAsia="宋体" w:cs="宋体"/>
          <w:color w:val="000000"/>
          <w:sz w:val="32"/>
          <w:szCs w:val="32"/>
          <w:highlight w:val="none"/>
          <w:lang w:val="zh-CN"/>
        </w:rPr>
      </w:pPr>
      <w:r>
        <w:rPr>
          <w:rFonts w:hint="eastAsia" w:ascii="宋体" w:hAnsi="宋体" w:eastAsia="宋体" w:cs="宋体"/>
          <w:color w:val="auto"/>
          <w:kern w:val="2"/>
          <w:sz w:val="32"/>
          <w:szCs w:val="32"/>
          <w:highlight w:val="none"/>
          <w:lang w:val="en-US" w:eastAsia="zh-CN" w:bidi="ar-SA"/>
        </w:rPr>
        <w:t>截至2024年12月31日，</w:t>
      </w:r>
      <w:r>
        <w:rPr>
          <w:rFonts w:hint="eastAsia" w:ascii="宋体" w:hAnsi="宋体" w:eastAsia="宋体" w:cs="宋体"/>
          <w:sz w:val="32"/>
          <w:szCs w:val="32"/>
          <w:highlight w:val="none"/>
        </w:rPr>
        <w:t>攀枝花市东区财政局</w:t>
      </w:r>
      <w:r>
        <w:rPr>
          <w:rFonts w:hint="eastAsia" w:ascii="宋体" w:hAnsi="宋体" w:eastAsia="宋体" w:cs="宋体"/>
          <w:color w:val="auto"/>
          <w:kern w:val="2"/>
          <w:sz w:val="32"/>
          <w:szCs w:val="32"/>
          <w:highlight w:val="none"/>
          <w:lang w:val="en-US" w:eastAsia="zh-CN" w:bidi="ar-SA"/>
        </w:rPr>
        <w:t>共有车辆</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辆，</w:t>
      </w:r>
      <w:r>
        <w:rPr>
          <w:rFonts w:hint="eastAsia" w:ascii="宋体" w:hAnsi="宋体" w:eastAsia="宋体" w:cs="宋体"/>
          <w:color w:val="000000"/>
          <w:sz w:val="32"/>
          <w:szCs w:val="32"/>
          <w:highlight w:val="none"/>
          <w:lang w:val="zh-CN"/>
        </w:rPr>
        <w:t>其中：副部（省）级及以上领导用车0辆、主要领导干部用车0辆、机要通信用车0辆、应急保障用车0辆、执法执勤用车0辆、特种专业技术用车0辆、离退休干部用车0辆、其他用车0辆。单价100万元（含）以上设备0台（套)。</w:t>
      </w:r>
    </w:p>
    <w:p>
      <w:pPr>
        <w:spacing w:line="600" w:lineRule="exact"/>
        <w:ind w:firstLine="640"/>
        <w:rPr>
          <w:rFonts w:hint="eastAsia" w:ascii="宋体" w:hAnsi="宋体" w:eastAsia="宋体" w:cs="宋体"/>
          <w:b/>
          <w:bCs/>
          <w:color w:val="auto"/>
          <w:kern w:val="2"/>
          <w:sz w:val="32"/>
          <w:szCs w:val="32"/>
          <w:highlight w:val="none"/>
          <w:lang w:val="en-US" w:eastAsia="zh-CN" w:bidi="ar-SA"/>
        </w:rPr>
      </w:pPr>
    </w:p>
    <w:p>
      <w:pPr>
        <w:numPr>
          <w:ilvl w:val="0"/>
          <w:numId w:val="2"/>
        </w:numPr>
        <w:bidi w:val="0"/>
        <w:rPr>
          <w:rFonts w:hint="eastAsia" w:ascii="宋体" w:hAnsi="宋体" w:eastAsia="宋体" w:cs="宋体"/>
          <w:b/>
          <w:bCs/>
          <w:sz w:val="36"/>
          <w:szCs w:val="36"/>
        </w:rPr>
      </w:pPr>
      <w:r>
        <w:rPr>
          <w:rFonts w:hint="eastAsia" w:ascii="宋体" w:hAnsi="宋体" w:eastAsia="宋体" w:cs="宋体"/>
          <w:b/>
          <w:bCs/>
          <w:sz w:val="36"/>
          <w:szCs w:val="36"/>
        </w:rPr>
        <w:t>预算绩效管理情况</w:t>
      </w:r>
    </w:p>
    <w:p>
      <w:pPr>
        <w:pStyle w:val="2"/>
        <w:numPr>
          <w:ilvl w:val="0"/>
          <w:numId w:val="0"/>
        </w:numPr>
        <w:rPr>
          <w:rFonts w:hint="eastAsia"/>
        </w:rPr>
      </w:pPr>
    </w:p>
    <w:p>
      <w:pPr>
        <w:pStyle w:val="7"/>
        <w:bidi w:val="0"/>
        <w:ind w:firstLine="960" w:firstLineChars="300"/>
        <w:rPr>
          <w:rFonts w:hint="eastAsia"/>
          <w:b w:val="0"/>
          <w:bCs w:val="0"/>
          <w:lang w:val="en-US" w:eastAsia="zh-CN"/>
        </w:rPr>
      </w:pPr>
      <w:r>
        <w:rPr>
          <w:rFonts w:hint="eastAsia"/>
          <w:b w:val="0"/>
          <w:bCs w:val="0"/>
          <w:lang w:val="en-US" w:eastAsia="zh-CN"/>
        </w:rPr>
        <w:t>根据预算绩效管理要求，本单位在2024年度预算编制阶段，因项目“</w:t>
      </w:r>
      <w:r>
        <w:rPr>
          <w:rFonts w:hint="eastAsia"/>
          <w:b w:val="0"/>
          <w:bCs w:val="0"/>
        </w:rPr>
        <w:t>财务管理专项工作经费</w:t>
      </w:r>
      <w:r>
        <w:rPr>
          <w:rFonts w:hint="eastAsia"/>
          <w:b w:val="0"/>
          <w:bCs w:val="0"/>
          <w:lang w:eastAsia="zh-CN"/>
        </w:rPr>
        <w:t>”</w:t>
      </w:r>
      <w:r>
        <w:rPr>
          <w:rFonts w:hint="eastAsia"/>
          <w:b w:val="0"/>
          <w:bCs w:val="0"/>
          <w:lang w:val="en-US" w:eastAsia="zh-CN"/>
        </w:rPr>
        <w:t>工作滞后，2024年未发生购买票证资料费、印刷费以及财务管理培训工作经费，该项工作推迟于2025年开展，</w:t>
      </w:r>
      <w:bookmarkStart w:id="46" w:name="OLE_LINK1"/>
      <w:r>
        <w:rPr>
          <w:rFonts w:hint="eastAsia"/>
          <w:b w:val="0"/>
          <w:bCs w:val="0"/>
          <w:lang w:val="en-US" w:eastAsia="zh-CN"/>
        </w:rPr>
        <w:t>2024年东区财政国库支付中心没开展部门预算项目支出绩效目标考核工作，故而无2024年部门预算项目支出绩效自评表。</w:t>
      </w:r>
    </w:p>
    <w:bookmarkEnd w:id="46"/>
    <w:p>
      <w:pPr>
        <w:pStyle w:val="3"/>
        <w:rPr>
          <w:rFonts w:hint="eastAsia" w:ascii="宋体" w:hAnsi="宋体" w:eastAsia="宋体" w:cs="宋体"/>
          <w:color w:val="auto"/>
          <w:kern w:val="2"/>
          <w:sz w:val="32"/>
          <w:szCs w:val="32"/>
          <w:highlight w:val="none"/>
          <w:lang w:val="en-US" w:eastAsia="zh-CN" w:bidi="ar-SA"/>
        </w:rPr>
      </w:pPr>
    </w:p>
    <w:p>
      <w:pPr>
        <w:pStyle w:val="3"/>
        <w:rPr>
          <w:rFonts w:hint="eastAsia" w:ascii="宋体" w:hAnsi="宋体" w:eastAsia="宋体" w:cs="宋体"/>
          <w:color w:val="auto"/>
          <w:kern w:val="2"/>
          <w:sz w:val="32"/>
          <w:szCs w:val="32"/>
          <w:highlight w:val="none"/>
          <w:lang w:val="en-US" w:eastAsia="zh-CN" w:bidi="ar-SA"/>
        </w:rPr>
      </w:pPr>
    </w:p>
    <w:p>
      <w:pPr>
        <w:pStyle w:val="3"/>
        <w:rPr>
          <w:rFonts w:hint="eastAsia" w:ascii="宋体" w:hAnsi="宋体" w:eastAsia="宋体" w:cs="宋体"/>
          <w:color w:val="auto"/>
          <w:kern w:val="2"/>
          <w:sz w:val="32"/>
          <w:szCs w:val="32"/>
          <w:highlight w:val="none"/>
          <w:lang w:val="en-US" w:eastAsia="zh-CN" w:bidi="ar-SA"/>
        </w:rPr>
      </w:pPr>
    </w:p>
    <w:p>
      <w:pPr>
        <w:pStyle w:val="3"/>
        <w:rPr>
          <w:rFonts w:hint="eastAsia" w:ascii="宋体" w:hAnsi="宋体" w:eastAsia="宋体" w:cs="宋体"/>
          <w:color w:val="auto"/>
          <w:kern w:val="2"/>
          <w:sz w:val="32"/>
          <w:szCs w:val="32"/>
          <w:highlight w:val="none"/>
          <w:lang w:val="en-US" w:eastAsia="zh-CN" w:bidi="ar-SA"/>
        </w:rPr>
      </w:pPr>
    </w:p>
    <w:p>
      <w:pPr>
        <w:pStyle w:val="3"/>
        <w:rPr>
          <w:rFonts w:hint="eastAsia" w:ascii="宋体" w:hAnsi="宋体" w:eastAsia="宋体" w:cs="宋体"/>
          <w:color w:val="auto"/>
          <w:kern w:val="2"/>
          <w:sz w:val="32"/>
          <w:szCs w:val="32"/>
          <w:highlight w:val="none"/>
          <w:lang w:val="en-US" w:eastAsia="zh-CN" w:bidi="ar-SA"/>
        </w:rPr>
      </w:pPr>
    </w:p>
    <w:p>
      <w:pPr>
        <w:pStyle w:val="3"/>
        <w:rPr>
          <w:rFonts w:hint="eastAsia" w:ascii="宋体" w:hAnsi="宋体" w:eastAsia="宋体" w:cs="宋体"/>
          <w:color w:val="auto"/>
          <w:kern w:val="2"/>
          <w:sz w:val="32"/>
          <w:szCs w:val="32"/>
          <w:highlight w:val="none"/>
          <w:lang w:val="en-US" w:eastAsia="zh-CN" w:bidi="ar-SA"/>
        </w:rPr>
      </w:pPr>
    </w:p>
    <w:p>
      <w:pPr>
        <w:pStyle w:val="3"/>
        <w:rPr>
          <w:rFonts w:hint="eastAsia" w:ascii="宋体" w:hAnsi="宋体" w:eastAsia="宋体" w:cs="宋体"/>
          <w:color w:val="auto"/>
          <w:kern w:val="2"/>
          <w:sz w:val="32"/>
          <w:szCs w:val="32"/>
          <w:highlight w:val="none"/>
          <w:lang w:val="en-US" w:eastAsia="zh-CN" w:bidi="ar-SA"/>
        </w:rPr>
      </w:pPr>
    </w:p>
    <w:p>
      <w:pPr>
        <w:pStyle w:val="3"/>
        <w:rPr>
          <w:rFonts w:hint="eastAsia" w:ascii="宋体" w:hAnsi="宋体" w:eastAsia="宋体" w:cs="宋体"/>
          <w:color w:val="auto"/>
          <w:kern w:val="2"/>
          <w:sz w:val="32"/>
          <w:szCs w:val="32"/>
          <w:highlight w:val="none"/>
          <w:lang w:val="en-US" w:eastAsia="zh-CN" w:bidi="ar-SA"/>
        </w:rPr>
      </w:pPr>
    </w:p>
    <w:p>
      <w:pPr>
        <w:pStyle w:val="3"/>
        <w:rPr>
          <w:rFonts w:hint="eastAsia" w:ascii="宋体" w:hAnsi="宋体" w:eastAsia="宋体" w:cs="宋体"/>
          <w:color w:val="auto"/>
          <w:kern w:val="2"/>
          <w:sz w:val="32"/>
          <w:szCs w:val="32"/>
          <w:highlight w:val="none"/>
          <w:lang w:val="en-US" w:eastAsia="zh-CN" w:bidi="ar-SA"/>
        </w:rPr>
      </w:pPr>
    </w:p>
    <w:p>
      <w:pPr>
        <w:numPr>
          <w:ilvl w:val="0"/>
          <w:numId w:val="0"/>
        </w:numPr>
        <w:spacing w:line="600" w:lineRule="exact"/>
        <w:jc w:val="center"/>
        <w:outlineLvl w:val="0"/>
        <w:rPr>
          <w:rFonts w:hint="eastAsia" w:ascii="宋体" w:hAnsi="宋体" w:eastAsia="宋体" w:cs="宋体"/>
          <w:b/>
          <w:bCs/>
          <w:color w:val="auto"/>
          <w:sz w:val="44"/>
          <w:szCs w:val="44"/>
          <w:highlight w:val="none"/>
        </w:rPr>
      </w:pPr>
      <w:bookmarkStart w:id="47" w:name="_Toc15377225"/>
      <w:bookmarkStart w:id="48" w:name="_Toc15396613"/>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eastAsia="zh-CN"/>
        </w:rPr>
        <w:t>三</w:t>
      </w:r>
      <w:r>
        <w:rPr>
          <w:rFonts w:hint="eastAsia" w:ascii="宋体" w:hAnsi="宋体" w:eastAsia="宋体" w:cs="宋体"/>
          <w:b/>
          <w:bCs/>
          <w:color w:val="auto"/>
          <w:sz w:val="44"/>
          <w:szCs w:val="44"/>
          <w:highlight w:val="none"/>
        </w:rPr>
        <w:t>部分</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名词解释</w:t>
      </w:r>
      <w:bookmarkEnd w:id="47"/>
      <w:bookmarkEnd w:id="48"/>
    </w:p>
    <w:p>
      <w:pPr>
        <w:spacing w:line="600" w:lineRule="exact"/>
        <w:jc w:val="left"/>
        <w:rPr>
          <w:rFonts w:hint="eastAsia" w:ascii="宋体" w:hAnsi="宋体" w:eastAsia="宋体" w:cs="宋体"/>
          <w:b/>
          <w:sz w:val="32"/>
          <w:szCs w:val="32"/>
        </w:rPr>
      </w:pPr>
      <w:bookmarkStart w:id="49" w:name="_Toc15377226"/>
    </w:p>
    <w:p>
      <w:pPr>
        <w:spacing w:line="336" w:lineRule="auto"/>
        <w:ind w:right="320" w:firstLine="641"/>
        <w:rPr>
          <w:rFonts w:hint="eastAsia" w:ascii="宋体" w:hAnsi="宋体" w:eastAsia="宋体" w:cs="宋体"/>
          <w:color w:val="000000"/>
          <w:sz w:val="32"/>
          <w:szCs w:val="32"/>
        </w:rPr>
      </w:pPr>
      <w:r>
        <w:rPr>
          <w:rFonts w:hint="eastAsia" w:ascii="宋体" w:hAnsi="宋体" w:eastAsia="宋体" w:cs="宋体"/>
          <w:color w:val="000000"/>
          <w:sz w:val="32"/>
          <w:szCs w:val="32"/>
        </w:rPr>
        <w:t>1.财政拨款收入：指单位从同级财政部门取得的财政预算资金。</w:t>
      </w:r>
    </w:p>
    <w:p>
      <w:pPr>
        <w:spacing w:line="99" w:lineRule="exact"/>
        <w:rPr>
          <w:rFonts w:hint="eastAsia" w:ascii="宋体" w:hAnsi="宋体" w:eastAsia="宋体" w:cs="宋体"/>
          <w:color w:val="000000"/>
          <w:sz w:val="32"/>
          <w:szCs w:val="32"/>
        </w:rPr>
      </w:pPr>
    </w:p>
    <w:p>
      <w:pPr>
        <w:spacing w:line="336" w:lineRule="auto"/>
        <w:ind w:right="320" w:firstLine="641"/>
        <w:rPr>
          <w:rFonts w:hint="eastAsia" w:ascii="宋体" w:hAnsi="宋体" w:eastAsia="宋体" w:cs="宋体"/>
          <w:color w:val="000000"/>
          <w:sz w:val="32"/>
          <w:szCs w:val="32"/>
        </w:rPr>
      </w:pPr>
      <w:r>
        <w:rPr>
          <w:rFonts w:hint="eastAsia" w:ascii="宋体" w:hAnsi="宋体" w:eastAsia="宋体" w:cs="宋体"/>
          <w:color w:val="000000"/>
          <w:sz w:val="32"/>
          <w:szCs w:val="32"/>
        </w:rPr>
        <w:t>2.事业收入：指事业单位开展专业业务活动及辅助活动取得的收入。</w:t>
      </w:r>
    </w:p>
    <w:p>
      <w:pPr>
        <w:spacing w:line="96" w:lineRule="exact"/>
        <w:rPr>
          <w:rFonts w:hint="eastAsia" w:ascii="宋体" w:hAnsi="宋体" w:eastAsia="宋体" w:cs="宋体"/>
          <w:color w:val="000000"/>
          <w:sz w:val="32"/>
          <w:szCs w:val="32"/>
        </w:rPr>
      </w:pPr>
    </w:p>
    <w:p>
      <w:pPr>
        <w:spacing w:line="338" w:lineRule="auto"/>
        <w:ind w:right="320" w:firstLine="641"/>
        <w:rPr>
          <w:rFonts w:hint="eastAsia" w:ascii="宋体" w:hAnsi="宋体" w:eastAsia="宋体" w:cs="宋体"/>
          <w:color w:val="000000"/>
          <w:sz w:val="32"/>
          <w:szCs w:val="32"/>
        </w:rPr>
      </w:pPr>
      <w:r>
        <w:rPr>
          <w:rFonts w:hint="eastAsia" w:ascii="宋体" w:hAnsi="宋体" w:eastAsia="宋体" w:cs="宋体"/>
          <w:color w:val="000000"/>
          <w:sz w:val="32"/>
          <w:szCs w:val="32"/>
        </w:rPr>
        <w:t>3.经营收入：指事业单位在专业业务活动及其辅助活动之外开展非独立核算经营活动取得的收入。</w:t>
      </w:r>
    </w:p>
    <w:p>
      <w:pPr>
        <w:spacing w:line="93" w:lineRule="exact"/>
        <w:rPr>
          <w:rFonts w:hint="eastAsia" w:ascii="宋体" w:hAnsi="宋体" w:eastAsia="宋体" w:cs="宋体"/>
          <w:color w:val="000000"/>
          <w:sz w:val="32"/>
          <w:szCs w:val="32"/>
        </w:rPr>
      </w:pPr>
    </w:p>
    <w:p>
      <w:pPr>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4.其他收入：指单位取得的除上述收入以外的各项收入。</w:t>
      </w:r>
    </w:p>
    <w:p>
      <w:pPr>
        <w:spacing w:line="336" w:lineRule="auto"/>
        <w:ind w:right="300" w:firstLine="641"/>
        <w:rPr>
          <w:rFonts w:hint="eastAsia" w:ascii="宋体" w:hAnsi="宋体" w:eastAsia="宋体" w:cs="宋体"/>
          <w:color w:val="000000"/>
          <w:sz w:val="32"/>
          <w:szCs w:val="32"/>
        </w:rPr>
      </w:pPr>
      <w:r>
        <w:rPr>
          <w:rFonts w:hint="eastAsia" w:ascii="宋体" w:hAnsi="宋体" w:eastAsia="宋体" w:cs="宋体"/>
          <w:color w:val="000000"/>
          <w:sz w:val="32"/>
          <w:szCs w:val="32"/>
        </w:rPr>
        <w:t>5. 使用非财政拨款结余：指事业单位使用以前年度积累的非财政拨款结余弥补当年收支差额的金额。</w:t>
      </w:r>
    </w:p>
    <w:p>
      <w:pPr>
        <w:spacing w:line="96" w:lineRule="exact"/>
        <w:rPr>
          <w:rFonts w:hint="eastAsia" w:ascii="宋体" w:hAnsi="宋体" w:eastAsia="宋体" w:cs="宋体"/>
          <w:color w:val="000000"/>
          <w:sz w:val="32"/>
          <w:szCs w:val="32"/>
        </w:rPr>
      </w:pPr>
    </w:p>
    <w:p>
      <w:pPr>
        <w:spacing w:line="338" w:lineRule="auto"/>
        <w:ind w:right="160" w:firstLine="641"/>
        <w:rPr>
          <w:rFonts w:hint="eastAsia" w:ascii="宋体" w:hAnsi="宋体" w:eastAsia="宋体" w:cs="宋体"/>
          <w:color w:val="000000"/>
          <w:sz w:val="32"/>
          <w:szCs w:val="32"/>
        </w:rPr>
      </w:pPr>
      <w:r>
        <w:rPr>
          <w:rFonts w:hint="eastAsia" w:ascii="宋体" w:hAnsi="宋体" w:eastAsia="宋体" w:cs="宋体"/>
          <w:color w:val="000000"/>
          <w:sz w:val="32"/>
          <w:szCs w:val="32"/>
        </w:rPr>
        <w:t>6.年初结转和结余：指以前年度尚未完成、结转到本年按有关规定继续使用的资金。</w:t>
      </w:r>
    </w:p>
    <w:p>
      <w:pPr>
        <w:spacing w:line="93" w:lineRule="exact"/>
        <w:rPr>
          <w:rFonts w:hint="eastAsia" w:ascii="宋体" w:hAnsi="宋体" w:eastAsia="宋体" w:cs="宋体"/>
          <w:color w:val="000000"/>
          <w:sz w:val="32"/>
          <w:szCs w:val="32"/>
        </w:rPr>
      </w:pPr>
    </w:p>
    <w:p>
      <w:pPr>
        <w:spacing w:line="355" w:lineRule="auto"/>
        <w:ind w:right="160" w:firstLine="641"/>
        <w:rPr>
          <w:rFonts w:hint="eastAsia" w:ascii="宋体" w:hAnsi="宋体" w:eastAsia="宋体" w:cs="宋体"/>
          <w:color w:val="000000"/>
          <w:sz w:val="32"/>
          <w:szCs w:val="32"/>
        </w:rPr>
      </w:pPr>
      <w:r>
        <w:rPr>
          <w:rFonts w:hint="eastAsia" w:ascii="宋体" w:hAnsi="宋体" w:eastAsia="宋体" w:cs="宋体"/>
          <w:color w:val="000000"/>
          <w:sz w:val="32"/>
          <w:szCs w:val="32"/>
        </w:rPr>
        <w:t>7.结余分配：指事业单位按照会计制度规定缴纳的所得税、提取的专用结余以及转入非财政拨款结余的金额等。</w:t>
      </w:r>
    </w:p>
    <w:p>
      <w:pPr>
        <w:spacing w:line="75" w:lineRule="exact"/>
        <w:rPr>
          <w:rFonts w:hint="eastAsia" w:ascii="宋体" w:hAnsi="宋体" w:eastAsia="宋体" w:cs="宋体"/>
          <w:color w:val="000000"/>
          <w:sz w:val="32"/>
          <w:szCs w:val="32"/>
        </w:rPr>
      </w:pPr>
    </w:p>
    <w:p>
      <w:pPr>
        <w:spacing w:line="336" w:lineRule="auto"/>
        <w:ind w:right="160" w:firstLine="641"/>
        <w:rPr>
          <w:rFonts w:hint="eastAsia" w:ascii="宋体" w:hAnsi="宋体" w:eastAsia="宋体" w:cs="宋体"/>
          <w:color w:val="000000"/>
          <w:sz w:val="32"/>
          <w:szCs w:val="32"/>
        </w:rPr>
      </w:pPr>
      <w:r>
        <w:rPr>
          <w:rFonts w:hint="eastAsia" w:ascii="宋体" w:hAnsi="宋体" w:eastAsia="宋体" w:cs="宋体"/>
          <w:color w:val="000000"/>
          <w:sz w:val="32"/>
          <w:szCs w:val="32"/>
        </w:rPr>
        <w:t>8.年末结转和结余：指单位按有关规定结转到下年或以后年度继续使用的资金。</w:t>
      </w:r>
    </w:p>
    <w:p>
      <w:pPr>
        <w:spacing w:line="72" w:lineRule="exact"/>
        <w:rPr>
          <w:rFonts w:hint="eastAsia" w:ascii="宋体" w:hAnsi="宋体" w:eastAsia="宋体" w:cs="宋体"/>
          <w:color w:val="000000"/>
          <w:sz w:val="32"/>
          <w:szCs w:val="32"/>
        </w:rPr>
      </w:pPr>
    </w:p>
    <w:p>
      <w:pPr>
        <w:spacing w:line="420" w:lineRule="auto"/>
        <w:ind w:firstLine="641"/>
        <w:rPr>
          <w:rFonts w:hint="eastAsia" w:ascii="宋体" w:hAnsi="宋体" w:eastAsia="宋体" w:cs="宋体"/>
          <w:color w:val="000000"/>
          <w:sz w:val="32"/>
          <w:szCs w:val="32"/>
        </w:rPr>
      </w:pPr>
      <w:r>
        <w:rPr>
          <w:rFonts w:hint="eastAsia" w:ascii="宋体" w:hAnsi="宋体" w:eastAsia="宋体" w:cs="宋体"/>
          <w:color w:val="000000"/>
          <w:sz w:val="32"/>
          <w:szCs w:val="32"/>
        </w:rPr>
        <w:t>9.一般公共服务（类）财政事务（款）行政运行（项）:指行政单位（包括实行公务员管理的事业单位）的基本支出。</w:t>
      </w:r>
    </w:p>
    <w:p>
      <w:pPr>
        <w:spacing w:line="50" w:lineRule="exact"/>
        <w:rPr>
          <w:rFonts w:hint="eastAsia" w:ascii="宋体" w:hAnsi="宋体" w:eastAsia="宋体" w:cs="宋体"/>
          <w:color w:val="000000"/>
          <w:sz w:val="32"/>
          <w:szCs w:val="32"/>
        </w:rPr>
      </w:pPr>
    </w:p>
    <w:p>
      <w:pPr>
        <w:spacing w:line="16" w:lineRule="exact"/>
        <w:rPr>
          <w:rFonts w:hint="eastAsia" w:ascii="宋体" w:hAnsi="宋体" w:eastAsia="宋体" w:cs="宋体"/>
          <w:color w:val="000000"/>
          <w:sz w:val="32"/>
          <w:szCs w:val="32"/>
        </w:rPr>
      </w:pPr>
    </w:p>
    <w:p>
      <w:pPr>
        <w:spacing w:line="200" w:lineRule="exact"/>
        <w:rPr>
          <w:rFonts w:hint="eastAsia" w:ascii="宋体" w:hAnsi="宋体" w:eastAsia="宋体" w:cs="宋体"/>
          <w:color w:val="000000"/>
          <w:sz w:val="32"/>
          <w:szCs w:val="32"/>
        </w:rPr>
      </w:pPr>
    </w:p>
    <w:p>
      <w:pPr>
        <w:ind w:left="640"/>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、社会保障和就业（类）行政事业单位养老支出（款）</w:t>
      </w:r>
    </w:p>
    <w:p>
      <w:pPr>
        <w:spacing w:line="257" w:lineRule="exact"/>
        <w:rPr>
          <w:rFonts w:hint="eastAsia" w:ascii="宋体" w:hAnsi="宋体" w:eastAsia="宋体" w:cs="宋体"/>
          <w:color w:val="000000"/>
          <w:sz w:val="32"/>
          <w:szCs w:val="32"/>
        </w:rPr>
      </w:pPr>
    </w:p>
    <w:p>
      <w:pPr>
        <w:rPr>
          <w:rFonts w:hint="eastAsia" w:ascii="宋体" w:hAnsi="宋体" w:eastAsia="宋体" w:cs="宋体"/>
          <w:color w:val="000000"/>
          <w:sz w:val="32"/>
          <w:szCs w:val="32"/>
        </w:rPr>
      </w:pPr>
      <w:r>
        <w:rPr>
          <w:rFonts w:hint="eastAsia" w:ascii="宋体" w:hAnsi="宋体" w:eastAsia="宋体" w:cs="宋体"/>
          <w:color w:val="000000"/>
          <w:sz w:val="32"/>
          <w:szCs w:val="32"/>
        </w:rPr>
        <w:t>行政单位离退休（项）:指反映行政单位（包括实行公务员</w:t>
      </w:r>
    </w:p>
    <w:p>
      <w:pPr>
        <w:spacing w:line="259" w:lineRule="exact"/>
        <w:rPr>
          <w:rFonts w:hint="eastAsia" w:ascii="宋体" w:hAnsi="宋体" w:eastAsia="宋体" w:cs="宋体"/>
          <w:color w:val="000000"/>
          <w:sz w:val="32"/>
          <w:szCs w:val="32"/>
        </w:rPr>
      </w:pPr>
    </w:p>
    <w:p>
      <w:pPr>
        <w:rPr>
          <w:rFonts w:hint="eastAsia" w:ascii="宋体" w:hAnsi="宋体" w:eastAsia="宋体" w:cs="宋体"/>
          <w:color w:val="000000"/>
          <w:sz w:val="32"/>
          <w:szCs w:val="32"/>
        </w:rPr>
      </w:pPr>
      <w:r>
        <w:rPr>
          <w:rFonts w:hint="eastAsia" w:ascii="宋体" w:hAnsi="宋体" w:eastAsia="宋体" w:cs="宋体"/>
          <w:color w:val="000000"/>
          <w:sz w:val="32"/>
          <w:szCs w:val="32"/>
        </w:rPr>
        <w:t>管理的事业单位）开支的离退休经费。</w:t>
      </w:r>
    </w:p>
    <w:p>
      <w:pPr>
        <w:spacing w:line="270" w:lineRule="exact"/>
        <w:rPr>
          <w:rFonts w:hint="eastAsia" w:ascii="宋体" w:hAnsi="宋体" w:eastAsia="宋体" w:cs="宋体"/>
          <w:color w:val="000000"/>
          <w:sz w:val="32"/>
          <w:szCs w:val="32"/>
        </w:rPr>
      </w:pPr>
    </w:p>
    <w:p>
      <w:pPr>
        <w:ind w:left="640"/>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rPr>
        <w:t>、社会保障和就业（类）行政事业单位养老支出（款）</w:t>
      </w:r>
    </w:p>
    <w:p>
      <w:pPr>
        <w:spacing w:line="259" w:lineRule="exact"/>
        <w:rPr>
          <w:rFonts w:hint="eastAsia" w:ascii="宋体" w:hAnsi="宋体" w:eastAsia="宋体" w:cs="宋体"/>
          <w:color w:val="000000"/>
          <w:sz w:val="32"/>
          <w:szCs w:val="32"/>
        </w:rPr>
      </w:pPr>
    </w:p>
    <w:p>
      <w:pPr>
        <w:rPr>
          <w:rFonts w:hint="eastAsia" w:ascii="宋体" w:hAnsi="宋体" w:eastAsia="宋体" w:cs="宋体"/>
          <w:color w:val="000000"/>
          <w:sz w:val="32"/>
          <w:szCs w:val="32"/>
        </w:rPr>
      </w:pPr>
      <w:r>
        <w:rPr>
          <w:rFonts w:hint="eastAsia" w:ascii="宋体" w:hAnsi="宋体" w:eastAsia="宋体" w:cs="宋体"/>
          <w:color w:val="000000"/>
          <w:sz w:val="32"/>
          <w:szCs w:val="32"/>
        </w:rPr>
        <w:t>机关事业单位基本养老保险缴费支出（项）: 指反映机关事</w:t>
      </w:r>
    </w:p>
    <w:p>
      <w:pPr>
        <w:spacing w:line="259" w:lineRule="exact"/>
        <w:rPr>
          <w:rFonts w:hint="eastAsia" w:ascii="宋体" w:hAnsi="宋体" w:eastAsia="宋体" w:cs="宋体"/>
          <w:color w:val="000000"/>
          <w:sz w:val="32"/>
          <w:szCs w:val="32"/>
        </w:rPr>
      </w:pPr>
    </w:p>
    <w:p>
      <w:pPr>
        <w:rPr>
          <w:rFonts w:hint="eastAsia" w:ascii="宋体" w:hAnsi="宋体" w:eastAsia="宋体" w:cs="宋体"/>
          <w:color w:val="000000"/>
          <w:sz w:val="32"/>
          <w:szCs w:val="32"/>
        </w:rPr>
      </w:pPr>
      <w:r>
        <w:rPr>
          <w:rFonts w:hint="eastAsia" w:ascii="宋体" w:hAnsi="宋体" w:eastAsia="宋体" w:cs="宋体"/>
          <w:color w:val="000000"/>
          <w:sz w:val="32"/>
          <w:szCs w:val="32"/>
        </w:rPr>
        <w:t>业单位实施养老保险制度由单位缴纳的基本养老保险费支出。</w:t>
      </w:r>
    </w:p>
    <w:p>
      <w:pPr>
        <w:spacing w:line="306" w:lineRule="exact"/>
        <w:rPr>
          <w:rFonts w:hint="eastAsia" w:ascii="宋体" w:hAnsi="宋体" w:eastAsia="宋体" w:cs="宋体"/>
          <w:color w:val="000000"/>
          <w:sz w:val="32"/>
          <w:szCs w:val="32"/>
        </w:rPr>
      </w:pPr>
    </w:p>
    <w:p>
      <w:pPr>
        <w:spacing w:line="411" w:lineRule="auto"/>
        <w:ind w:right="320" w:firstLine="641"/>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rPr>
        <w:t>、社会保障和就业（类）行政事业单位养老支出（款）机关事业单位职业年金缴费支出（项）: 指反映机关事业单位实施养老保险制度由单位实际缴纳的职业年金支出。</w:t>
      </w:r>
    </w:p>
    <w:p>
      <w:pPr>
        <w:spacing w:line="56" w:lineRule="exact"/>
        <w:rPr>
          <w:rFonts w:hint="eastAsia" w:ascii="宋体" w:hAnsi="宋体" w:eastAsia="宋体" w:cs="宋体"/>
          <w:color w:val="000000"/>
          <w:sz w:val="32"/>
          <w:szCs w:val="32"/>
        </w:rPr>
      </w:pPr>
    </w:p>
    <w:p>
      <w:pPr>
        <w:spacing w:line="402" w:lineRule="auto"/>
        <w:ind w:right="160" w:firstLine="641"/>
        <w:rPr>
          <w:rFonts w:hint="eastAsia" w:ascii="宋体" w:hAnsi="宋体" w:eastAsia="宋体" w:cs="宋体"/>
          <w:color w:val="000000"/>
          <w:sz w:val="32"/>
          <w:szCs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3</w:t>
      </w:r>
      <w:r>
        <w:rPr>
          <w:rFonts w:hint="eastAsia" w:ascii="宋体" w:hAnsi="宋体" w:eastAsia="宋体" w:cs="宋体"/>
          <w:color w:val="000000"/>
          <w:sz w:val="32"/>
          <w:szCs w:val="32"/>
        </w:rPr>
        <w:t>、卫生健康支出（类）行政事业单位医疗（款）行政单位医疗（项）:指反映财政部门安排的行政单位（包括实行公务员管理的事业单位，下同）基本医疗保险缴费经费，未参加养老保险的行政单位的公费医疗经费，按国家规定享受离休人员、红军老战士待遇人员的医疗经费。</w:t>
      </w:r>
    </w:p>
    <w:p>
      <w:pPr>
        <w:spacing w:line="63" w:lineRule="exact"/>
        <w:rPr>
          <w:rFonts w:hint="eastAsia" w:ascii="宋体" w:hAnsi="宋体" w:eastAsia="宋体" w:cs="宋体"/>
          <w:color w:val="000000"/>
          <w:sz w:val="32"/>
          <w:szCs w:val="32"/>
        </w:rPr>
      </w:pPr>
    </w:p>
    <w:p>
      <w:pPr>
        <w:spacing w:line="63" w:lineRule="exact"/>
        <w:rPr>
          <w:rFonts w:hint="eastAsia" w:ascii="宋体" w:hAnsi="宋体" w:eastAsia="宋体" w:cs="宋体"/>
          <w:sz w:val="32"/>
          <w:szCs w:val="32"/>
        </w:rPr>
      </w:pPr>
    </w:p>
    <w:p>
      <w:pPr>
        <w:spacing w:line="394" w:lineRule="auto"/>
        <w:ind w:right="320" w:firstLine="641"/>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sz w:val="32"/>
          <w:szCs w:val="32"/>
          <w:lang w:val="en-US" w:eastAsia="zh-CN"/>
        </w:rPr>
        <w:t>4</w:t>
      </w:r>
      <w:r>
        <w:rPr>
          <w:rFonts w:hint="eastAsia" w:ascii="宋体" w:hAnsi="宋体" w:eastAsia="宋体" w:cs="宋体"/>
          <w:sz w:val="32"/>
          <w:szCs w:val="32"/>
        </w:rPr>
        <w:t>、卫生健康支出（类）行政事业单位医疗（款）公务员医疗补助（项）:指反映财政部门安排的公务员医疗补助经费。</w:t>
      </w:r>
    </w:p>
    <w:p>
      <w:pPr>
        <w:spacing w:line="208" w:lineRule="exact"/>
        <w:rPr>
          <w:rFonts w:hint="eastAsia" w:ascii="宋体" w:hAnsi="宋体" w:eastAsia="宋体" w:cs="宋体"/>
          <w:sz w:val="32"/>
          <w:szCs w:val="32"/>
        </w:rPr>
      </w:pPr>
    </w:p>
    <w:p>
      <w:pPr>
        <w:ind w:left="640"/>
        <w:rPr>
          <w:rFonts w:hint="eastAsia" w:ascii="宋体" w:hAnsi="宋体" w:eastAsia="宋体" w:cs="宋体"/>
          <w:sz w:val="32"/>
          <w:szCs w:val="32"/>
        </w:rPr>
      </w:pPr>
      <w:r>
        <w:rPr>
          <w:rFonts w:hint="eastAsia" w:ascii="宋体" w:hAnsi="宋体" w:cs="宋体"/>
          <w:sz w:val="32"/>
          <w:szCs w:val="32"/>
          <w:lang w:val="en-US" w:eastAsia="zh-CN"/>
        </w:rPr>
        <w:t>15</w:t>
      </w:r>
      <w:r>
        <w:rPr>
          <w:rFonts w:hint="eastAsia" w:ascii="宋体" w:hAnsi="宋体" w:eastAsia="宋体" w:cs="宋体"/>
          <w:sz w:val="32"/>
          <w:szCs w:val="32"/>
        </w:rPr>
        <w:t>、住房保障支出（类）住房改革支出（款）住房公积</w:t>
      </w:r>
    </w:p>
    <w:p>
      <w:pPr>
        <w:spacing w:line="208" w:lineRule="exact"/>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金（项）:指反映行政事业单位按人力资源和社会保障部、</w:t>
      </w:r>
    </w:p>
    <w:p>
      <w:pPr>
        <w:spacing w:line="259" w:lineRule="exact"/>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财政部规定的基本工资和津贴补贴以及规定比例为职工缴</w:t>
      </w:r>
    </w:p>
    <w:p>
      <w:pPr>
        <w:spacing w:line="259" w:lineRule="exact"/>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纳的住房公积金。</w:t>
      </w:r>
    </w:p>
    <w:p>
      <w:pPr>
        <w:spacing w:line="208" w:lineRule="exact"/>
        <w:rPr>
          <w:rFonts w:hint="eastAsia" w:ascii="宋体" w:hAnsi="宋体" w:eastAsia="宋体" w:cs="宋体"/>
          <w:sz w:val="32"/>
          <w:szCs w:val="32"/>
        </w:rPr>
      </w:pPr>
    </w:p>
    <w:p>
      <w:pPr>
        <w:ind w:left="640"/>
        <w:rPr>
          <w:rFonts w:hint="eastAsia" w:ascii="宋体" w:hAnsi="宋体" w:eastAsia="宋体" w:cs="宋体"/>
          <w:sz w:val="32"/>
          <w:szCs w:val="32"/>
        </w:rPr>
      </w:pPr>
      <w:r>
        <w:rPr>
          <w:rFonts w:hint="eastAsia" w:ascii="宋体" w:hAnsi="宋体" w:cs="宋体"/>
          <w:sz w:val="32"/>
          <w:szCs w:val="32"/>
          <w:lang w:val="en-US" w:eastAsia="zh-CN"/>
        </w:rPr>
        <w:t>16</w:t>
      </w:r>
      <w:r>
        <w:rPr>
          <w:rFonts w:hint="eastAsia" w:ascii="宋体" w:hAnsi="宋体" w:eastAsia="宋体" w:cs="宋体"/>
          <w:sz w:val="32"/>
          <w:szCs w:val="32"/>
        </w:rPr>
        <w:t>.基本支出：指为保障机构正常运转、完成日常工作</w:t>
      </w:r>
    </w:p>
    <w:p>
      <w:pPr>
        <w:spacing w:line="259" w:lineRule="exact"/>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任务而发生的人员支出和公用支出。</w:t>
      </w:r>
    </w:p>
    <w:p>
      <w:pPr>
        <w:spacing w:line="208" w:lineRule="exact"/>
        <w:rPr>
          <w:rFonts w:hint="eastAsia" w:ascii="宋体" w:hAnsi="宋体" w:eastAsia="宋体" w:cs="宋体"/>
          <w:sz w:val="32"/>
          <w:szCs w:val="32"/>
        </w:rPr>
      </w:pPr>
    </w:p>
    <w:p>
      <w:pPr>
        <w:ind w:left="640"/>
        <w:rPr>
          <w:rFonts w:hint="eastAsia" w:ascii="宋体" w:hAnsi="宋体" w:eastAsia="宋体" w:cs="宋体"/>
          <w:sz w:val="32"/>
          <w:szCs w:val="32"/>
        </w:rPr>
      </w:pPr>
      <w:r>
        <w:rPr>
          <w:rFonts w:hint="eastAsia" w:ascii="宋体" w:hAnsi="宋体" w:cs="宋体"/>
          <w:sz w:val="32"/>
          <w:szCs w:val="32"/>
          <w:lang w:val="en-US" w:eastAsia="zh-CN"/>
        </w:rPr>
        <w:t>17</w:t>
      </w:r>
      <w:r>
        <w:rPr>
          <w:rFonts w:hint="eastAsia" w:ascii="宋体" w:hAnsi="宋体" w:eastAsia="宋体" w:cs="宋体"/>
          <w:sz w:val="32"/>
          <w:szCs w:val="32"/>
        </w:rPr>
        <w:t>.项目支出：指在基本支出之外为完成特定行政任务</w:t>
      </w:r>
    </w:p>
    <w:p>
      <w:pPr>
        <w:spacing w:line="259" w:lineRule="exact"/>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和事业发展目标所发生的支出。</w:t>
      </w:r>
    </w:p>
    <w:p>
      <w:pPr>
        <w:spacing w:line="232" w:lineRule="exact"/>
        <w:rPr>
          <w:rFonts w:hint="eastAsia" w:ascii="宋体" w:hAnsi="宋体" w:eastAsia="宋体" w:cs="宋体"/>
          <w:sz w:val="32"/>
          <w:szCs w:val="32"/>
        </w:rPr>
      </w:pPr>
    </w:p>
    <w:p>
      <w:pPr>
        <w:spacing w:line="360" w:lineRule="auto"/>
        <w:ind w:firstLine="707" w:firstLineChars="221"/>
        <w:rPr>
          <w:rFonts w:hint="eastAsia" w:ascii="宋体" w:hAnsi="宋体" w:eastAsia="宋体" w:cs="宋体"/>
          <w:sz w:val="32"/>
          <w:szCs w:val="32"/>
        </w:rPr>
      </w:pPr>
      <w:r>
        <w:rPr>
          <w:rFonts w:hint="eastAsia" w:ascii="宋体" w:hAnsi="宋体" w:cs="宋体"/>
          <w:sz w:val="32"/>
          <w:szCs w:val="32"/>
          <w:lang w:val="en-US" w:eastAsia="zh-CN"/>
        </w:rPr>
        <w:t>18</w:t>
      </w:r>
      <w:r>
        <w:rPr>
          <w:rFonts w:hint="eastAsia" w:ascii="宋体" w:hAnsi="宋体" w:eastAsia="宋体" w:cs="宋体"/>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360" w:lineRule="auto"/>
        <w:ind w:firstLine="707" w:firstLineChars="221"/>
        <w:rPr>
          <w:rFonts w:hint="eastAsia" w:ascii="宋体" w:hAnsi="宋体" w:eastAsia="宋体" w:cs="宋体"/>
          <w:sz w:val="32"/>
          <w:szCs w:val="32"/>
        </w:rPr>
      </w:pPr>
      <w:r>
        <w:rPr>
          <w:rFonts w:hint="eastAsia" w:ascii="宋体" w:hAnsi="宋体" w:cs="宋体"/>
          <w:sz w:val="32"/>
          <w:szCs w:val="32"/>
          <w:lang w:val="en-US" w:eastAsia="zh-CN"/>
        </w:rPr>
        <w:t>19</w:t>
      </w:r>
      <w:r>
        <w:rPr>
          <w:rFonts w:hint="eastAsia" w:ascii="宋体" w:hAnsi="宋体" w:eastAsia="宋体" w:cs="宋体"/>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spacing w:line="360" w:lineRule="auto"/>
        <w:ind w:firstLine="643" w:firstLineChars="200"/>
        <w:rPr>
          <w:rFonts w:hint="eastAsia" w:ascii="宋体" w:hAnsi="宋体" w:eastAsia="宋体" w:cs="宋体"/>
          <w:sz w:val="32"/>
          <w:szCs w:val="32"/>
        </w:rPr>
      </w:pPr>
      <w:r>
        <w:rPr>
          <w:rFonts w:hint="eastAsia" w:ascii="宋体" w:hAnsi="宋体" w:eastAsia="宋体" w:cs="宋体"/>
          <w:b/>
          <w:sz w:val="32"/>
          <w:szCs w:val="32"/>
        </w:rPr>
        <w:br w:type="page"/>
      </w:r>
    </w:p>
    <w:p>
      <w:pPr>
        <w:spacing w:line="600" w:lineRule="exact"/>
        <w:jc w:val="center"/>
        <w:rPr>
          <w:rFonts w:hint="eastAsia" w:ascii="宋体" w:hAnsi="宋体" w:eastAsia="宋体" w:cs="宋体"/>
          <w:color w:val="auto"/>
          <w:kern w:val="2"/>
          <w:sz w:val="32"/>
          <w:szCs w:val="32"/>
          <w:highlight w:val="none"/>
          <w:lang w:val="en-US" w:eastAsia="zh-CN" w:bidi="ar-SA"/>
        </w:rPr>
      </w:pPr>
    </w:p>
    <w:p>
      <w:pPr>
        <w:spacing w:line="600" w:lineRule="exact"/>
        <w:jc w:val="center"/>
        <w:rPr>
          <w:rStyle w:val="29"/>
          <w:rFonts w:hint="eastAsia" w:ascii="宋体" w:hAnsi="宋体" w:eastAsia="宋体" w:cs="宋体"/>
          <w:b/>
          <w:bCs/>
          <w:color w:val="auto"/>
          <w:sz w:val="44"/>
          <w:szCs w:val="44"/>
          <w:highlight w:val="none"/>
          <w:lang w:eastAsia="zh-CN"/>
        </w:rPr>
      </w:pPr>
      <w:bookmarkStart w:id="50" w:name="_Toc15396614"/>
      <w:r>
        <w:rPr>
          <w:rFonts w:hint="eastAsia" w:ascii="宋体" w:hAnsi="宋体" w:eastAsia="宋体" w:cs="宋体"/>
          <w:b/>
          <w:bCs/>
          <w:color w:val="auto"/>
          <w:sz w:val="44"/>
          <w:szCs w:val="44"/>
          <w:highlight w:val="none"/>
        </w:rPr>
        <w:t>第四部分</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附件</w:t>
      </w:r>
      <w:bookmarkEnd w:id="50"/>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宋体" w:hAnsi="宋体" w:eastAsia="宋体" w:cs="宋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宋体" w:hAnsi="宋体" w:eastAsia="宋体" w:cs="宋体"/>
          <w:b w:val="0"/>
          <w:bCs/>
          <w:sz w:val="32"/>
          <w:szCs w:val="32"/>
          <w:highlight w:val="none"/>
          <w:shd w:val="clear" w:color="auto" w:fill="FFFFFF"/>
        </w:rPr>
      </w:pPr>
    </w:p>
    <w:p>
      <w:pPr>
        <w:bidi w:val="0"/>
        <w:ind w:firstLine="960" w:firstLineChars="300"/>
        <w:rPr>
          <w:rFonts w:hint="eastAsia" w:ascii="宋体" w:hAnsi="宋体" w:eastAsia="宋体" w:cs="宋体"/>
          <w:b w:val="0"/>
          <w:bCs w:val="0"/>
          <w:color w:val="auto"/>
          <w:kern w:val="2"/>
          <w:sz w:val="32"/>
          <w:szCs w:val="32"/>
          <w:highlight w:val="none"/>
          <w:lang w:val="en-US" w:eastAsia="zh-CN" w:bidi="ar-SA"/>
        </w:rPr>
      </w:pPr>
      <w:bookmarkStart w:id="51" w:name="OLE_LINK4"/>
      <w:r>
        <w:rPr>
          <w:rFonts w:hint="eastAsia" w:ascii="宋体" w:hAnsi="宋体" w:eastAsia="宋体" w:cs="宋体"/>
          <w:b w:val="0"/>
          <w:bCs w:val="0"/>
          <w:sz w:val="32"/>
          <w:szCs w:val="32"/>
          <w:lang w:val="en-US" w:eastAsia="zh-CN"/>
        </w:rPr>
        <w:t>2024年东区财政国库支付中心</w:t>
      </w:r>
      <w:r>
        <w:rPr>
          <w:rFonts w:hint="eastAsia" w:ascii="宋体" w:hAnsi="宋体" w:cs="宋体"/>
          <w:b w:val="0"/>
          <w:bCs w:val="0"/>
          <w:sz w:val="32"/>
          <w:szCs w:val="32"/>
          <w:lang w:val="en-US" w:eastAsia="zh-CN"/>
        </w:rPr>
        <w:t>未</w:t>
      </w:r>
      <w:bookmarkStart w:id="67" w:name="_GoBack"/>
      <w:bookmarkEnd w:id="67"/>
      <w:r>
        <w:rPr>
          <w:rFonts w:hint="eastAsia" w:ascii="宋体" w:hAnsi="宋体" w:eastAsia="宋体" w:cs="宋体"/>
          <w:b w:val="0"/>
          <w:bCs w:val="0"/>
          <w:sz w:val="32"/>
          <w:szCs w:val="32"/>
          <w:lang w:val="en-US" w:eastAsia="zh-CN"/>
        </w:rPr>
        <w:t>开展部门预算项目支出绩效目标考核工作，故而无2024年</w:t>
      </w:r>
      <w:r>
        <w:rPr>
          <w:rFonts w:hint="eastAsia" w:ascii="宋体" w:hAnsi="宋体" w:eastAsia="宋体" w:cs="宋体"/>
          <w:b w:val="0"/>
          <w:bCs w:val="0"/>
          <w:color w:val="auto"/>
          <w:kern w:val="2"/>
          <w:sz w:val="32"/>
          <w:szCs w:val="32"/>
          <w:highlight w:val="none"/>
          <w:lang w:val="en-US" w:eastAsia="zh-CN" w:bidi="ar-SA"/>
        </w:rPr>
        <w:t>部门</w:t>
      </w:r>
      <w:r>
        <w:rPr>
          <w:rFonts w:hint="eastAsia" w:ascii="宋体" w:hAnsi="宋体" w:cs="宋体"/>
          <w:b w:val="0"/>
          <w:bCs w:val="0"/>
          <w:color w:val="auto"/>
          <w:kern w:val="2"/>
          <w:sz w:val="32"/>
          <w:szCs w:val="32"/>
          <w:highlight w:val="none"/>
          <w:lang w:val="en-US" w:eastAsia="zh-CN" w:bidi="ar-SA"/>
        </w:rPr>
        <w:t>整体绩效自评 报告</w:t>
      </w:r>
      <w:r>
        <w:rPr>
          <w:rFonts w:hint="eastAsia" w:ascii="宋体" w:hAnsi="宋体" w:eastAsia="宋体" w:cs="宋体"/>
          <w:b w:val="0"/>
          <w:bCs w:val="0"/>
          <w:color w:val="auto"/>
          <w:kern w:val="2"/>
          <w:sz w:val="32"/>
          <w:szCs w:val="32"/>
          <w:highlight w:val="none"/>
          <w:lang w:val="en-US" w:eastAsia="zh-CN" w:bidi="ar-SA"/>
        </w:rPr>
        <w:t>。</w:t>
      </w:r>
    </w:p>
    <w:bookmarkEnd w:id="51"/>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宋体" w:hAnsi="宋体" w:eastAsia="宋体" w:cs="宋体"/>
          <w:kern w:val="2"/>
          <w:sz w:val="32"/>
          <w:szCs w:val="32"/>
          <w:highlight w:val="none"/>
          <w:u w:val="none"/>
          <w:lang w:val="en-US" w:eastAsia="zh-CN" w:bidi="ar"/>
        </w:rPr>
      </w:pPr>
      <w:r>
        <w:rPr>
          <w:rFonts w:hint="eastAsia" w:ascii="宋体" w:hAnsi="宋体" w:eastAsia="宋体" w:cs="宋体"/>
          <w:kern w:val="2"/>
          <w:sz w:val="32"/>
          <w:szCs w:val="32"/>
          <w:highlight w:val="none"/>
          <w:u w:val="none"/>
          <w:lang w:val="zh-CN" w:eastAsia="zh-CN" w:bidi="ar"/>
        </w:rPr>
        <w:t>附表：</w:t>
      </w:r>
      <w:bookmarkStart w:id="52" w:name="OLE_LINK5"/>
      <w:r>
        <w:rPr>
          <w:rFonts w:hint="eastAsia" w:ascii="宋体" w:hAnsi="宋体" w:cs="宋体"/>
          <w:kern w:val="2"/>
          <w:sz w:val="32"/>
          <w:szCs w:val="32"/>
          <w:highlight w:val="none"/>
          <w:u w:val="none"/>
          <w:lang w:val="en-US" w:eastAsia="zh-CN" w:bidi="ar"/>
        </w:rPr>
        <w:t>攀枝花市东区财政国库支付中心</w:t>
      </w:r>
      <w:r>
        <w:rPr>
          <w:rFonts w:hint="eastAsia" w:ascii="宋体" w:hAnsi="宋体" w:eastAsia="宋体" w:cs="宋体"/>
          <w:kern w:val="2"/>
          <w:sz w:val="32"/>
          <w:szCs w:val="32"/>
          <w:highlight w:val="none"/>
          <w:u w:val="none"/>
          <w:lang w:val="en-US" w:eastAsia="zh-CN" w:bidi="ar"/>
        </w:rPr>
        <w:t>部门预算项目支出绩效自评表（2024年度）</w:t>
      </w:r>
      <w:r>
        <w:rPr>
          <w:rFonts w:hint="eastAsia" w:ascii="宋体" w:hAnsi="宋体" w:cs="宋体"/>
          <w:kern w:val="2"/>
          <w:sz w:val="32"/>
          <w:szCs w:val="32"/>
          <w:highlight w:val="none"/>
          <w:u w:val="none"/>
          <w:lang w:val="en-US" w:eastAsia="zh-CN" w:bidi="ar"/>
        </w:rPr>
        <w:t>为空表</w:t>
      </w:r>
    </w:p>
    <w:p>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宋体" w:hAnsi="宋体" w:eastAsia="宋体" w:cs="宋体"/>
          <w:sz w:val="32"/>
          <w:szCs w:val="32"/>
          <w:highlight w:val="none"/>
          <w:lang w:val="zh-CN" w:eastAsia="zh-CN"/>
        </w:rPr>
      </w:pPr>
    </w:p>
    <w:bookmarkEnd w:id="52"/>
    <w:p>
      <w:pPr>
        <w:pStyle w:val="8"/>
        <w:rPr>
          <w:rFonts w:hint="eastAsia" w:ascii="宋体" w:hAnsi="宋体" w:eastAsia="宋体" w:cs="宋体"/>
          <w:color w:val="FF0000"/>
          <w:kern w:val="0"/>
          <w:sz w:val="32"/>
          <w:szCs w:val="32"/>
          <w:highlight w:val="none"/>
          <w:shd w:val="clear" w:color="auto" w:fill="FFFFFF"/>
          <w:lang w:val="zh-CN"/>
        </w:rPr>
      </w:pPr>
    </w:p>
    <w:p>
      <w:pPr>
        <w:rPr>
          <w:rFonts w:hint="eastAsia" w:ascii="宋体" w:hAnsi="宋体" w:eastAsia="宋体" w:cs="宋体"/>
          <w:color w:val="auto"/>
          <w:kern w:val="0"/>
          <w:sz w:val="32"/>
          <w:szCs w:val="32"/>
          <w:highlight w:val="none"/>
          <w:shd w:val="clear" w:color="auto" w:fill="FFFFFF"/>
          <w:lang w:val="zh-CN"/>
        </w:rPr>
      </w:pPr>
      <w:r>
        <w:rPr>
          <w:rFonts w:hint="eastAsia" w:ascii="宋体" w:hAnsi="宋体" w:eastAsia="宋体" w:cs="宋体"/>
          <w:color w:val="auto"/>
          <w:kern w:val="0"/>
          <w:sz w:val="32"/>
          <w:szCs w:val="32"/>
          <w:highlight w:val="none"/>
          <w:shd w:val="clear" w:color="auto" w:fill="FFFFFF"/>
          <w:lang w:val="zh-CN"/>
        </w:rPr>
        <w:br w:type="page"/>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宋体" w:hAnsi="宋体" w:eastAsia="宋体" w:cs="宋体"/>
          <w:b w:val="0"/>
          <w:bCs w:val="0"/>
          <w:kern w:val="0"/>
          <w:position w:val="0"/>
          <w:sz w:val="32"/>
          <w:szCs w:val="32"/>
          <w:highlight w:val="none"/>
          <w:lang w:val="en-US" w:eastAsia="zh-CN" w:bidi="ar-SA"/>
        </w:rPr>
      </w:pPr>
      <w:bookmarkStart w:id="53" w:name="_Toc15396618"/>
    </w:p>
    <w:p>
      <w:pPr>
        <w:widowControl/>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Style w:val="29"/>
          <w:rFonts w:hint="eastAsia" w:ascii="宋体" w:hAnsi="宋体" w:eastAsia="宋体" w:cs="宋体"/>
          <w:b/>
          <w:bCs/>
          <w:color w:val="auto"/>
          <w:sz w:val="44"/>
          <w:szCs w:val="44"/>
          <w:highlight w:val="none"/>
        </w:rPr>
        <w:t>五部分 附表</w:t>
      </w:r>
      <w:bookmarkEnd w:id="49"/>
      <w:bookmarkEnd w:id="53"/>
      <w:bookmarkStart w:id="54"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bookmarkEnd w:id="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55" w:name="_Toc15396620"/>
      <w:r>
        <w:rPr>
          <w:rFonts w:hint="eastAsia" w:ascii="宋体" w:hAnsi="宋体" w:eastAsia="宋体" w:cs="宋体"/>
          <w:color w:val="auto"/>
          <w:sz w:val="32"/>
          <w:szCs w:val="32"/>
          <w:highlight w:val="none"/>
        </w:rPr>
        <w:t>二、收入决算表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56" w:name="_Toc15396621"/>
      <w:r>
        <w:rPr>
          <w:rFonts w:hint="eastAsia" w:ascii="宋体" w:hAnsi="宋体" w:eastAsia="宋体" w:cs="宋体"/>
          <w:color w:val="auto"/>
          <w:sz w:val="32"/>
          <w:szCs w:val="32"/>
          <w:highlight w:val="none"/>
        </w:rPr>
        <w:t>三、支出决算表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57" w:name="_Toc15396622"/>
      <w:r>
        <w:rPr>
          <w:rFonts w:hint="eastAsia" w:ascii="宋体" w:hAnsi="宋体" w:eastAsia="宋体" w:cs="宋体"/>
          <w:color w:val="auto"/>
          <w:sz w:val="32"/>
          <w:szCs w:val="32"/>
          <w:highlight w:val="none"/>
        </w:rPr>
        <w:t>四、财政拨款收入支出决算总表</w:t>
      </w:r>
      <w:bookmarkEnd w:id="5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58" w:name="_Toc15396623"/>
      <w:r>
        <w:rPr>
          <w:rFonts w:hint="eastAsia" w:ascii="宋体" w:hAnsi="宋体" w:eastAsia="宋体" w:cs="宋体"/>
          <w:color w:val="auto"/>
          <w:sz w:val="32"/>
          <w:szCs w:val="32"/>
          <w:highlight w:val="none"/>
        </w:rPr>
        <w:t>五、财政拨款支出决算明细表</w:t>
      </w:r>
      <w:bookmarkEnd w:id="58"/>
      <w:bookmarkStart w:id="59"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六、一般公共预算财政拨款支出决算表</w:t>
      </w:r>
      <w:bookmarkEnd w:id="5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0" w:name="_Toc15396625"/>
      <w:r>
        <w:rPr>
          <w:rFonts w:hint="eastAsia" w:ascii="宋体" w:hAnsi="宋体" w:eastAsia="宋体" w:cs="宋体"/>
          <w:color w:val="auto"/>
          <w:sz w:val="32"/>
          <w:szCs w:val="32"/>
          <w:highlight w:val="none"/>
        </w:rPr>
        <w:t>七、一般公共预算财政拨款支出决算明细表</w:t>
      </w:r>
      <w:bookmarkEnd w:id="6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1" w:name="_Toc15396626"/>
      <w:r>
        <w:rPr>
          <w:rFonts w:hint="eastAsia" w:ascii="宋体" w:hAnsi="宋体" w:eastAsia="宋体" w:cs="宋体"/>
          <w:color w:val="auto"/>
          <w:sz w:val="32"/>
          <w:szCs w:val="32"/>
          <w:highlight w:val="none"/>
        </w:rPr>
        <w:t>八、一般公共预算财政拨款基本支出决算表</w:t>
      </w:r>
      <w:bookmarkEnd w:id="6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2" w:name="_Toc15396627"/>
      <w:r>
        <w:rPr>
          <w:rFonts w:hint="eastAsia" w:ascii="宋体" w:hAnsi="宋体" w:eastAsia="宋体" w:cs="宋体"/>
          <w:color w:val="auto"/>
          <w:sz w:val="32"/>
          <w:szCs w:val="32"/>
          <w:highlight w:val="none"/>
        </w:rPr>
        <w:t>九、一般公共预算财政拨款项目支出决算表</w:t>
      </w:r>
      <w:bookmarkEnd w:id="6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3" w:name="_Toc15396628"/>
      <w:r>
        <w:rPr>
          <w:rFonts w:hint="eastAsia" w:ascii="宋体" w:hAnsi="宋体" w:eastAsia="宋体" w:cs="宋体"/>
          <w:color w:val="auto"/>
          <w:sz w:val="32"/>
          <w:szCs w:val="32"/>
          <w:highlight w:val="none"/>
        </w:rPr>
        <w:t>十、</w:t>
      </w:r>
      <w:bookmarkEnd w:id="63"/>
      <w:r>
        <w:rPr>
          <w:rFonts w:hint="eastAsia" w:ascii="宋体" w:hAnsi="宋体" w:eastAsia="宋体" w:cs="宋体"/>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4" w:name="_Toc15396629"/>
      <w:r>
        <w:rPr>
          <w:rFonts w:hint="eastAsia" w:ascii="宋体" w:hAnsi="宋体" w:eastAsia="宋体" w:cs="宋体"/>
          <w:color w:val="auto"/>
          <w:sz w:val="32"/>
          <w:szCs w:val="32"/>
          <w:highlight w:val="none"/>
        </w:rPr>
        <w:t>十一、</w:t>
      </w:r>
      <w:bookmarkEnd w:id="64"/>
      <w:r>
        <w:rPr>
          <w:rFonts w:hint="eastAsia" w:ascii="宋体" w:hAnsi="宋体" w:eastAsia="宋体" w:cs="宋体"/>
          <w:color w:val="auto"/>
          <w:sz w:val="32"/>
          <w:szCs w:val="32"/>
          <w:highlight w:val="none"/>
        </w:rPr>
        <w:t>国有资本经营预算</w:t>
      </w:r>
      <w:r>
        <w:rPr>
          <w:rFonts w:hint="eastAsia" w:ascii="宋体" w:hAnsi="宋体" w:eastAsia="宋体" w:cs="宋体"/>
          <w:color w:val="auto"/>
          <w:sz w:val="32"/>
          <w:szCs w:val="32"/>
          <w:highlight w:val="none"/>
          <w:lang w:eastAsia="zh-CN"/>
        </w:rPr>
        <w:t>财政拨款收入</w:t>
      </w:r>
      <w:r>
        <w:rPr>
          <w:rFonts w:hint="eastAsia" w:ascii="宋体" w:hAnsi="宋体" w:eastAsia="宋体" w:cs="宋体"/>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5" w:name="_Toc15396630"/>
      <w:r>
        <w:rPr>
          <w:rFonts w:hint="eastAsia" w:ascii="宋体" w:hAnsi="宋体" w:eastAsia="宋体" w:cs="宋体"/>
          <w:color w:val="auto"/>
          <w:sz w:val="32"/>
          <w:szCs w:val="32"/>
          <w:highlight w:val="none"/>
        </w:rPr>
        <w:t>十二、</w:t>
      </w:r>
      <w:bookmarkEnd w:id="65"/>
      <w:r>
        <w:rPr>
          <w:rFonts w:hint="eastAsia" w:ascii="宋体" w:hAnsi="宋体" w:eastAsia="宋体" w:cs="宋体"/>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lang w:eastAsia="zh-CN"/>
        </w:rPr>
      </w:pPr>
      <w:bookmarkStart w:id="66" w:name="_Toc15396631"/>
      <w:r>
        <w:rPr>
          <w:rFonts w:hint="eastAsia" w:ascii="宋体" w:hAnsi="宋体" w:eastAsia="宋体" w:cs="宋体"/>
          <w:color w:val="auto"/>
          <w:sz w:val="32"/>
          <w:szCs w:val="32"/>
          <w:highlight w:val="none"/>
        </w:rPr>
        <w:t>十三、</w:t>
      </w:r>
      <w:bookmarkEnd w:id="66"/>
      <w:r>
        <w:rPr>
          <w:rFonts w:hint="eastAsia" w:ascii="宋体" w:hAnsi="宋体" w:eastAsia="宋体" w:cs="宋体"/>
          <w:color w:val="auto"/>
          <w:sz w:val="32"/>
          <w:szCs w:val="32"/>
          <w:highlight w:val="none"/>
          <w:lang w:eastAsia="zh-CN"/>
        </w:rPr>
        <w:t>财政拨款“三公”经费支出决算表</w:t>
      </w:r>
    </w:p>
    <w:p>
      <w:pPr>
        <w:rPr>
          <w:rFonts w:hint="eastAsia" w:ascii="宋体" w:hAnsi="宋体" w:eastAsia="宋体" w:cs="宋体"/>
          <w:sz w:val="32"/>
          <w:szCs w:val="32"/>
          <w:highlight w:val="none"/>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313D5"/>
    <w:multiLevelType w:val="singleLevel"/>
    <w:tmpl w:val="A9B313D5"/>
    <w:lvl w:ilvl="0" w:tentative="0">
      <w:start w:val="1"/>
      <w:numFmt w:val="chineseCounting"/>
      <w:suff w:val="space"/>
      <w:lvlText w:val="第%1部分"/>
      <w:lvlJc w:val="left"/>
      <w:rPr>
        <w:rFonts w:hint="eastAsia"/>
      </w:rPr>
    </w:lvl>
  </w:abstractNum>
  <w:abstractNum w:abstractNumId="1">
    <w:nsid w:val="C6B2B922"/>
    <w:multiLevelType w:val="singleLevel"/>
    <w:tmpl w:val="C6B2B92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E150A5"/>
    <w:rsid w:val="02FEBE30"/>
    <w:rsid w:val="04916F1E"/>
    <w:rsid w:val="061E35DE"/>
    <w:rsid w:val="066E0107"/>
    <w:rsid w:val="07996F6E"/>
    <w:rsid w:val="07DFD8BA"/>
    <w:rsid w:val="09867E8F"/>
    <w:rsid w:val="09B9608C"/>
    <w:rsid w:val="0A2032A3"/>
    <w:rsid w:val="0CA8290A"/>
    <w:rsid w:val="0D35B1ED"/>
    <w:rsid w:val="0E254B6B"/>
    <w:rsid w:val="0F98263C"/>
    <w:rsid w:val="101860EC"/>
    <w:rsid w:val="101F47CC"/>
    <w:rsid w:val="10C055FF"/>
    <w:rsid w:val="11694EBD"/>
    <w:rsid w:val="11772AA4"/>
    <w:rsid w:val="118107EC"/>
    <w:rsid w:val="12E24EE2"/>
    <w:rsid w:val="13D50BC4"/>
    <w:rsid w:val="140E1835"/>
    <w:rsid w:val="14B17F78"/>
    <w:rsid w:val="162C688B"/>
    <w:rsid w:val="165E0673"/>
    <w:rsid w:val="16B831D5"/>
    <w:rsid w:val="16BB723D"/>
    <w:rsid w:val="17E50567"/>
    <w:rsid w:val="186504BB"/>
    <w:rsid w:val="19300FEB"/>
    <w:rsid w:val="19A445FC"/>
    <w:rsid w:val="1BE8440E"/>
    <w:rsid w:val="1D155CEE"/>
    <w:rsid w:val="1D1638FE"/>
    <w:rsid w:val="1E312DEB"/>
    <w:rsid w:val="1E740ACF"/>
    <w:rsid w:val="1F7D22A7"/>
    <w:rsid w:val="1FF35744"/>
    <w:rsid w:val="1FF6BC77"/>
    <w:rsid w:val="1FF77306"/>
    <w:rsid w:val="2186353C"/>
    <w:rsid w:val="218D2DD5"/>
    <w:rsid w:val="2344756C"/>
    <w:rsid w:val="23860B96"/>
    <w:rsid w:val="240371BF"/>
    <w:rsid w:val="244F3473"/>
    <w:rsid w:val="24C97D99"/>
    <w:rsid w:val="256F2CF5"/>
    <w:rsid w:val="25A718F0"/>
    <w:rsid w:val="25BB59F6"/>
    <w:rsid w:val="260F557C"/>
    <w:rsid w:val="26970054"/>
    <w:rsid w:val="26FB220D"/>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2CA79FA"/>
    <w:rsid w:val="3304709D"/>
    <w:rsid w:val="33A773CB"/>
    <w:rsid w:val="349D6851"/>
    <w:rsid w:val="34F50476"/>
    <w:rsid w:val="350C1D55"/>
    <w:rsid w:val="36AA5135"/>
    <w:rsid w:val="36BE0DA7"/>
    <w:rsid w:val="376B6AA6"/>
    <w:rsid w:val="376D39B2"/>
    <w:rsid w:val="37E16F03"/>
    <w:rsid w:val="37F53A3B"/>
    <w:rsid w:val="389B6C89"/>
    <w:rsid w:val="38D469F0"/>
    <w:rsid w:val="39627CCD"/>
    <w:rsid w:val="397BAF1F"/>
    <w:rsid w:val="3A4B1176"/>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B840A9"/>
    <w:rsid w:val="44E268DA"/>
    <w:rsid w:val="450D13D7"/>
    <w:rsid w:val="45506656"/>
    <w:rsid w:val="486A6C7A"/>
    <w:rsid w:val="4A627F82"/>
    <w:rsid w:val="4B0E749A"/>
    <w:rsid w:val="4B2477C4"/>
    <w:rsid w:val="4B4F25DA"/>
    <w:rsid w:val="4B82583B"/>
    <w:rsid w:val="4BE068DB"/>
    <w:rsid w:val="4D206899"/>
    <w:rsid w:val="4D577224"/>
    <w:rsid w:val="4DBF1CEB"/>
    <w:rsid w:val="4DF0007C"/>
    <w:rsid w:val="4EAB630A"/>
    <w:rsid w:val="4ECE2238"/>
    <w:rsid w:val="4F833267"/>
    <w:rsid w:val="4FE9BD67"/>
    <w:rsid w:val="4FFB052F"/>
    <w:rsid w:val="50707007"/>
    <w:rsid w:val="537E6D0A"/>
    <w:rsid w:val="53F74C96"/>
    <w:rsid w:val="55170BA8"/>
    <w:rsid w:val="553218C9"/>
    <w:rsid w:val="567E1AA5"/>
    <w:rsid w:val="56E47B74"/>
    <w:rsid w:val="57175D52"/>
    <w:rsid w:val="57BD3DD4"/>
    <w:rsid w:val="58CD179E"/>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0C63D6"/>
    <w:rsid w:val="62BF3928"/>
    <w:rsid w:val="63B3701E"/>
    <w:rsid w:val="642069D5"/>
    <w:rsid w:val="64686F03"/>
    <w:rsid w:val="647F5392"/>
    <w:rsid w:val="65E66580"/>
    <w:rsid w:val="664B1D71"/>
    <w:rsid w:val="664B4E8E"/>
    <w:rsid w:val="67277B67"/>
    <w:rsid w:val="67AA3209"/>
    <w:rsid w:val="698D0931"/>
    <w:rsid w:val="6A7FE5F3"/>
    <w:rsid w:val="6B053271"/>
    <w:rsid w:val="6B733338"/>
    <w:rsid w:val="6BA47858"/>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620E7A"/>
    <w:rsid w:val="712A28F1"/>
    <w:rsid w:val="715C0E4B"/>
    <w:rsid w:val="71992E7C"/>
    <w:rsid w:val="721D11F1"/>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9183E"/>
    <w:rsid w:val="7CFE0F48"/>
    <w:rsid w:val="7D272ABC"/>
    <w:rsid w:val="7D7EC23E"/>
    <w:rsid w:val="7DB80C59"/>
    <w:rsid w:val="7E5E246A"/>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suppressAutoHyphens w:val="0"/>
      <w:autoSpaceDE w:val="0"/>
      <w:autoSpaceDN w:val="0"/>
      <w:adjustRightInd w:val="0"/>
      <w:jc w:val="left"/>
    </w:pPr>
    <w:rPr>
      <w:rFonts w:ascii="Times New Roman" w:hAnsi="Times New Roman"/>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33</TotalTime>
  <ScaleCrop>false</ScaleCrop>
  <LinksUpToDate>false</LinksUpToDate>
  <CharactersWithSpaces>8692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2025-10-27T01:05:14Z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0AFEEE2EB0ED45BB83EBBD91F2097AC2</vt:lpwstr>
  </property>
</Properties>
</file>