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cs="宋体"/>
          <w:color w:val="auto"/>
          <w:kern w:val="2"/>
          <w:sz w:val="32"/>
          <w:szCs w:val="32"/>
          <w:highlight w:val="none"/>
          <w:lang w:val="en-US" w:eastAsia="zh-CN" w:bidi="ar-SA"/>
        </w:rPr>
      </w:pPr>
      <w:bookmarkStart w:id="0" w:name="_Toc15377193"/>
      <w:bookmarkStart w:id="1" w:name="_Toc15306267"/>
      <w:bookmarkStart w:id="2" w:name="_Toc15378441"/>
      <w:bookmarkStart w:id="3" w:name="_Toc15396475"/>
      <w:bookmarkStart w:id="4" w:name="_Toc15377425"/>
      <w:bookmarkStart w:id="5" w:name="_Toc15396597"/>
    </w:p>
    <w:p>
      <w:pPr>
        <w:pStyle w:val="8"/>
        <w:rPr>
          <w:rFonts w:hint="eastAsia" w:ascii="宋体" w:hAnsi="宋体" w:eastAsia="宋体" w:cs="宋体"/>
          <w:color w:val="auto"/>
          <w:kern w:val="2"/>
          <w:sz w:val="32"/>
          <w:szCs w:val="32"/>
          <w:highlight w:val="none"/>
          <w:lang w:val="en-US" w:eastAsia="zh-CN" w:bidi="ar-SA"/>
        </w:rPr>
      </w:pPr>
    </w:p>
    <w:p>
      <w:pPr>
        <w:pStyle w:val="8"/>
        <w:rPr>
          <w:rFonts w:hint="eastAsia" w:ascii="宋体" w:hAnsi="宋体" w:eastAsia="宋体" w:cs="宋体"/>
          <w:color w:val="auto"/>
          <w:kern w:val="2"/>
          <w:sz w:val="72"/>
          <w:szCs w:val="72"/>
          <w:highlight w:val="none"/>
          <w:lang w:val="en-US" w:eastAsia="zh-CN" w:bidi="ar-SA"/>
        </w:rPr>
      </w:pPr>
    </w:p>
    <w:p>
      <w:pPr>
        <w:pStyle w:val="8"/>
        <w:jc w:val="center"/>
        <w:rPr>
          <w:rFonts w:hint="eastAsia" w:ascii="宋体" w:hAnsi="宋体" w:eastAsia="宋体" w:cs="宋体"/>
          <w:b/>
          <w:bCs/>
          <w:color w:val="auto"/>
          <w:kern w:val="2"/>
          <w:sz w:val="72"/>
          <w:szCs w:val="72"/>
          <w:highlight w:val="none"/>
          <w:lang w:val="en-US" w:eastAsia="zh-CN" w:bidi="ar-SA"/>
        </w:rPr>
      </w:pPr>
      <w:r>
        <w:rPr>
          <w:rFonts w:hint="eastAsia" w:ascii="宋体" w:hAnsi="宋体" w:eastAsia="宋体" w:cs="宋体"/>
          <w:b/>
          <w:bCs/>
          <w:color w:val="auto"/>
          <w:kern w:val="2"/>
          <w:sz w:val="72"/>
          <w:szCs w:val="72"/>
          <w:highlight w:val="none"/>
          <w:lang w:val="en-US" w:eastAsia="zh-CN" w:bidi="ar-SA"/>
        </w:rPr>
        <w:t>2024年度</w:t>
      </w:r>
    </w:p>
    <w:p>
      <w:pPr>
        <w:pStyle w:val="8"/>
        <w:jc w:val="center"/>
        <w:rPr>
          <w:rFonts w:hint="eastAsia" w:ascii="宋体" w:hAnsi="宋体" w:eastAsia="宋体" w:cs="宋体"/>
          <w:b/>
          <w:bCs/>
          <w:color w:val="auto"/>
          <w:kern w:val="2"/>
          <w:sz w:val="72"/>
          <w:szCs w:val="72"/>
          <w:highlight w:val="none"/>
          <w:lang w:val="en-US" w:eastAsia="zh-CN" w:bidi="ar-SA"/>
        </w:rPr>
      </w:pPr>
    </w:p>
    <w:p>
      <w:pPr>
        <w:pStyle w:val="8"/>
        <w:jc w:val="center"/>
        <w:rPr>
          <w:rFonts w:hint="eastAsia" w:ascii="宋体" w:hAnsi="宋体" w:eastAsia="宋体" w:cs="宋体"/>
          <w:b/>
          <w:bCs/>
          <w:color w:val="auto"/>
          <w:kern w:val="2"/>
          <w:sz w:val="72"/>
          <w:szCs w:val="72"/>
          <w:highlight w:val="none"/>
          <w:lang w:val="en-US" w:eastAsia="zh-CN" w:bidi="ar-SA"/>
        </w:rPr>
      </w:pPr>
      <w:r>
        <w:rPr>
          <w:rFonts w:hint="eastAsia" w:ascii="宋体" w:hAnsi="宋体" w:eastAsia="宋体" w:cs="宋体"/>
          <w:b/>
          <w:bCs/>
          <w:color w:val="auto"/>
          <w:kern w:val="2"/>
          <w:sz w:val="72"/>
          <w:szCs w:val="72"/>
          <w:highlight w:val="none"/>
          <w:lang w:val="en-US" w:eastAsia="zh-CN" w:bidi="ar-SA"/>
        </w:rPr>
        <w:t>攀枝花市东区财政局</w:t>
      </w:r>
    </w:p>
    <w:p>
      <w:pPr>
        <w:pStyle w:val="8"/>
        <w:jc w:val="center"/>
        <w:rPr>
          <w:rFonts w:hint="eastAsia" w:ascii="宋体" w:hAnsi="宋体" w:eastAsia="宋体" w:cs="宋体"/>
          <w:b/>
          <w:bCs/>
          <w:color w:val="auto"/>
          <w:kern w:val="2"/>
          <w:sz w:val="72"/>
          <w:szCs w:val="72"/>
          <w:highlight w:val="none"/>
          <w:lang w:val="en-US" w:eastAsia="zh-CN" w:bidi="ar-SA"/>
        </w:rPr>
      </w:pPr>
    </w:p>
    <w:p>
      <w:pPr>
        <w:pStyle w:val="8"/>
        <w:jc w:val="center"/>
        <w:rPr>
          <w:rFonts w:hint="default" w:ascii="宋体" w:hAnsi="宋体" w:eastAsia="宋体" w:cs="宋体"/>
          <w:b/>
          <w:bCs/>
          <w:color w:val="auto"/>
          <w:kern w:val="2"/>
          <w:sz w:val="72"/>
          <w:szCs w:val="72"/>
          <w:highlight w:val="none"/>
          <w:lang w:val="en-US" w:eastAsia="zh-CN" w:bidi="ar-SA"/>
        </w:rPr>
      </w:pPr>
      <w:r>
        <w:rPr>
          <w:rFonts w:hint="eastAsia" w:ascii="宋体" w:hAnsi="宋体" w:eastAsia="宋体" w:cs="宋体"/>
          <w:b/>
          <w:bCs/>
          <w:color w:val="auto"/>
          <w:kern w:val="2"/>
          <w:sz w:val="72"/>
          <w:szCs w:val="72"/>
          <w:highlight w:val="none"/>
          <w:lang w:val="en-US" w:eastAsia="zh-CN" w:bidi="ar-SA"/>
        </w:rPr>
        <w:t>部门决算公开编制说明</w:t>
      </w: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sz w:val="32"/>
          <w:szCs w:val="32"/>
        </w:rPr>
        <mc:AlternateContent>
          <mc:Choice Requires="wps">
            <w:drawing>
              <wp:anchor distT="0" distB="0" distL="114300" distR="114300" simplePos="0" relativeHeight="251666432" behindDoc="0" locked="0" layoutInCell="1" allowOverlap="1">
                <wp:simplePos x="0" y="0"/>
                <wp:positionH relativeFrom="column">
                  <wp:posOffset>5962015</wp:posOffset>
                </wp:positionH>
                <wp:positionV relativeFrom="paragraph">
                  <wp:posOffset>397510</wp:posOffset>
                </wp:positionV>
                <wp:extent cx="1346200" cy="596900"/>
                <wp:effectExtent l="6350" t="6350" r="19050" b="6350"/>
                <wp:wrapNone/>
                <wp:docPr id="9" name="矩形 9"/>
                <wp:cNvGraphicFramePr/>
                <a:graphic xmlns:a="http://schemas.openxmlformats.org/drawingml/2006/main">
                  <a:graphicData uri="http://schemas.microsoft.com/office/word/2010/wordprocessingShape">
                    <wps:wsp>
                      <wps:cNvSpPr/>
                      <wps:spPr>
                        <a:xfrm>
                          <a:off x="0" y="0"/>
                          <a:ext cx="1346200" cy="5969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9.45pt;margin-top:31.3pt;height:47pt;width:106pt;z-index:251666432;v-text-anchor:middle;mso-width-relative:page;mso-height-relative:page;" fillcolor="#FFFFFF" filled="t" stroked="t" coordsize="21600,21600" o:gfxdata="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2A7a9gAAAALAQAADwAAAAAAAAABACAAAAAiAAAA&#10;ZHJzL2Rvd25yZXYueG1sUEsBAhQAFAAAAAgAh07iQCM4Vu55AgAAIgUAAA4AAAAAAAAAAQAgAAAA&#10;JwEAAGRycy9lMm9Eb2MueG1sUEsFBgAAAAAGAAYAWQEAABIGAAAAAA==&#10;">
                <v:fill on="t" focussize="0,0"/>
                <v:stroke weight="1pt" color="#FFFFFF" miterlimit="8" joinstyle="miter"/>
                <v:imagedata o:title=""/>
                <o:lock v:ext="edit" aspectratio="f"/>
              </v:rect>
            </w:pict>
          </mc:Fallback>
        </mc:AlternateContent>
      </w:r>
    </w:p>
    <w:p>
      <w:pPr>
        <w:pStyle w:val="8"/>
        <w:jc w:val="center"/>
        <w:rPr>
          <w:rFonts w:hint="eastAsia" w:ascii="宋体" w:hAnsi="宋体" w:eastAsia="宋体" w:cs="宋体"/>
          <w:color w:val="auto"/>
          <w:kern w:val="2"/>
          <w:sz w:val="32"/>
          <w:szCs w:val="32"/>
          <w:highlight w:val="none"/>
          <w:lang w:val="en-US" w:eastAsia="zh-CN" w:bidi="ar-SA"/>
        </w:rPr>
      </w:pPr>
    </w:p>
    <w:p>
      <w:pPr>
        <w:pStyle w:val="20"/>
        <w:rPr>
          <w:rFonts w:hint="eastAsia" w:ascii="宋体" w:hAnsi="宋体" w:eastAsia="宋体" w:cs="宋体"/>
          <w:sz w:val="32"/>
          <w:szCs w:val="32"/>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pPr>
        <w:rPr>
          <w:rFonts w:hint="eastAsia" w:ascii="宋体" w:hAnsi="宋体" w:eastAsia="宋体" w:cs="宋体"/>
          <w:sz w:val="32"/>
          <w:szCs w:val="32"/>
        </w:rPr>
      </w:pPr>
    </w:p>
    <w:bookmarkEnd w:id="0"/>
    <w:bookmarkEnd w:id="1"/>
    <w:bookmarkEnd w:id="2"/>
    <w:bookmarkEnd w:id="3"/>
    <w:bookmarkEnd w:id="4"/>
    <w:bookmarkEnd w:id="5"/>
    <w:p>
      <w:pPr>
        <w:widowControl/>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pPr>
        <w:widowControl/>
        <w:jc w:val="center"/>
        <w:rPr>
          <w:rFonts w:hint="eastAsia" w:ascii="宋体" w:hAnsi="宋体" w:eastAsia="宋体" w:cs="宋体"/>
          <w:color w:val="auto"/>
          <w:sz w:val="32"/>
          <w:szCs w:val="32"/>
          <w:highlight w:val="none"/>
        </w:rPr>
      </w:pPr>
    </w:p>
    <w:p>
      <w:pPr>
        <w:pStyle w:val="1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公开时间：20</w:t>
      </w:r>
      <w:r>
        <w:rPr>
          <w:rFonts w:hint="eastAsia" w:ascii="宋体" w:hAnsi="宋体" w:eastAsia="宋体" w:cs="宋体"/>
          <w:color w:val="auto"/>
          <w:sz w:val="32"/>
          <w:szCs w:val="32"/>
          <w:highlight w:val="none"/>
          <w:lang w:val="en-US" w:eastAsia="zh-CN"/>
        </w:rPr>
        <w:t>25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 xml:space="preserve"> 10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lang w:val="en-US" w:eastAsia="zh-CN"/>
        </w:rPr>
        <w:t xml:space="preserve">  27  </w:t>
      </w:r>
      <w:r>
        <w:rPr>
          <w:rFonts w:hint="eastAsia" w:ascii="宋体" w:hAnsi="宋体" w:eastAsia="宋体" w:cs="宋体"/>
          <w:color w:val="auto"/>
          <w:sz w:val="32"/>
          <w:szCs w:val="32"/>
          <w:highlight w:val="none"/>
        </w:rPr>
        <w:t>日</w:t>
      </w:r>
    </w:p>
    <w:p>
      <w:pPr>
        <w:rPr>
          <w:rFonts w:hint="eastAsia" w:ascii="宋体" w:hAnsi="宋体" w:eastAsia="宋体" w:cs="宋体"/>
          <w:color w:val="auto"/>
          <w:sz w:val="32"/>
          <w:szCs w:val="32"/>
          <w:highlight w:val="none"/>
        </w:rPr>
      </w:pPr>
    </w:p>
    <w:p>
      <w:pPr>
        <w:pStyle w:val="13"/>
        <w:adjustRightInd w:val="0"/>
        <w:snapToGrid w:val="0"/>
        <w:spacing w:before="0" w:line="600" w:lineRule="exact"/>
        <w:jc w:val="left"/>
        <w:rPr>
          <w:rFonts w:hint="eastAsia" w:ascii="宋体" w:hAnsi="宋体" w:eastAsia="宋体" w:cs="宋体"/>
          <w:sz w:val="32"/>
          <w:szCs w:val="32"/>
          <w:lang w:eastAsia="zh-CN"/>
        </w:rPr>
      </w:pPr>
      <w:bookmarkStart w:id="6" w:name="OLE_LINK16"/>
      <w:bookmarkStart w:id="7" w:name="_Toc15396599"/>
      <w:bookmarkStart w:id="8" w:name="_Toc15377196"/>
      <w:r>
        <w:rPr>
          <w:rFonts w:hint="eastAsia" w:ascii="宋体" w:hAnsi="宋体" w:eastAsia="宋体" w:cs="宋体"/>
          <w:sz w:val="32"/>
          <w:szCs w:val="32"/>
        </w:rPr>
        <w:t>第一部分 部门概况</w:t>
      </w:r>
      <w:r>
        <w:rPr>
          <w:rFonts w:hint="eastAsia" w:ascii="宋体" w:hAnsi="宋体" w:eastAsia="宋体" w:cs="宋体"/>
          <w:sz w:val="32"/>
          <w:szCs w:val="32"/>
        </w:rPr>
        <w:tab/>
      </w:r>
      <w:r>
        <w:rPr>
          <w:rFonts w:hint="eastAsia" w:ascii="宋体" w:hAnsi="宋体" w:eastAsia="宋体" w:cs="宋体"/>
          <w:sz w:val="32"/>
          <w:szCs w:val="32"/>
          <w:lang w:val="en-US" w:eastAsia="zh-CN"/>
        </w:rPr>
        <w:t>4</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一、部门职责</w:t>
      </w:r>
      <w:r>
        <w:rPr>
          <w:rFonts w:hint="eastAsia" w:ascii="宋体" w:hAnsi="宋体" w:eastAsia="宋体" w:cs="宋体"/>
          <w:sz w:val="32"/>
          <w:szCs w:val="32"/>
        </w:rPr>
        <w:tab/>
      </w:r>
      <w:r>
        <w:rPr>
          <w:rFonts w:hint="eastAsia" w:ascii="宋体" w:hAnsi="宋体" w:cs="宋体"/>
          <w:sz w:val="32"/>
          <w:szCs w:val="32"/>
          <w:lang w:val="en-US" w:eastAsia="zh-CN"/>
        </w:rPr>
        <w:t>4</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二、机构设置</w:t>
      </w:r>
      <w:r>
        <w:rPr>
          <w:rFonts w:hint="eastAsia" w:ascii="宋体" w:hAnsi="宋体" w:eastAsia="宋体" w:cs="宋体"/>
          <w:sz w:val="32"/>
          <w:szCs w:val="32"/>
        </w:rPr>
        <w:tab/>
      </w:r>
      <w:r>
        <w:rPr>
          <w:rFonts w:hint="eastAsia" w:ascii="宋体" w:hAnsi="宋体" w:cs="宋体"/>
          <w:sz w:val="32"/>
          <w:szCs w:val="32"/>
          <w:lang w:val="en-US" w:eastAsia="zh-CN"/>
        </w:rPr>
        <w:t>7</w:t>
      </w:r>
    </w:p>
    <w:p>
      <w:pPr>
        <w:pStyle w:val="13"/>
        <w:adjustRightInd w:val="0"/>
        <w:snapToGrid w:val="0"/>
        <w:spacing w:before="0"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第二部分 2024年度部门决算情况说明</w:t>
      </w:r>
      <w:r>
        <w:rPr>
          <w:rFonts w:hint="eastAsia" w:ascii="宋体" w:hAnsi="宋体" w:eastAsia="宋体" w:cs="宋体"/>
          <w:sz w:val="32"/>
          <w:szCs w:val="32"/>
        </w:rPr>
        <w:tab/>
      </w:r>
      <w:r>
        <w:rPr>
          <w:rFonts w:hint="eastAsia" w:ascii="宋体" w:hAnsi="宋体" w:eastAsia="宋体" w:cs="宋体"/>
          <w:sz w:val="32"/>
          <w:szCs w:val="32"/>
          <w:lang w:val="en-US" w:eastAsia="zh-CN"/>
        </w:rPr>
        <w:t>8</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一、收入支出决算总体情况说明</w:t>
      </w:r>
      <w:r>
        <w:rPr>
          <w:rFonts w:hint="eastAsia" w:ascii="宋体" w:hAnsi="宋体" w:eastAsia="宋体" w:cs="宋体"/>
          <w:sz w:val="32"/>
          <w:szCs w:val="32"/>
        </w:rPr>
        <w:tab/>
      </w:r>
      <w:r>
        <w:rPr>
          <w:rFonts w:hint="eastAsia" w:ascii="宋体" w:hAnsi="宋体" w:cs="宋体"/>
          <w:sz w:val="32"/>
          <w:szCs w:val="32"/>
          <w:lang w:val="en-US" w:eastAsia="zh-CN"/>
        </w:rPr>
        <w:t>8</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二、收入决算情况说明</w:t>
      </w:r>
      <w:r>
        <w:rPr>
          <w:rFonts w:hint="eastAsia" w:ascii="宋体" w:hAnsi="宋体" w:eastAsia="宋体" w:cs="宋体"/>
          <w:sz w:val="32"/>
          <w:szCs w:val="32"/>
        </w:rPr>
        <w:tab/>
      </w:r>
      <w:r>
        <w:rPr>
          <w:rFonts w:hint="eastAsia" w:ascii="宋体" w:hAnsi="宋体" w:cs="宋体"/>
          <w:sz w:val="32"/>
          <w:szCs w:val="32"/>
          <w:lang w:val="en-US" w:eastAsia="zh-CN"/>
        </w:rPr>
        <w:t>9</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三、支出决算情况说明</w:t>
      </w:r>
      <w:r>
        <w:rPr>
          <w:rFonts w:hint="eastAsia" w:ascii="宋体" w:hAnsi="宋体" w:eastAsia="宋体" w:cs="宋体"/>
          <w:sz w:val="32"/>
          <w:szCs w:val="32"/>
        </w:rPr>
        <w:tab/>
      </w:r>
      <w:r>
        <w:rPr>
          <w:rFonts w:hint="eastAsia" w:ascii="宋体" w:hAnsi="宋体" w:cs="宋体"/>
          <w:sz w:val="32"/>
          <w:szCs w:val="32"/>
          <w:lang w:val="en-US" w:eastAsia="zh-CN"/>
        </w:rPr>
        <w:t>9</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四、财政拨款收入支出决算总体情况说明</w:t>
      </w:r>
      <w:r>
        <w:rPr>
          <w:rFonts w:hint="eastAsia" w:ascii="宋体" w:hAnsi="宋体" w:eastAsia="宋体" w:cs="宋体"/>
          <w:sz w:val="32"/>
          <w:szCs w:val="32"/>
        </w:rPr>
        <w:tab/>
      </w:r>
      <w:r>
        <w:rPr>
          <w:rFonts w:hint="eastAsia" w:ascii="宋体" w:hAnsi="宋体" w:cs="宋体"/>
          <w:sz w:val="32"/>
          <w:szCs w:val="32"/>
          <w:lang w:val="en-US" w:eastAsia="zh-CN"/>
        </w:rPr>
        <w:t>10</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五、一般公共预算财政拨款支出决算情况说明</w:t>
      </w:r>
      <w:r>
        <w:rPr>
          <w:rFonts w:hint="eastAsia" w:ascii="宋体" w:hAnsi="宋体" w:eastAsia="宋体" w:cs="宋体"/>
          <w:sz w:val="32"/>
          <w:szCs w:val="32"/>
        </w:rPr>
        <w:tab/>
      </w:r>
      <w:r>
        <w:rPr>
          <w:rFonts w:hint="eastAsia" w:ascii="宋体" w:hAnsi="宋体" w:cs="宋体"/>
          <w:sz w:val="32"/>
          <w:szCs w:val="32"/>
          <w:lang w:val="en-US" w:eastAsia="zh-CN"/>
        </w:rPr>
        <w:t>11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六、一般公共预算财政拨款基本支出决算情况说明</w:t>
      </w:r>
      <w:r>
        <w:rPr>
          <w:rFonts w:hint="eastAsia" w:ascii="宋体" w:hAnsi="宋体" w:eastAsia="宋体" w:cs="宋体"/>
          <w:sz w:val="32"/>
          <w:szCs w:val="32"/>
        </w:rPr>
        <w:tab/>
      </w:r>
      <w:r>
        <w:rPr>
          <w:rFonts w:hint="eastAsia" w:ascii="宋体" w:hAnsi="宋体" w:cs="宋体"/>
          <w:sz w:val="32"/>
          <w:szCs w:val="32"/>
          <w:lang w:val="en-US" w:eastAsia="zh-CN"/>
        </w:rPr>
        <w:t>13</w:t>
      </w:r>
    </w:p>
    <w:p>
      <w:pPr>
        <w:pStyle w:val="14"/>
        <w:adjustRightInd w:val="0"/>
        <w:snapToGrid w:val="0"/>
        <w:spacing w:line="600" w:lineRule="exact"/>
        <w:jc w:val="left"/>
        <w:rPr>
          <w:rFonts w:hint="eastAsia" w:ascii="宋体" w:hAnsi="宋体" w:eastAsia="宋体" w:cs="宋体"/>
          <w:sz w:val="32"/>
          <w:szCs w:val="32"/>
          <w:lang w:val="en-US" w:eastAsia="zh-CN"/>
        </w:rPr>
      </w:pPr>
      <w:r>
        <w:rPr>
          <w:rFonts w:hint="eastAsia" w:ascii="宋体" w:hAnsi="宋体" w:eastAsia="宋体" w:cs="宋体"/>
          <w:sz w:val="32"/>
          <w:szCs w:val="32"/>
        </w:rPr>
        <w:t>七、财政拨款“三公”经费支出决算情况说明</w:t>
      </w:r>
      <w:r>
        <w:rPr>
          <w:rFonts w:hint="eastAsia" w:ascii="宋体" w:hAnsi="宋体" w:eastAsia="宋体" w:cs="宋体"/>
          <w:sz w:val="32"/>
          <w:szCs w:val="32"/>
        </w:rPr>
        <w:tab/>
      </w:r>
      <w:r>
        <w:rPr>
          <w:rFonts w:hint="eastAsia" w:ascii="宋体" w:hAnsi="宋体" w:eastAsia="宋体" w:cs="宋体"/>
          <w:sz w:val="32"/>
          <w:szCs w:val="32"/>
        </w:rPr>
        <w:t>1</w:t>
      </w:r>
      <w:r>
        <w:rPr>
          <w:rFonts w:hint="eastAsia" w:ascii="宋体" w:hAnsi="宋体" w:cs="宋体"/>
          <w:sz w:val="32"/>
          <w:szCs w:val="32"/>
          <w:lang w:val="en-US" w:eastAsia="zh-CN"/>
        </w:rPr>
        <w:t>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八、政府性基金预算支出决算情况说明</w:t>
      </w:r>
      <w:r>
        <w:rPr>
          <w:rFonts w:hint="eastAsia" w:ascii="宋体" w:hAnsi="宋体" w:eastAsia="宋体" w:cs="宋体"/>
          <w:sz w:val="32"/>
          <w:szCs w:val="32"/>
        </w:rPr>
        <w:tab/>
      </w:r>
      <w:r>
        <w:rPr>
          <w:rFonts w:hint="eastAsia" w:ascii="宋体" w:hAnsi="宋体" w:cs="宋体"/>
          <w:sz w:val="32"/>
          <w:szCs w:val="32"/>
          <w:lang w:val="en-US" w:eastAsia="zh-CN"/>
        </w:rPr>
        <w:t>16</w:t>
      </w:r>
    </w:p>
    <w:p>
      <w:pPr>
        <w:pStyle w:val="14"/>
        <w:adjustRightInd w:val="0"/>
        <w:snapToGrid w:val="0"/>
        <w:spacing w:line="600" w:lineRule="exact"/>
        <w:ind w:leftChars="0"/>
        <w:jc w:val="left"/>
        <w:rPr>
          <w:rFonts w:hint="eastAsia" w:ascii="宋体" w:hAnsi="宋体" w:eastAsia="宋体" w:cs="宋体"/>
          <w:sz w:val="32"/>
          <w:szCs w:val="32"/>
          <w:lang w:eastAsia="zh-CN"/>
        </w:rPr>
      </w:pPr>
      <w:r>
        <w:rPr>
          <w:rFonts w:hint="eastAsia" w:ascii="宋体" w:hAnsi="宋体" w:eastAsia="宋体" w:cs="宋体"/>
          <w:sz w:val="32"/>
          <w:szCs w:val="32"/>
        </w:rPr>
        <w:t>九、国有资本经营预算支出决算情况说明</w:t>
      </w:r>
      <w:r>
        <w:rPr>
          <w:rFonts w:hint="eastAsia" w:ascii="宋体" w:hAnsi="宋体" w:eastAsia="宋体" w:cs="宋体"/>
          <w:sz w:val="32"/>
          <w:szCs w:val="32"/>
        </w:rPr>
        <w:tab/>
      </w:r>
      <w:r>
        <w:rPr>
          <w:rFonts w:hint="eastAsia" w:ascii="宋体" w:hAnsi="宋体" w:eastAsia="宋体" w:cs="宋体"/>
          <w:sz w:val="32"/>
          <w:szCs w:val="32"/>
        </w:rPr>
        <w:t>1</w:t>
      </w:r>
      <w:r>
        <w:rPr>
          <w:rFonts w:hint="eastAsia" w:ascii="宋体" w:hAnsi="宋体" w:cs="宋体"/>
          <w:sz w:val="32"/>
          <w:szCs w:val="32"/>
          <w:lang w:val="en-US" w:eastAsia="zh-CN"/>
        </w:rPr>
        <w:t>6</w:t>
      </w:r>
    </w:p>
    <w:p>
      <w:pPr>
        <w:pStyle w:val="14"/>
        <w:adjustRightInd w:val="0"/>
        <w:snapToGrid w:val="0"/>
        <w:spacing w:line="600" w:lineRule="exact"/>
        <w:jc w:val="left"/>
        <w:rPr>
          <w:rFonts w:hint="eastAsia" w:ascii="宋体" w:hAnsi="宋体" w:eastAsia="宋体" w:cs="宋体"/>
          <w:sz w:val="32"/>
          <w:szCs w:val="32"/>
          <w:lang w:val="en-US" w:eastAsia="zh-CN"/>
        </w:rPr>
      </w:pPr>
      <w:r>
        <w:rPr>
          <w:rFonts w:hint="eastAsia" w:ascii="宋体" w:hAnsi="宋体" w:eastAsia="宋体" w:cs="宋体"/>
          <w:sz w:val="32"/>
          <w:szCs w:val="32"/>
        </w:rPr>
        <w:t>十、其他重要事项的情况说明</w:t>
      </w:r>
      <w:r>
        <w:rPr>
          <w:rFonts w:hint="eastAsia" w:ascii="宋体" w:hAnsi="宋体" w:eastAsia="宋体" w:cs="宋体"/>
          <w:sz w:val="32"/>
          <w:szCs w:val="32"/>
        </w:rPr>
        <w:tab/>
      </w:r>
      <w:r>
        <w:rPr>
          <w:rFonts w:hint="eastAsia" w:ascii="宋体" w:hAnsi="宋体" w:eastAsia="宋体" w:cs="宋体"/>
          <w:sz w:val="32"/>
          <w:szCs w:val="32"/>
        </w:rPr>
        <w:t>1</w:t>
      </w:r>
      <w:r>
        <w:rPr>
          <w:rFonts w:hint="eastAsia" w:ascii="宋体" w:hAnsi="宋体" w:cs="宋体"/>
          <w:sz w:val="32"/>
          <w:szCs w:val="32"/>
          <w:lang w:val="en-US" w:eastAsia="zh-CN"/>
        </w:rPr>
        <w:t>7</w:t>
      </w:r>
    </w:p>
    <w:p>
      <w:pPr>
        <w:pStyle w:val="13"/>
        <w:adjustRightInd w:val="0"/>
        <w:snapToGrid w:val="0"/>
        <w:spacing w:before="0"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第三部分 名词解释</w:t>
      </w:r>
      <w:r>
        <w:rPr>
          <w:rFonts w:hint="eastAsia" w:ascii="宋体" w:hAnsi="宋体" w:eastAsia="宋体" w:cs="宋体"/>
          <w:sz w:val="32"/>
          <w:szCs w:val="32"/>
        </w:rPr>
        <w:tab/>
      </w:r>
      <w:r>
        <w:rPr>
          <w:rFonts w:hint="eastAsia" w:ascii="宋体" w:hAnsi="宋体" w:eastAsia="宋体" w:cs="宋体"/>
          <w:sz w:val="32"/>
          <w:szCs w:val="32"/>
          <w:lang w:val="en-US" w:eastAsia="zh-CN"/>
        </w:rPr>
        <w:t>19</w:t>
      </w:r>
    </w:p>
    <w:p>
      <w:pPr>
        <w:pStyle w:val="13"/>
        <w:adjustRightInd w:val="0"/>
        <w:snapToGrid w:val="0"/>
        <w:spacing w:before="0" w:line="600" w:lineRule="exact"/>
        <w:jc w:val="left"/>
        <w:rPr>
          <w:rFonts w:hint="eastAsia" w:ascii="宋体" w:hAnsi="宋体" w:eastAsia="宋体" w:cs="宋体"/>
          <w:sz w:val="32"/>
          <w:szCs w:val="32"/>
        </w:rPr>
      </w:pPr>
      <w:r>
        <w:rPr>
          <w:rFonts w:hint="eastAsia" w:ascii="宋体" w:hAnsi="宋体" w:eastAsia="宋体" w:cs="宋体"/>
          <w:sz w:val="32"/>
          <w:szCs w:val="32"/>
        </w:rPr>
        <w:t>第四部分 附件</w:t>
      </w:r>
      <w:r>
        <w:rPr>
          <w:rFonts w:hint="eastAsia" w:ascii="宋体" w:hAnsi="宋体" w:eastAsia="宋体" w:cs="宋体"/>
          <w:sz w:val="32"/>
          <w:szCs w:val="32"/>
        </w:rPr>
        <w:tab/>
      </w:r>
      <w:r>
        <w:rPr>
          <w:rFonts w:hint="eastAsia" w:ascii="宋体" w:hAnsi="宋体" w:eastAsia="宋体" w:cs="宋体"/>
          <w:sz w:val="32"/>
          <w:szCs w:val="32"/>
        </w:rPr>
        <w:t>23</w:t>
      </w:r>
    </w:p>
    <w:p>
      <w:pPr>
        <w:pStyle w:val="13"/>
        <w:adjustRightInd w:val="0"/>
        <w:snapToGrid w:val="0"/>
        <w:spacing w:before="0"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第五部分 附表</w:t>
      </w:r>
      <w:r>
        <w:rPr>
          <w:rFonts w:hint="eastAsia" w:ascii="宋体" w:hAnsi="宋体" w:eastAsia="宋体" w:cs="宋体"/>
          <w:sz w:val="32"/>
          <w:szCs w:val="32"/>
        </w:rPr>
        <w:tab/>
      </w:r>
      <w:bookmarkStart w:id="9" w:name="OLE_LINK13"/>
      <w:r>
        <w:rPr>
          <w:rFonts w:hint="eastAsia" w:ascii="宋体" w:hAnsi="宋体" w:eastAsia="宋体" w:cs="宋体"/>
          <w:sz w:val="32"/>
          <w:szCs w:val="32"/>
          <w:lang w:val="en-US" w:eastAsia="zh-CN"/>
        </w:rPr>
        <w:t>34</w:t>
      </w:r>
      <w:bookmarkEnd w:id="9"/>
    </w:p>
    <w:p>
      <w:pPr>
        <w:pStyle w:val="14"/>
        <w:adjustRightInd w:val="0"/>
        <w:snapToGrid w:val="0"/>
        <w:spacing w:line="600" w:lineRule="exact"/>
        <w:jc w:val="left"/>
        <w:rPr>
          <w:rFonts w:hint="eastAsia" w:ascii="宋体" w:hAnsi="宋体" w:eastAsia="宋体" w:cs="宋体"/>
          <w:sz w:val="32"/>
          <w:szCs w:val="32"/>
        </w:rPr>
      </w:pPr>
      <w:r>
        <w:rPr>
          <w:rFonts w:hint="eastAsia" w:ascii="宋体" w:hAnsi="宋体" w:eastAsia="宋体" w:cs="宋体"/>
          <w:sz w:val="32"/>
          <w:szCs w:val="32"/>
        </w:rPr>
        <w:t>一、收入支出决算总表</w:t>
      </w:r>
      <w:r>
        <w:rPr>
          <w:rFonts w:hint="eastAsia" w:ascii="宋体" w:hAnsi="宋体" w:eastAsia="宋体" w:cs="宋体"/>
          <w:sz w:val="32"/>
          <w:szCs w:val="32"/>
        </w:rPr>
        <w:tab/>
      </w:r>
      <w:r>
        <w:rPr>
          <w:rFonts w:hint="eastAsia" w:ascii="宋体" w:hAnsi="宋体" w:eastAsia="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二、收入决算表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三、支出决算表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四、财政拨款收入支出决算总表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五、财政拨款支出决算明细表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六、一般公共预算财政拨款支出决算表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七、一般公共预算财政拨款支出决算明细表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八、一般公共预算财政拨款基本支出决算明细表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九、一般公共预算财政拨款项目支出决算表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十、政府性基金预算财政拨款收入支出决算表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十一、国有资本经营预算财政拨款收入支出决算表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十二、国有资本经营预算财政拨款支出决算表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十三、财政拨款“三公”经费支出决算表</w:t>
      </w:r>
      <w:r>
        <w:rPr>
          <w:rFonts w:hint="eastAsia" w:ascii="宋体" w:hAnsi="宋体" w:eastAsia="宋体" w:cs="宋体"/>
          <w:sz w:val="32"/>
          <w:szCs w:val="32"/>
        </w:rPr>
        <w:tab/>
      </w:r>
      <w:r>
        <w:rPr>
          <w:rFonts w:hint="eastAsia" w:ascii="宋体" w:hAnsi="宋体" w:cs="宋体"/>
          <w:sz w:val="32"/>
          <w:szCs w:val="32"/>
          <w:lang w:val="en-US" w:eastAsia="zh-CN"/>
        </w:rPr>
        <w:t>34</w:t>
      </w:r>
    </w:p>
    <w:p>
      <w:pPr>
        <w:pStyle w:val="2"/>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bookmarkEnd w:id="6"/>
    <w:p>
      <w:pPr>
        <w:pStyle w:val="3"/>
        <w:rPr>
          <w:rFonts w:hint="eastAsia" w:ascii="宋体" w:hAnsi="宋体" w:eastAsia="宋体" w:cs="宋体"/>
          <w:b/>
          <w:bCs/>
          <w:color w:val="auto"/>
          <w:sz w:val="32"/>
          <w:szCs w:val="32"/>
          <w:highlight w:val="none"/>
          <w:lang w:eastAsia="zh-CN"/>
        </w:rPr>
      </w:pP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5"/>
        <w:numPr>
          <w:ilvl w:val="0"/>
          <w:numId w:val="1"/>
        </w:numPr>
        <w:jc w:val="center"/>
        <w:rPr>
          <w:rStyle w:val="29"/>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 xml:space="preserve"> </w:t>
      </w:r>
      <w:r>
        <w:rPr>
          <w:rStyle w:val="29"/>
          <w:rFonts w:hint="eastAsia" w:ascii="宋体" w:hAnsi="宋体" w:eastAsia="宋体" w:cs="宋体"/>
          <w:b/>
          <w:bCs w:val="0"/>
          <w:color w:val="auto"/>
          <w:sz w:val="44"/>
          <w:szCs w:val="44"/>
          <w:highlight w:val="none"/>
        </w:rPr>
        <w:t>部门概况</w:t>
      </w:r>
      <w:bookmarkEnd w:id="7"/>
      <w:bookmarkEnd w:id="8"/>
    </w:p>
    <w:p>
      <w:pPr>
        <w:numPr>
          <w:ilvl w:val="0"/>
          <w:numId w:val="0"/>
        </w:numPr>
        <w:rPr>
          <w:rFonts w:hint="eastAsia" w:ascii="宋体" w:hAnsi="宋体" w:eastAsia="宋体" w:cs="宋体"/>
          <w:b/>
          <w:bCs w:val="0"/>
          <w:sz w:val="32"/>
          <w:szCs w:val="32"/>
          <w:lang w:val="en-US" w:eastAsia="zh-CN"/>
        </w:rPr>
      </w:pPr>
      <w:bookmarkStart w:id="10" w:name="OLE_LINK6"/>
      <w:r>
        <w:rPr>
          <w:rFonts w:hint="eastAsia" w:ascii="宋体" w:hAnsi="宋体" w:eastAsia="宋体" w:cs="宋体"/>
          <w:b/>
          <w:bCs w:val="0"/>
          <w:sz w:val="32"/>
          <w:szCs w:val="32"/>
          <w:lang w:val="en-US" w:eastAsia="zh-CN"/>
        </w:rPr>
        <w:t>一、部门职责</w:t>
      </w:r>
    </w:p>
    <w:bookmarkEnd w:id="10"/>
    <w:p>
      <w:pPr>
        <w:pStyle w:val="15"/>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sz w:val="32"/>
          <w:szCs w:val="32"/>
          <w:highlight w:val="none"/>
        </w:rPr>
        <w:t>东</w:t>
      </w:r>
      <w:r>
        <w:rPr>
          <w:rFonts w:hint="eastAsia" w:ascii="宋体" w:hAnsi="宋体" w:eastAsia="宋体" w:cs="宋体"/>
          <w:color w:val="333333"/>
          <w:sz w:val="32"/>
          <w:szCs w:val="32"/>
          <w:highlight w:val="none"/>
        </w:rPr>
        <w:t>区财政局贯彻落实党中央关于财经工作、国有资产管理工作和金融工作的方针政策和省、市、区委的决策部署，在履行职责过程中坚持和加强党对财政工作的集中统一领导。主要职责是：</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bookmarkStart w:id="11" w:name="_Hlk180138282"/>
      <w:r>
        <w:rPr>
          <w:rFonts w:hint="eastAsia" w:ascii="宋体" w:hAnsi="宋体" w:eastAsia="宋体" w:cs="宋体"/>
          <w:color w:val="333333"/>
          <w:sz w:val="32"/>
          <w:szCs w:val="32"/>
          <w:highlight w:val="none"/>
        </w:rPr>
        <w:t>1、拟订全区财税发展战略、规划、政策和改革方案并组织实施。分析预测宏观经济形势，参与制定各项经济政策，提出运用财税政策实施宏观调控和综合平衡社会财力的建议。拟订区与乡(镇)政府、政府与企业的分配政策，完善鼓励公益事业发展的财税政策。</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2、贯彻执行财政、税收、财务、会计管理的法律法规和规章。负责组织起草地方性财政政策、规范性文件和规章制度并组织实施。按照管理权限管理全区税政事项。承办国务院关税税则委员会办公室要求区一级承担的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3、负责管理各项财政收支。编制年度区级预决算草案并组织执行。组织制定经费开支标准、定额，审核批复部门(单位)年度预决算。受区政府委托，向区人大及其常委会报告财政预算、执行和决算等情况。负责政府建立的各类基金、风险金、分险金的监督管理。负责区级预决算公开。负责全面实施预算绩效管理。</w:t>
      </w:r>
    </w:p>
    <w:p>
      <w:pPr>
        <w:pStyle w:val="2"/>
        <w:rPr>
          <w:rFonts w:hint="eastAsia" w:ascii="宋体" w:hAnsi="宋体" w:eastAsia="宋体" w:cs="宋体"/>
          <w:color w:val="333333"/>
          <w:sz w:val="32"/>
          <w:szCs w:val="32"/>
          <w:highlight w:val="none"/>
        </w:rPr>
      </w:pPr>
    </w:p>
    <w:p>
      <w:pPr>
        <w:pStyle w:val="3"/>
        <w:rPr>
          <w:rFonts w:hint="eastAsia"/>
        </w:rPr>
      </w:pP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4、按分工负责政府非税收入管理。负责政府性基金管理，按规定管理行政事业性收费等其他非税收入。管理财政票据。执行彩票管理政策，按规定管理彩票资金。</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5、组织制定全区国库管理制度、国库集中收付制度，指导和监督国库业务，开展国库现金管理工作。贯彻执行政府财务报告编制办法并组织实施。监督管理全区政府采购工作。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6、贯彻执行地方政府债务管理制度和政策，制定具体管理办法，编制地方政府债余额限额计划，统一管理政府外债，防范财政风险。</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7、牵头编制全区国有资产管理情况报告。根据区政府授权，集中统一履行区级国有金融资本出资人职责。制定区级国有金融资本管理制度。拟订全区行政事业单位国有资产管理制度并组织实施。制定和监督执行统一规定的开支标准和支出政策。</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8、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9、负责审核并汇总编制全区社会保险基金预决算草案，会同有关部门拟订有关资金(基金)财务管理制度，承担社会保险基金财政监管工作。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10、负责办理和监督区级财政的经济发展支出、区级政府性投资项目的财政拨款，负责投资评审管理工作，参与拟订区级基建投资有关政策，监督执行基建财务管理制度。负责政府性投资项目竣工决算、结算管理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11、管理外国政府和国际金融机构贷(赠)款项目的有关业务，参与财经领域的国际交流与合作。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12、负责管理全区会计工作，监督和规范会计行为，组织实施国家统一的会计制度，指导社会审计。依法管理资产评估有关工作。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13、拟定和执行国有资产管理的政策法规、规章制度和管理办法；负责全区行政事业单位国有资产及国有资产经营收益管理工作；组织实施行政事业单位、国有资产及区属企业资产的清产核资和绩效评价工作；组织实施区级行政事业单位及企业国有产权界定、企业国有资产产权界定和转让工作，监缴国有资产收益；负责国有资产及区属国有企业资产的统计、分析；指导和监督行政事业单位、区属国有企业资产的产权界定、清查登记等工作；指导和监督办理执行《企业财务通则》和相关财务会计制度，参与拟定企业国有资产管理相关制度。</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14、负责联系协调全区金融机构，推动地方政府与金融机构合作交流，防控金融风险、深化金融改革。负责全区小额贷款公司、融资担保公司、典当行、融资租赁公司等监管；维护地方金融秩序，牵头会同有关部门防范、化解和处置地方金融风险；牵头处置非法集资、协调配合有关部门打击其他非法金融活动；推进全区金融知识宣传普及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15、负责职责范围内的安全生产和职业健康、生态环境保护、审批服务便民化等工作。按省、市要求，指导推进相对集中行政许可权改革。</w:t>
      </w:r>
    </w:p>
    <w:p>
      <w:pPr>
        <w:spacing w:line="360" w:lineRule="auto"/>
        <w:ind w:firstLine="720" w:firstLineChars="225"/>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16、完成区委、区政府交办的其他任务。</w:t>
      </w:r>
    </w:p>
    <w:bookmarkEnd w:id="11"/>
    <w:p>
      <w:pPr>
        <w:spacing w:line="360" w:lineRule="auto"/>
        <w:ind w:firstLine="720" w:firstLineChars="225"/>
        <w:rPr>
          <w:rFonts w:hint="eastAsia" w:ascii="宋体" w:hAnsi="宋体" w:eastAsia="宋体" w:cs="宋体"/>
          <w:sz w:val="32"/>
          <w:szCs w:val="32"/>
          <w:highlight w:val="none"/>
        </w:rPr>
      </w:pPr>
      <w:r>
        <w:rPr>
          <w:rFonts w:hint="eastAsia" w:ascii="宋体" w:hAnsi="宋体" w:eastAsia="宋体" w:cs="宋体"/>
          <w:sz w:val="32"/>
          <w:szCs w:val="32"/>
          <w:highlight w:val="none"/>
        </w:rPr>
        <w:t>17、配合业务科室管理区级国库单一账户体系，按照规定程序为预算单位开设零余额账户，负责相关会计核算，编报会计报表。</w:t>
      </w:r>
    </w:p>
    <w:p>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18、根据批复的预算单位资金款计划，具体办理财政支付业务。</w:t>
      </w:r>
    </w:p>
    <w:p>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19、建立财政资金汇总和财政资金清算管理系统，处理预算单位的支出信息及其他经济信息。</w:t>
      </w:r>
    </w:p>
    <w:p>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20、定期与业务科室、代理银行、预算单位核对账务，提供财政资金支付和清算信息，报告财政资金支付情况。</w:t>
      </w:r>
    </w:p>
    <w:p>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21、审核、汇总区本级部门决算。</w:t>
      </w:r>
    </w:p>
    <w:p>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22、管理区级财政直发工资账户、办理区级预算单位工资及离退休费的直接支付。</w:t>
      </w:r>
    </w:p>
    <w:p>
      <w:pPr>
        <w:pStyle w:val="6"/>
        <w:rPr>
          <w:rStyle w:val="30"/>
          <w:rFonts w:hint="eastAsia" w:ascii="宋体" w:hAnsi="宋体" w:eastAsia="宋体" w:cs="宋体"/>
          <w:b/>
          <w:bCs w:val="0"/>
          <w:color w:val="auto"/>
          <w:sz w:val="32"/>
          <w:szCs w:val="32"/>
          <w:highlight w:val="none"/>
        </w:rPr>
      </w:pPr>
      <w:bookmarkStart w:id="12" w:name="_Toc15396601"/>
      <w:bookmarkStart w:id="13" w:name="_Toc15377200"/>
      <w:r>
        <w:rPr>
          <w:rFonts w:hint="eastAsia" w:ascii="宋体" w:hAnsi="宋体" w:eastAsia="宋体" w:cs="宋体"/>
          <w:b/>
          <w:bCs w:val="0"/>
          <w:color w:val="auto"/>
          <w:sz w:val="32"/>
          <w:szCs w:val="32"/>
          <w:highlight w:val="none"/>
        </w:rPr>
        <w:t>二、机</w:t>
      </w:r>
      <w:r>
        <w:rPr>
          <w:rStyle w:val="30"/>
          <w:rFonts w:hint="eastAsia" w:ascii="宋体" w:hAnsi="宋体" w:eastAsia="宋体" w:cs="宋体"/>
          <w:b/>
          <w:bCs w:val="0"/>
          <w:color w:val="auto"/>
          <w:sz w:val="32"/>
          <w:szCs w:val="32"/>
          <w:highlight w:val="none"/>
        </w:rPr>
        <w:t>构设置</w:t>
      </w:r>
      <w:bookmarkEnd w:id="12"/>
      <w:bookmarkEnd w:id="13"/>
    </w:p>
    <w:p>
      <w:pPr>
        <w:spacing w:before="201" w:line="332" w:lineRule="auto"/>
        <w:ind w:right="156" w:firstLine="659"/>
        <w:rPr>
          <w:rFonts w:hint="eastAsia" w:ascii="宋体" w:hAnsi="宋体" w:eastAsia="宋体" w:cs="宋体"/>
          <w:sz w:val="32"/>
          <w:szCs w:val="32"/>
          <w:highlight w:val="none"/>
        </w:rPr>
      </w:pPr>
      <w:bookmarkStart w:id="14" w:name="OLE_LINK4"/>
      <w:r>
        <w:rPr>
          <w:rFonts w:hint="eastAsia" w:ascii="宋体" w:hAnsi="宋体" w:eastAsia="宋体" w:cs="宋体"/>
          <w:sz w:val="32"/>
          <w:szCs w:val="32"/>
          <w:highlight w:val="none"/>
        </w:rPr>
        <w:t>东区财政局</w:t>
      </w:r>
      <w:bookmarkEnd w:id="14"/>
      <w:r>
        <w:rPr>
          <w:rFonts w:hint="eastAsia" w:ascii="宋体" w:hAnsi="宋体" w:eastAsia="宋体" w:cs="宋体"/>
          <w:sz w:val="32"/>
          <w:szCs w:val="32"/>
          <w:highlight w:val="none"/>
        </w:rPr>
        <w:t>属于一级预算</w:t>
      </w:r>
      <w:r>
        <w:rPr>
          <w:rFonts w:hint="eastAsia" w:ascii="宋体" w:hAnsi="宋体" w:eastAsia="宋体" w:cs="宋体"/>
          <w:sz w:val="32"/>
          <w:szCs w:val="32"/>
          <w:highlight w:val="none"/>
          <w:lang w:val="en-US" w:eastAsia="zh-CN"/>
        </w:rPr>
        <w:t>部门</w:t>
      </w:r>
      <w:r>
        <w:rPr>
          <w:rFonts w:hint="eastAsia" w:ascii="宋体" w:hAnsi="宋体" w:eastAsia="宋体" w:cs="宋体"/>
          <w:sz w:val="32"/>
          <w:szCs w:val="32"/>
          <w:highlight w:val="none"/>
        </w:rPr>
        <w:t>，</w:t>
      </w:r>
      <w:r>
        <w:rPr>
          <w:rFonts w:hint="eastAsia" w:ascii="宋体" w:hAnsi="宋体" w:eastAsia="宋体" w:cs="宋体"/>
          <w:snapToGrid w:val="0"/>
          <w:color w:val="000000"/>
          <w:spacing w:val="2"/>
          <w:kern w:val="0"/>
          <w:sz w:val="32"/>
          <w:szCs w:val="32"/>
          <w:highlight w:val="none"/>
        </w:rPr>
        <w:t>下属</w:t>
      </w:r>
      <w:r>
        <w:rPr>
          <w:rFonts w:hint="eastAsia" w:ascii="宋体" w:hAnsi="宋体" w:eastAsia="宋体" w:cs="宋体"/>
          <w:snapToGrid w:val="0"/>
          <w:color w:val="000000"/>
          <w:spacing w:val="2"/>
          <w:kern w:val="0"/>
          <w:sz w:val="32"/>
          <w:szCs w:val="32"/>
          <w:highlight w:val="none"/>
          <w:lang w:val="en-US" w:eastAsia="zh-CN"/>
        </w:rPr>
        <w:t>二级</w:t>
      </w:r>
      <w:r>
        <w:rPr>
          <w:rFonts w:hint="eastAsia" w:ascii="宋体" w:hAnsi="宋体" w:eastAsia="宋体" w:cs="宋体"/>
          <w:snapToGrid w:val="0"/>
          <w:color w:val="000000"/>
          <w:spacing w:val="2"/>
          <w:kern w:val="0"/>
          <w:sz w:val="32"/>
          <w:szCs w:val="32"/>
          <w:highlight w:val="none"/>
        </w:rPr>
        <w:t>预算单位</w:t>
      </w:r>
      <w:r>
        <w:rPr>
          <w:rFonts w:hint="eastAsia" w:ascii="宋体" w:hAnsi="宋体" w:eastAsia="宋体" w:cs="宋体"/>
          <w:snapToGrid w:val="0"/>
          <w:color w:val="000000"/>
          <w:spacing w:val="-32"/>
          <w:kern w:val="0"/>
          <w:sz w:val="32"/>
          <w:szCs w:val="32"/>
          <w:highlight w:val="none"/>
          <w:lang w:val="en-US" w:eastAsia="zh-CN"/>
        </w:rPr>
        <w:t>2</w:t>
      </w:r>
      <w:r>
        <w:rPr>
          <w:rFonts w:hint="eastAsia" w:ascii="宋体" w:hAnsi="宋体" w:eastAsia="宋体" w:cs="宋体"/>
          <w:snapToGrid w:val="0"/>
          <w:color w:val="000000"/>
          <w:spacing w:val="-60"/>
          <w:kern w:val="0"/>
          <w:sz w:val="32"/>
          <w:szCs w:val="32"/>
          <w:highlight w:val="none"/>
        </w:rPr>
        <w:t xml:space="preserve"> </w:t>
      </w:r>
      <w:r>
        <w:rPr>
          <w:rFonts w:hint="eastAsia" w:ascii="宋体" w:hAnsi="宋体" w:eastAsia="宋体" w:cs="宋体"/>
          <w:snapToGrid w:val="0"/>
          <w:color w:val="000000"/>
          <w:spacing w:val="2"/>
          <w:kern w:val="0"/>
          <w:sz w:val="32"/>
          <w:szCs w:val="32"/>
          <w:highlight w:val="none"/>
        </w:rPr>
        <w:t>个，其中</w:t>
      </w:r>
      <w:r>
        <w:rPr>
          <w:rFonts w:hint="eastAsia" w:ascii="宋体" w:hAnsi="宋体" w:eastAsia="宋体" w:cs="宋体"/>
          <w:snapToGrid w:val="0"/>
          <w:color w:val="000000"/>
          <w:spacing w:val="1"/>
          <w:kern w:val="0"/>
          <w:sz w:val="32"/>
          <w:szCs w:val="32"/>
          <w:highlight w:val="none"/>
        </w:rPr>
        <w:t>行政单位</w:t>
      </w:r>
      <w:r>
        <w:rPr>
          <w:rFonts w:hint="eastAsia" w:ascii="宋体" w:hAnsi="宋体" w:eastAsia="宋体" w:cs="宋体"/>
          <w:snapToGrid w:val="0"/>
          <w:color w:val="000000"/>
          <w:spacing w:val="-26"/>
          <w:kern w:val="0"/>
          <w:sz w:val="32"/>
          <w:szCs w:val="32"/>
          <w:highlight w:val="none"/>
        </w:rPr>
        <w:t xml:space="preserve"> </w:t>
      </w:r>
      <w:r>
        <w:rPr>
          <w:rFonts w:hint="eastAsia" w:ascii="宋体" w:hAnsi="宋体" w:eastAsia="宋体" w:cs="宋体"/>
          <w:snapToGrid w:val="0"/>
          <w:color w:val="000000"/>
          <w:spacing w:val="1"/>
          <w:kern w:val="0"/>
          <w:sz w:val="32"/>
          <w:szCs w:val="32"/>
          <w:highlight w:val="none"/>
        </w:rPr>
        <w:t>1</w:t>
      </w:r>
      <w:r>
        <w:rPr>
          <w:rFonts w:hint="eastAsia" w:ascii="宋体" w:hAnsi="宋体" w:eastAsia="宋体" w:cs="宋体"/>
          <w:snapToGrid w:val="0"/>
          <w:color w:val="000000"/>
          <w:spacing w:val="-59"/>
          <w:kern w:val="0"/>
          <w:sz w:val="32"/>
          <w:szCs w:val="32"/>
          <w:highlight w:val="none"/>
        </w:rPr>
        <w:t xml:space="preserve"> </w:t>
      </w:r>
      <w:r>
        <w:rPr>
          <w:rFonts w:hint="eastAsia" w:ascii="宋体" w:hAnsi="宋体" w:eastAsia="宋体" w:cs="宋体"/>
          <w:snapToGrid w:val="0"/>
          <w:color w:val="000000"/>
          <w:spacing w:val="1"/>
          <w:kern w:val="0"/>
          <w:sz w:val="32"/>
          <w:szCs w:val="32"/>
          <w:highlight w:val="none"/>
        </w:rPr>
        <w:t>个，参照公务员法管理的事业单位</w:t>
      </w:r>
      <w:r>
        <w:rPr>
          <w:rFonts w:hint="eastAsia" w:ascii="宋体" w:hAnsi="宋体" w:eastAsia="宋体" w:cs="宋体"/>
          <w:snapToGrid w:val="0"/>
          <w:color w:val="000000"/>
          <w:spacing w:val="-39"/>
          <w:kern w:val="0"/>
          <w:sz w:val="32"/>
          <w:szCs w:val="32"/>
          <w:highlight w:val="none"/>
        </w:rPr>
        <w:t xml:space="preserve"> </w:t>
      </w:r>
      <w:r>
        <w:rPr>
          <w:rFonts w:hint="eastAsia" w:ascii="宋体" w:hAnsi="宋体" w:eastAsia="宋体" w:cs="宋体"/>
          <w:snapToGrid w:val="0"/>
          <w:color w:val="000000"/>
          <w:spacing w:val="1"/>
          <w:kern w:val="0"/>
          <w:sz w:val="32"/>
          <w:szCs w:val="32"/>
          <w:highlight w:val="none"/>
          <w:lang w:val="en-US" w:eastAsia="zh-CN"/>
        </w:rPr>
        <w:t>1</w:t>
      </w:r>
      <w:r>
        <w:rPr>
          <w:rFonts w:hint="eastAsia" w:ascii="宋体" w:hAnsi="宋体" w:eastAsia="宋体" w:cs="宋体"/>
          <w:snapToGrid w:val="0"/>
          <w:color w:val="000000"/>
          <w:spacing w:val="-59"/>
          <w:kern w:val="0"/>
          <w:sz w:val="32"/>
          <w:szCs w:val="32"/>
          <w:highlight w:val="none"/>
        </w:rPr>
        <w:t xml:space="preserve"> </w:t>
      </w:r>
      <w:r>
        <w:rPr>
          <w:rFonts w:hint="eastAsia" w:ascii="宋体" w:hAnsi="宋体" w:eastAsia="宋体" w:cs="宋体"/>
          <w:snapToGrid w:val="0"/>
          <w:color w:val="000000"/>
          <w:spacing w:val="1"/>
          <w:kern w:val="0"/>
          <w:sz w:val="32"/>
          <w:szCs w:val="32"/>
          <w:highlight w:val="none"/>
        </w:rPr>
        <w:t>个，其他事业单</w:t>
      </w:r>
      <w:r>
        <w:rPr>
          <w:rFonts w:hint="eastAsia" w:ascii="宋体" w:hAnsi="宋体" w:eastAsia="宋体" w:cs="宋体"/>
          <w:snapToGrid w:val="0"/>
          <w:color w:val="000000"/>
          <w:spacing w:val="-9"/>
          <w:kern w:val="0"/>
          <w:sz w:val="32"/>
          <w:szCs w:val="32"/>
          <w:highlight w:val="none"/>
        </w:rPr>
        <w:t>位</w:t>
      </w:r>
      <w:r>
        <w:rPr>
          <w:rFonts w:hint="eastAsia" w:ascii="宋体" w:hAnsi="宋体" w:eastAsia="宋体" w:cs="宋体"/>
          <w:snapToGrid w:val="0"/>
          <w:color w:val="000000"/>
          <w:spacing w:val="-39"/>
          <w:kern w:val="0"/>
          <w:sz w:val="32"/>
          <w:szCs w:val="32"/>
          <w:highlight w:val="none"/>
        </w:rPr>
        <w:t xml:space="preserve"> </w:t>
      </w:r>
      <w:r>
        <w:rPr>
          <w:rFonts w:hint="eastAsia" w:ascii="宋体" w:hAnsi="宋体" w:eastAsia="宋体" w:cs="宋体"/>
          <w:snapToGrid w:val="0"/>
          <w:color w:val="000000"/>
          <w:spacing w:val="-9"/>
          <w:kern w:val="0"/>
          <w:sz w:val="32"/>
          <w:szCs w:val="32"/>
          <w:highlight w:val="none"/>
        </w:rPr>
        <w:t>0</w:t>
      </w:r>
      <w:r>
        <w:rPr>
          <w:rFonts w:hint="eastAsia" w:ascii="宋体" w:hAnsi="宋体" w:eastAsia="宋体" w:cs="宋体"/>
          <w:snapToGrid w:val="0"/>
          <w:color w:val="000000"/>
          <w:spacing w:val="-59"/>
          <w:kern w:val="0"/>
          <w:sz w:val="32"/>
          <w:szCs w:val="32"/>
          <w:highlight w:val="none"/>
        </w:rPr>
        <w:t xml:space="preserve"> </w:t>
      </w:r>
      <w:r>
        <w:rPr>
          <w:rFonts w:hint="eastAsia" w:ascii="宋体" w:hAnsi="宋体" w:eastAsia="宋体" w:cs="宋体"/>
          <w:snapToGrid w:val="0"/>
          <w:color w:val="000000"/>
          <w:spacing w:val="-9"/>
          <w:kern w:val="0"/>
          <w:sz w:val="32"/>
          <w:szCs w:val="32"/>
          <w:highlight w:val="none"/>
        </w:rPr>
        <w:t>个。</w:t>
      </w:r>
    </w:p>
    <w:p>
      <w:pPr>
        <w:widowControl/>
        <w:suppressAutoHyphens w:val="0"/>
        <w:kinsoku w:val="0"/>
        <w:autoSpaceDE w:val="0"/>
        <w:autoSpaceDN w:val="0"/>
        <w:adjustRightInd w:val="0"/>
        <w:snapToGrid w:val="0"/>
        <w:spacing w:before="101" w:line="326" w:lineRule="auto"/>
        <w:ind w:right="96" w:rightChars="0" w:firstLine="648" w:firstLineChars="200"/>
        <w:jc w:val="left"/>
        <w:textAlignment w:val="baseline"/>
        <w:rPr>
          <w:rFonts w:hint="eastAsia" w:ascii="宋体" w:hAnsi="宋体" w:eastAsia="宋体" w:cs="宋体"/>
          <w:snapToGrid w:val="0"/>
          <w:color w:val="000000"/>
          <w:spacing w:val="2"/>
          <w:kern w:val="0"/>
          <w:sz w:val="32"/>
          <w:szCs w:val="32"/>
          <w:highlight w:val="none"/>
        </w:rPr>
      </w:pPr>
      <w:r>
        <w:rPr>
          <w:rFonts w:hint="eastAsia" w:ascii="宋体" w:hAnsi="宋体" w:eastAsia="宋体" w:cs="宋体"/>
          <w:snapToGrid w:val="0"/>
          <w:color w:val="000000"/>
          <w:spacing w:val="2"/>
          <w:kern w:val="0"/>
          <w:sz w:val="32"/>
          <w:szCs w:val="32"/>
          <w:highlight w:val="none"/>
        </w:rPr>
        <w:t>纳入</w:t>
      </w:r>
      <w:r>
        <w:rPr>
          <w:rFonts w:hint="eastAsia" w:ascii="宋体" w:hAnsi="宋体" w:eastAsia="宋体" w:cs="宋体"/>
          <w:sz w:val="32"/>
          <w:szCs w:val="32"/>
          <w:highlight w:val="none"/>
        </w:rPr>
        <w:t>东区财政局</w:t>
      </w:r>
      <w:r>
        <w:rPr>
          <w:rFonts w:hint="eastAsia" w:ascii="宋体" w:hAnsi="宋体" w:eastAsia="宋体" w:cs="宋体"/>
          <w:snapToGrid w:val="0"/>
          <w:color w:val="000000"/>
          <w:spacing w:val="2"/>
          <w:kern w:val="0"/>
          <w:sz w:val="32"/>
          <w:szCs w:val="32"/>
          <w:highlight w:val="none"/>
        </w:rPr>
        <w:t>202</w:t>
      </w:r>
      <w:r>
        <w:rPr>
          <w:rFonts w:hint="eastAsia" w:ascii="宋体" w:hAnsi="宋体" w:eastAsia="宋体" w:cs="宋体"/>
          <w:snapToGrid w:val="0"/>
          <w:color w:val="000000"/>
          <w:spacing w:val="2"/>
          <w:kern w:val="0"/>
          <w:sz w:val="32"/>
          <w:szCs w:val="32"/>
          <w:highlight w:val="none"/>
          <w:lang w:val="en-US" w:eastAsia="zh-CN"/>
        </w:rPr>
        <w:t>4</w:t>
      </w:r>
      <w:r>
        <w:rPr>
          <w:rFonts w:hint="eastAsia" w:ascii="宋体" w:hAnsi="宋体" w:eastAsia="宋体" w:cs="宋体"/>
          <w:snapToGrid w:val="0"/>
          <w:color w:val="000000"/>
          <w:spacing w:val="-58"/>
          <w:kern w:val="0"/>
          <w:sz w:val="32"/>
          <w:szCs w:val="32"/>
          <w:highlight w:val="none"/>
        </w:rPr>
        <w:t xml:space="preserve"> </w:t>
      </w:r>
      <w:r>
        <w:rPr>
          <w:rFonts w:hint="eastAsia" w:ascii="宋体" w:hAnsi="宋体" w:eastAsia="宋体" w:cs="宋体"/>
          <w:snapToGrid w:val="0"/>
          <w:color w:val="000000"/>
          <w:spacing w:val="2"/>
          <w:kern w:val="0"/>
          <w:sz w:val="32"/>
          <w:szCs w:val="32"/>
          <w:highlight w:val="none"/>
        </w:rPr>
        <w:t>年度部门决算编制范围的</w:t>
      </w:r>
      <w:r>
        <w:rPr>
          <w:rFonts w:hint="eastAsia" w:ascii="宋体" w:hAnsi="宋体" w:eastAsia="宋体" w:cs="宋体"/>
          <w:snapToGrid w:val="0"/>
          <w:color w:val="000000"/>
          <w:spacing w:val="2"/>
          <w:kern w:val="0"/>
          <w:sz w:val="32"/>
          <w:szCs w:val="32"/>
          <w:highlight w:val="none"/>
          <w:lang w:val="en-US" w:eastAsia="zh-CN"/>
        </w:rPr>
        <w:t>二级</w:t>
      </w:r>
      <w:r>
        <w:rPr>
          <w:rFonts w:hint="eastAsia" w:ascii="宋体" w:hAnsi="宋体" w:eastAsia="宋体" w:cs="宋体"/>
          <w:snapToGrid w:val="0"/>
          <w:color w:val="000000"/>
          <w:spacing w:val="2"/>
          <w:kern w:val="0"/>
          <w:sz w:val="32"/>
          <w:szCs w:val="32"/>
          <w:highlight w:val="none"/>
        </w:rPr>
        <w:t>预算单位包括：</w:t>
      </w:r>
    </w:p>
    <w:p>
      <w:pPr>
        <w:widowControl/>
        <w:numPr>
          <w:ilvl w:val="0"/>
          <w:numId w:val="2"/>
        </w:numPr>
        <w:suppressAutoHyphens w:val="0"/>
        <w:kinsoku w:val="0"/>
        <w:autoSpaceDE w:val="0"/>
        <w:autoSpaceDN w:val="0"/>
        <w:adjustRightInd w:val="0"/>
        <w:snapToGrid w:val="0"/>
        <w:spacing w:before="101" w:line="326" w:lineRule="auto"/>
        <w:ind w:left="1050" w:leftChars="0" w:right="782" w:rightChars="0" w:firstLineChars="0"/>
        <w:jc w:val="left"/>
        <w:textAlignment w:val="baseline"/>
        <w:rPr>
          <w:rFonts w:hint="eastAsia" w:ascii="宋体" w:hAnsi="宋体" w:eastAsia="宋体" w:cs="宋体"/>
          <w:snapToGrid w:val="0"/>
          <w:color w:val="000000"/>
          <w:spacing w:val="4"/>
          <w:kern w:val="0"/>
          <w:sz w:val="32"/>
          <w:szCs w:val="32"/>
          <w:highlight w:val="none"/>
        </w:rPr>
      </w:pPr>
      <w:r>
        <w:rPr>
          <w:rFonts w:hint="eastAsia" w:ascii="宋体" w:hAnsi="宋体" w:cs="宋体"/>
          <w:snapToGrid w:val="0"/>
          <w:color w:val="000000"/>
          <w:spacing w:val="4"/>
          <w:kern w:val="0"/>
          <w:sz w:val="32"/>
          <w:szCs w:val="32"/>
          <w:highlight w:val="none"/>
          <w:lang w:val="en-US" w:eastAsia="zh-CN"/>
        </w:rPr>
        <w:t>攀枝花</w:t>
      </w:r>
      <w:r>
        <w:rPr>
          <w:rFonts w:hint="eastAsia" w:ascii="宋体" w:hAnsi="宋体" w:eastAsia="宋体" w:cs="宋体"/>
          <w:snapToGrid w:val="0"/>
          <w:color w:val="000000"/>
          <w:spacing w:val="4"/>
          <w:kern w:val="0"/>
          <w:sz w:val="32"/>
          <w:szCs w:val="32"/>
          <w:highlight w:val="none"/>
        </w:rPr>
        <w:t>东区财政局</w:t>
      </w:r>
      <w:r>
        <w:rPr>
          <w:rFonts w:hint="eastAsia" w:ascii="宋体" w:hAnsi="宋体" w:cs="宋体"/>
          <w:snapToGrid w:val="0"/>
          <w:color w:val="000000"/>
          <w:spacing w:val="4"/>
          <w:kern w:val="0"/>
          <w:sz w:val="32"/>
          <w:szCs w:val="32"/>
          <w:highlight w:val="none"/>
          <w:lang w:eastAsia="zh-CN"/>
        </w:rPr>
        <w:t>（</w:t>
      </w:r>
      <w:r>
        <w:rPr>
          <w:rFonts w:hint="eastAsia" w:ascii="宋体" w:hAnsi="宋体" w:cs="宋体"/>
          <w:snapToGrid w:val="0"/>
          <w:color w:val="000000"/>
          <w:spacing w:val="4"/>
          <w:kern w:val="0"/>
          <w:sz w:val="32"/>
          <w:szCs w:val="32"/>
          <w:highlight w:val="none"/>
          <w:lang w:val="en-US" w:eastAsia="zh-CN"/>
        </w:rPr>
        <w:t>本级）</w:t>
      </w:r>
    </w:p>
    <w:p>
      <w:pPr>
        <w:pStyle w:val="2"/>
        <w:numPr>
          <w:ilvl w:val="0"/>
          <w:numId w:val="2"/>
        </w:numPr>
        <w:ind w:left="1050" w:leftChars="0" w:firstLine="0" w:firstLineChars="0"/>
        <w:rPr>
          <w:rFonts w:hint="eastAsia" w:ascii="宋体" w:hAnsi="宋体" w:eastAsia="宋体" w:cs="宋体"/>
          <w:snapToGrid w:val="0"/>
          <w:color w:val="000000"/>
          <w:spacing w:val="4"/>
          <w:kern w:val="0"/>
          <w:sz w:val="32"/>
          <w:szCs w:val="32"/>
          <w:highlight w:val="none"/>
          <w:lang w:val="en-US" w:eastAsia="zh-CN"/>
        </w:rPr>
      </w:pPr>
      <w:r>
        <w:rPr>
          <w:rFonts w:hint="eastAsia" w:ascii="宋体" w:hAnsi="宋体" w:cs="宋体"/>
          <w:snapToGrid w:val="0"/>
          <w:color w:val="000000"/>
          <w:spacing w:val="4"/>
          <w:kern w:val="0"/>
          <w:sz w:val="32"/>
          <w:szCs w:val="32"/>
          <w:highlight w:val="none"/>
          <w:lang w:val="en-US" w:eastAsia="zh-CN"/>
        </w:rPr>
        <w:t>攀枝花市</w:t>
      </w:r>
      <w:r>
        <w:rPr>
          <w:rFonts w:hint="eastAsia" w:ascii="宋体" w:hAnsi="宋体" w:eastAsia="宋体" w:cs="宋体"/>
          <w:snapToGrid w:val="0"/>
          <w:color w:val="000000"/>
          <w:spacing w:val="4"/>
          <w:kern w:val="0"/>
          <w:sz w:val="32"/>
          <w:szCs w:val="32"/>
          <w:highlight w:val="none"/>
          <w:lang w:val="en-US" w:eastAsia="zh-CN"/>
        </w:rPr>
        <w:t>东区财政国库支付中心</w:t>
      </w:r>
    </w:p>
    <w:p>
      <w:pPr>
        <w:pStyle w:val="3"/>
        <w:widowControl w:val="0"/>
        <w:numPr>
          <w:ilvl w:val="0"/>
          <w:numId w:val="0"/>
        </w:numPr>
        <w:spacing w:after="120"/>
        <w:jc w:val="both"/>
        <w:rPr>
          <w:rFonts w:hint="eastAsia" w:ascii="宋体" w:hAnsi="宋体" w:eastAsia="宋体" w:cs="宋体"/>
          <w:sz w:val="32"/>
          <w:szCs w:val="32"/>
          <w:highlight w:val="none"/>
          <w:lang w:val="en-US" w:eastAsia="zh-CN"/>
        </w:rPr>
      </w:pPr>
    </w:p>
    <w:p>
      <w:pPr>
        <w:pStyle w:val="3"/>
        <w:widowControl w:val="0"/>
        <w:numPr>
          <w:ilvl w:val="0"/>
          <w:numId w:val="0"/>
        </w:numPr>
        <w:spacing w:after="120"/>
        <w:jc w:val="both"/>
        <w:rPr>
          <w:rFonts w:hint="eastAsia" w:ascii="宋体" w:hAnsi="宋体" w:eastAsia="宋体" w:cs="宋体"/>
          <w:sz w:val="32"/>
          <w:szCs w:val="32"/>
          <w:highlight w:val="none"/>
          <w:lang w:val="en-US" w:eastAsia="zh-CN"/>
        </w:rPr>
      </w:pPr>
    </w:p>
    <w:p>
      <w:pPr>
        <w:pStyle w:val="3"/>
        <w:widowControl w:val="0"/>
        <w:numPr>
          <w:ilvl w:val="0"/>
          <w:numId w:val="0"/>
        </w:numPr>
        <w:spacing w:after="120"/>
        <w:jc w:val="both"/>
        <w:rPr>
          <w:rFonts w:hint="eastAsia" w:ascii="宋体" w:hAnsi="宋体" w:eastAsia="宋体" w:cs="宋体"/>
          <w:sz w:val="32"/>
          <w:szCs w:val="32"/>
          <w:highlight w:val="none"/>
          <w:lang w:val="en-US" w:eastAsia="zh-CN"/>
        </w:rPr>
      </w:pPr>
    </w:p>
    <w:p>
      <w:pPr>
        <w:pStyle w:val="3"/>
        <w:widowControl w:val="0"/>
        <w:numPr>
          <w:ilvl w:val="0"/>
          <w:numId w:val="0"/>
        </w:numPr>
        <w:spacing w:after="120"/>
        <w:jc w:val="both"/>
        <w:rPr>
          <w:rFonts w:hint="eastAsia" w:ascii="宋体" w:hAnsi="宋体" w:eastAsia="宋体" w:cs="宋体"/>
          <w:sz w:val="32"/>
          <w:szCs w:val="32"/>
          <w:highlight w:val="none"/>
          <w:lang w:val="en-US" w:eastAsia="zh-CN"/>
        </w:rPr>
      </w:pPr>
    </w:p>
    <w:p>
      <w:pPr>
        <w:pStyle w:val="3"/>
        <w:widowControl w:val="0"/>
        <w:numPr>
          <w:ilvl w:val="0"/>
          <w:numId w:val="0"/>
        </w:numPr>
        <w:spacing w:after="120"/>
        <w:jc w:val="both"/>
        <w:rPr>
          <w:rFonts w:hint="eastAsia" w:ascii="宋体" w:hAnsi="宋体" w:eastAsia="宋体" w:cs="宋体"/>
          <w:sz w:val="32"/>
          <w:szCs w:val="32"/>
          <w:highlight w:val="none"/>
          <w:lang w:val="en-US" w:eastAsia="zh-CN"/>
        </w:rPr>
      </w:pPr>
    </w:p>
    <w:p>
      <w:pPr>
        <w:pStyle w:val="3"/>
        <w:widowControl w:val="0"/>
        <w:numPr>
          <w:ilvl w:val="0"/>
          <w:numId w:val="0"/>
        </w:numPr>
        <w:spacing w:after="120"/>
        <w:jc w:val="both"/>
        <w:rPr>
          <w:rFonts w:hint="eastAsia" w:ascii="宋体" w:hAnsi="宋体" w:eastAsia="宋体" w:cs="宋体"/>
          <w:sz w:val="32"/>
          <w:szCs w:val="32"/>
          <w:highlight w:val="none"/>
          <w:lang w:val="en-US" w:eastAsia="zh-CN"/>
        </w:rPr>
      </w:pPr>
    </w:p>
    <w:p>
      <w:pPr>
        <w:pStyle w:val="3"/>
        <w:widowControl w:val="0"/>
        <w:numPr>
          <w:ilvl w:val="0"/>
          <w:numId w:val="0"/>
        </w:numPr>
        <w:spacing w:after="120"/>
        <w:jc w:val="both"/>
        <w:rPr>
          <w:rFonts w:hint="eastAsia" w:ascii="宋体" w:hAnsi="宋体" w:eastAsia="宋体" w:cs="宋体"/>
          <w:sz w:val="32"/>
          <w:szCs w:val="32"/>
          <w:highlight w:val="none"/>
          <w:lang w:val="en-US" w:eastAsia="zh-CN"/>
        </w:rPr>
      </w:pPr>
    </w:p>
    <w:p>
      <w:pPr>
        <w:pStyle w:val="3"/>
        <w:widowControl w:val="0"/>
        <w:numPr>
          <w:ilvl w:val="0"/>
          <w:numId w:val="0"/>
        </w:numPr>
        <w:spacing w:after="120"/>
        <w:jc w:val="both"/>
        <w:rPr>
          <w:rFonts w:hint="eastAsia" w:ascii="宋体" w:hAnsi="宋体" w:eastAsia="宋体" w:cs="宋体"/>
          <w:sz w:val="32"/>
          <w:szCs w:val="32"/>
          <w:highlight w:val="none"/>
          <w:lang w:val="en-US" w:eastAsia="zh-CN"/>
        </w:rPr>
      </w:pPr>
    </w:p>
    <w:p>
      <w:pPr>
        <w:pStyle w:val="3"/>
        <w:widowControl w:val="0"/>
        <w:numPr>
          <w:ilvl w:val="0"/>
          <w:numId w:val="0"/>
        </w:numPr>
        <w:spacing w:after="120"/>
        <w:jc w:val="both"/>
        <w:rPr>
          <w:rFonts w:hint="eastAsia" w:ascii="宋体" w:hAnsi="宋体" w:eastAsia="宋体" w:cs="宋体"/>
          <w:sz w:val="44"/>
          <w:szCs w:val="44"/>
          <w:highlight w:val="none"/>
          <w:lang w:val="en-US" w:eastAsia="zh-CN"/>
        </w:rPr>
      </w:pPr>
    </w:p>
    <w:p>
      <w:pPr>
        <w:pStyle w:val="3"/>
        <w:widowControl w:val="0"/>
        <w:numPr>
          <w:ilvl w:val="0"/>
          <w:numId w:val="0"/>
        </w:numPr>
        <w:spacing w:after="120"/>
        <w:jc w:val="both"/>
        <w:rPr>
          <w:rFonts w:hint="eastAsia" w:ascii="宋体" w:hAnsi="宋体" w:eastAsia="宋体" w:cs="宋体"/>
          <w:sz w:val="44"/>
          <w:szCs w:val="44"/>
          <w:highlight w:val="none"/>
          <w:lang w:val="en-US" w:eastAsia="zh-CN"/>
        </w:rPr>
      </w:pPr>
    </w:p>
    <w:p>
      <w:pPr>
        <w:pStyle w:val="5"/>
        <w:jc w:val="center"/>
        <w:rPr>
          <w:rFonts w:hint="eastAsia" w:ascii="宋体" w:hAnsi="宋体" w:eastAsia="宋体" w:cs="宋体"/>
          <w:b/>
          <w:bCs w:val="0"/>
          <w:color w:val="auto"/>
          <w:sz w:val="44"/>
          <w:szCs w:val="44"/>
          <w:highlight w:val="none"/>
        </w:rPr>
      </w:pPr>
      <w:bookmarkStart w:id="15" w:name="_Toc15377204"/>
      <w:bookmarkStart w:id="16" w:name="_Toc15396602"/>
      <w:r>
        <w:rPr>
          <w:rFonts w:hint="eastAsia" w:ascii="宋体" w:hAnsi="宋体" w:eastAsia="宋体" w:cs="宋体"/>
          <w:b/>
          <w:bCs w:val="0"/>
          <w:color w:val="auto"/>
          <w:sz w:val="44"/>
          <w:szCs w:val="44"/>
          <w:highlight w:val="none"/>
        </w:rPr>
        <w:t>第二部分</w:t>
      </w:r>
      <w:r>
        <w:rPr>
          <w:rFonts w:hint="eastAsia" w:ascii="宋体" w:hAnsi="宋体" w:eastAsia="宋体" w:cs="宋体"/>
          <w:b/>
          <w:bCs w:val="0"/>
          <w:color w:val="auto"/>
          <w:sz w:val="44"/>
          <w:szCs w:val="44"/>
          <w:highlight w:val="none"/>
          <w:lang w:val="en-US" w:eastAsia="zh-CN"/>
        </w:rPr>
        <w:t xml:space="preserve"> </w:t>
      </w:r>
      <w:r>
        <w:rPr>
          <w:rFonts w:hint="eastAsia" w:ascii="宋体" w:hAnsi="宋体" w:eastAsia="宋体" w:cs="宋体"/>
          <w:b/>
          <w:bCs w:val="0"/>
          <w:color w:val="auto"/>
          <w:sz w:val="44"/>
          <w:szCs w:val="44"/>
          <w:highlight w:val="none"/>
        </w:rPr>
        <w:t xml:space="preserve"> </w:t>
      </w:r>
      <w:r>
        <w:rPr>
          <w:rFonts w:hint="eastAsia" w:ascii="宋体" w:hAnsi="宋体" w:eastAsia="宋体" w:cs="宋体"/>
          <w:b/>
          <w:bCs w:val="0"/>
          <w:color w:val="auto"/>
          <w:sz w:val="44"/>
          <w:szCs w:val="44"/>
          <w:highlight w:val="none"/>
          <w:lang w:val="en-US" w:eastAsia="zh-CN"/>
        </w:rPr>
        <w:t>2024年度</w:t>
      </w:r>
      <w:r>
        <w:rPr>
          <w:rFonts w:hint="eastAsia" w:ascii="宋体" w:hAnsi="宋体" w:eastAsia="宋体" w:cs="宋体"/>
          <w:b/>
          <w:bCs w:val="0"/>
          <w:color w:val="auto"/>
          <w:sz w:val="44"/>
          <w:szCs w:val="44"/>
          <w:highlight w:val="none"/>
        </w:rPr>
        <w:t>部门决算情况说明</w:t>
      </w:r>
      <w:bookmarkEnd w:id="15"/>
      <w:bookmarkEnd w:id="1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Style w:val="30"/>
          <w:rFonts w:hint="eastAsia" w:ascii="宋体" w:hAnsi="宋体" w:eastAsia="宋体" w:cs="宋体"/>
          <w:b/>
          <w:bCs/>
          <w:color w:val="auto"/>
          <w:sz w:val="32"/>
          <w:szCs w:val="32"/>
          <w:highlight w:val="none"/>
        </w:rPr>
      </w:pPr>
      <w:bookmarkStart w:id="17" w:name="_Toc15396603"/>
      <w:bookmarkStart w:id="18" w:name="_Toc15377205"/>
      <w:r>
        <w:rPr>
          <w:rFonts w:hint="eastAsia" w:ascii="宋体" w:hAnsi="宋体" w:eastAsia="宋体" w:cs="宋体"/>
          <w:b/>
          <w:bCs/>
          <w:color w:val="auto"/>
          <w:sz w:val="32"/>
          <w:szCs w:val="32"/>
          <w:highlight w:val="none"/>
          <w:lang w:eastAsia="zh-CN"/>
        </w:rPr>
        <w:t>一、</w:t>
      </w:r>
      <w:r>
        <w:rPr>
          <w:rFonts w:hint="eastAsia" w:ascii="宋体" w:hAnsi="宋体" w:eastAsia="宋体" w:cs="宋体"/>
          <w:b/>
          <w:bCs/>
          <w:color w:val="auto"/>
          <w:sz w:val="32"/>
          <w:szCs w:val="32"/>
          <w:highlight w:val="none"/>
        </w:rPr>
        <w:t>收</w:t>
      </w:r>
      <w:r>
        <w:rPr>
          <w:rStyle w:val="30"/>
          <w:rFonts w:hint="eastAsia" w:ascii="宋体" w:hAnsi="宋体" w:eastAsia="宋体" w:cs="宋体"/>
          <w:b/>
          <w:bCs/>
          <w:color w:val="auto"/>
          <w:sz w:val="32"/>
          <w:szCs w:val="32"/>
          <w:highlight w:val="none"/>
        </w:rPr>
        <w:t>入支出决算总体情况说明</w:t>
      </w:r>
      <w:bookmarkEnd w:id="17"/>
      <w:bookmarkEnd w:id="18"/>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2024年度收入</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支出</w:t>
      </w:r>
      <w:r>
        <w:rPr>
          <w:rFonts w:hint="eastAsia" w:ascii="宋体" w:hAnsi="宋体" w:eastAsia="宋体" w:cs="宋体"/>
          <w:color w:val="auto"/>
          <w:sz w:val="32"/>
          <w:szCs w:val="32"/>
          <w:highlight w:val="none"/>
        </w:rPr>
        <w:t>总计</w:t>
      </w:r>
      <w:r>
        <w:rPr>
          <w:rFonts w:hint="eastAsia" w:ascii="宋体" w:hAnsi="宋体" w:eastAsia="宋体" w:cs="宋体"/>
          <w:color w:val="auto"/>
          <w:sz w:val="32"/>
          <w:szCs w:val="32"/>
          <w:highlight w:val="none"/>
          <w:lang w:eastAsia="zh-CN"/>
        </w:rPr>
        <w:t>均为</w:t>
      </w:r>
      <w:r>
        <w:rPr>
          <w:rFonts w:hint="eastAsia" w:ascii="宋体" w:hAnsi="宋体" w:eastAsia="宋体" w:cs="宋体"/>
          <w:sz w:val="32"/>
          <w:szCs w:val="32"/>
          <w:highlight w:val="none"/>
        </w:rPr>
        <w:t>1240.41</w:t>
      </w:r>
      <w:r>
        <w:rPr>
          <w:rFonts w:hint="eastAsia" w:ascii="宋体" w:hAnsi="宋体" w:eastAsia="宋体" w:cs="宋体"/>
          <w:color w:val="auto"/>
          <w:sz w:val="32"/>
          <w:szCs w:val="32"/>
          <w:highlight w:val="none"/>
        </w:rPr>
        <w:t>万元。与</w:t>
      </w:r>
      <w:r>
        <w:rPr>
          <w:rFonts w:hint="eastAsia" w:ascii="宋体" w:hAnsi="宋体" w:eastAsia="宋体" w:cs="宋体"/>
          <w:color w:val="auto"/>
          <w:sz w:val="32"/>
          <w:szCs w:val="32"/>
          <w:highlight w:val="none"/>
          <w:lang w:eastAsia="zh-CN"/>
        </w:rPr>
        <w:t>202</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eastAsia="zh-CN"/>
        </w:rPr>
        <w:t>度</w:t>
      </w:r>
      <w:r>
        <w:rPr>
          <w:rFonts w:hint="eastAsia" w:ascii="宋体" w:hAnsi="宋体" w:eastAsia="宋体" w:cs="宋体"/>
          <w:color w:val="auto"/>
          <w:sz w:val="32"/>
          <w:szCs w:val="32"/>
          <w:highlight w:val="none"/>
        </w:rPr>
        <w:t>相比，</w:t>
      </w:r>
      <w:r>
        <w:rPr>
          <w:rFonts w:hint="eastAsia" w:ascii="宋体" w:hAnsi="宋体" w:eastAsia="宋体" w:cs="宋体"/>
          <w:color w:val="auto"/>
          <w:sz w:val="32"/>
          <w:szCs w:val="32"/>
          <w:highlight w:val="none"/>
          <w:lang w:eastAsia="zh-CN"/>
        </w:rPr>
        <w:t>收入</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支出</w:t>
      </w:r>
      <w:r>
        <w:rPr>
          <w:rFonts w:hint="eastAsia" w:ascii="宋体" w:hAnsi="宋体" w:eastAsia="宋体" w:cs="宋体"/>
          <w:color w:val="auto"/>
          <w:sz w:val="32"/>
          <w:szCs w:val="32"/>
          <w:highlight w:val="none"/>
        </w:rPr>
        <w:t>总计增加</w:t>
      </w:r>
      <w:bookmarkStart w:id="19" w:name="OLE_LINK1"/>
      <w:r>
        <w:rPr>
          <w:rFonts w:hint="eastAsia" w:ascii="宋体" w:hAnsi="宋体" w:eastAsia="宋体" w:cs="宋体"/>
          <w:color w:val="auto"/>
          <w:sz w:val="32"/>
          <w:szCs w:val="32"/>
          <w:highlight w:val="none"/>
          <w:lang w:val="en-US" w:eastAsia="zh-CN"/>
        </w:rPr>
        <w:t>51.40</w:t>
      </w:r>
      <w:bookmarkEnd w:id="19"/>
      <w:r>
        <w:rPr>
          <w:rFonts w:hint="eastAsia" w:ascii="宋体" w:hAnsi="宋体" w:eastAsia="宋体" w:cs="宋体"/>
          <w:color w:val="auto"/>
          <w:sz w:val="32"/>
          <w:szCs w:val="32"/>
          <w:highlight w:val="none"/>
        </w:rPr>
        <w:t>万元，增长</w:t>
      </w:r>
      <w:bookmarkStart w:id="20" w:name="OLE_LINK2"/>
      <w:r>
        <w:rPr>
          <w:rFonts w:hint="eastAsia" w:ascii="宋体" w:hAnsi="宋体" w:eastAsia="宋体" w:cs="宋体"/>
          <w:color w:val="auto"/>
          <w:sz w:val="32"/>
          <w:szCs w:val="32"/>
          <w:highlight w:val="none"/>
          <w:lang w:val="en-US" w:eastAsia="zh-CN"/>
        </w:rPr>
        <w:t>4.32</w:t>
      </w:r>
      <w:r>
        <w:rPr>
          <w:rFonts w:hint="eastAsia" w:ascii="宋体" w:hAnsi="宋体" w:eastAsia="宋体" w:cs="宋体"/>
          <w:color w:val="auto"/>
          <w:sz w:val="32"/>
          <w:szCs w:val="32"/>
          <w:highlight w:val="none"/>
        </w:rPr>
        <w:t>%。主要变动原因是</w:t>
      </w:r>
      <w:r>
        <w:rPr>
          <w:rFonts w:hint="eastAsia" w:ascii="宋体" w:hAnsi="宋体" w:eastAsia="宋体" w:cs="宋体"/>
          <w:color w:val="auto"/>
          <w:sz w:val="32"/>
          <w:szCs w:val="32"/>
          <w:highlight w:val="none"/>
          <w:lang w:val="en-US" w:eastAsia="zh-CN"/>
        </w:rPr>
        <w:t>2024年专项经费有所增加。</w:t>
      </w:r>
    </w:p>
    <w:bookmarkEnd w:id="2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（图1：</w:t>
      </w:r>
      <w:r>
        <w:rPr>
          <w:rFonts w:hint="eastAsia" w:ascii="宋体" w:hAnsi="宋体" w:eastAsia="宋体" w:cs="宋体"/>
          <w:color w:val="auto"/>
          <w:sz w:val="32"/>
          <w:szCs w:val="32"/>
          <w:highlight w:val="none"/>
          <w:lang w:eastAsia="zh-CN"/>
        </w:rPr>
        <w:t>收入</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支出</w:t>
      </w:r>
      <w:r>
        <w:rPr>
          <w:rFonts w:hint="eastAsia" w:ascii="宋体" w:hAnsi="宋体" w:eastAsia="宋体" w:cs="宋体"/>
          <w:color w:val="auto"/>
          <w:sz w:val="32"/>
          <w:szCs w:val="32"/>
          <w:highlight w:val="none"/>
        </w:rPr>
        <w:t>决算总计变动情况图）（柱状图）</w:t>
      </w:r>
    </w:p>
    <w:p>
      <w:pPr>
        <w:pStyle w:val="2"/>
        <w:rPr>
          <w:rFonts w:hint="eastAsia" w:ascii="宋体" w:hAnsi="宋体" w:eastAsia="宋体" w:cs="宋体"/>
          <w:color w:val="auto"/>
          <w:sz w:val="32"/>
          <w:szCs w:val="32"/>
          <w:highlight w:val="none"/>
          <w:lang w:eastAsia="zh-CN"/>
        </w:rPr>
      </w:pPr>
      <w:r>
        <w:rPr>
          <w:rFonts w:hint="eastAsia" w:ascii="宋体" w:hAnsi="宋体" w:eastAsia="宋体" w:cs="宋体"/>
          <w:sz w:val="32"/>
          <w:szCs w:val="32"/>
          <w:highlight w:val="none"/>
        </w:rPr>
        <w:pict>
          <v:shape id="Object 3" o:spid="_x0000_s1028" o:spt="75" type="#_x0000_t75" style="position:absolute;left:0pt;margin-left:28.75pt;margin-top:15.2pt;height:220.7pt;width:362.65pt;z-index:-251656192;mso-width-relative:page;mso-height-relative:page;" o:ole="t" filled="f" o:preferrelative="t" stroked="f" coordsize="21600,21600">
            <v:path/>
            <v:fill on="f" focussize="0,0"/>
            <v:stroke on="f"/>
            <v:imagedata r:id="rId11" o:title=""/>
            <o:lock v:ext="edit" aspectratio="t"/>
          </v:shape>
          <o:OLEObject Type="Embed" ProgID="Excel.Chart.8" ShapeID="Object 3" DrawAspect="Content" ObjectID="_1468075725" r:id="rId10">
            <o:LockedField>false</o:LockedField>
          </o:OLEObject>
        </w:pict>
      </w: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宋体" w:hAnsi="宋体" w:eastAsia="宋体" w:cs="宋体"/>
          <w:b/>
          <w:bCs/>
          <w:color w:val="auto"/>
          <w:sz w:val="32"/>
          <w:szCs w:val="32"/>
          <w:highlight w:val="none"/>
          <w:lang w:eastAsia="zh-CN"/>
        </w:rPr>
      </w:pPr>
      <w:bookmarkStart w:id="21" w:name="_Toc15377206"/>
      <w:bookmarkStart w:id="22" w:name="_Toc15396604"/>
      <w:r>
        <w:rPr>
          <w:rFonts w:hint="eastAsia" w:ascii="宋体" w:hAnsi="宋体" w:eastAsia="宋体" w:cs="宋体"/>
          <w:b/>
          <w:bCs/>
          <w:color w:val="auto"/>
          <w:sz w:val="32"/>
          <w:szCs w:val="32"/>
          <w:highlight w:val="none"/>
          <w:lang w:eastAsia="zh-CN"/>
        </w:rPr>
        <w:t>二、收入决算情况说明</w:t>
      </w:r>
      <w:bookmarkEnd w:id="21"/>
      <w:bookmarkEnd w:id="22"/>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2024年度本年收入合计</w:t>
      </w:r>
      <w:r>
        <w:rPr>
          <w:rFonts w:hint="eastAsia" w:ascii="宋体" w:hAnsi="宋体" w:eastAsia="宋体" w:cs="宋体"/>
          <w:sz w:val="32"/>
          <w:szCs w:val="32"/>
          <w:highlight w:val="none"/>
        </w:rPr>
        <w:t>1236.45万元，其中：一般公共预算财政拨款收入1236.45</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100</w:t>
      </w:r>
      <w:r>
        <w:rPr>
          <w:rFonts w:hint="eastAsia" w:ascii="宋体" w:hAnsi="宋体" w:eastAsia="宋体" w:cs="宋体"/>
          <w:color w:val="auto"/>
          <w:sz w:val="32"/>
          <w:szCs w:val="32"/>
          <w:highlight w:val="none"/>
          <w:lang w:eastAsia="zh-CN"/>
        </w:rPr>
        <w:t>%；政府性基金预算财政拨款收入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%；国有资本经营预算财政拨款收入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%；上级补助收入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%；事业收入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%；经营收入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%；附属单位上缴收入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%；其他收入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w:t>
      </w:r>
    </w:p>
    <w:p>
      <w:pPr>
        <w:ind w:firstLine="800" w:firstLineChars="250"/>
        <w:rPr>
          <w:rFonts w:hint="eastAsia" w:ascii="宋体" w:hAnsi="宋体" w:eastAsia="宋体" w:cs="宋体"/>
          <w:color w:val="auto"/>
          <w:sz w:val="32"/>
          <w:szCs w:val="32"/>
          <w:highlight w:val="none"/>
          <w:lang w:eastAsia="zh-CN"/>
        </w:rPr>
      </w:pPr>
    </w:p>
    <w:p>
      <w:pPr>
        <w:ind w:firstLine="800" w:firstLineChars="25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（图2：收入决算结构图）（饼状图）</w:t>
      </w:r>
    </w:p>
    <w:p>
      <w:pPr>
        <w:pStyle w:val="2"/>
        <w:rPr>
          <w:rFonts w:hint="eastAsia" w:ascii="宋体" w:hAnsi="宋体" w:eastAsia="宋体" w:cs="宋体"/>
          <w:color w:val="auto"/>
          <w:sz w:val="32"/>
          <w:szCs w:val="32"/>
          <w:highlight w:val="none"/>
          <w:lang w:eastAsia="zh-CN"/>
        </w:rPr>
      </w:pPr>
      <w:r>
        <w:rPr>
          <w:rFonts w:hint="eastAsia" w:ascii="宋体" w:hAnsi="宋体" w:eastAsia="宋体" w:cs="宋体"/>
          <w:color w:val="000000"/>
          <w:sz w:val="32"/>
          <w:szCs w:val="32"/>
          <w:highlight w:val="none"/>
          <w:lang w:val="zh-CN"/>
        </w:rPr>
        <w:pict>
          <v:shape id="Object 4" o:spid="_x0000_s1029" o:spt="75" type="#_x0000_t75" style="position:absolute;left:0pt;margin-left:18.5pt;margin-top:10.5pt;height:185.8pt;width:354pt;z-index:-251655168;mso-width-relative:page;mso-height-relative:page;" o:ole="t" filled="f" o:preferrelative="t" stroked="f" coordsize="21600,21600">
            <v:path/>
            <v:fill on="f" focussize="0,0"/>
            <v:stroke on="f"/>
            <v:imagedata r:id="rId13" o:title=""/>
            <o:lock v:ext="edit" aspectratio="t"/>
          </v:shape>
          <o:OLEObject Type="Embed" ProgID="Excel.Chart.8" ShapeID="Object 4" DrawAspect="Content" ObjectID="_1468075726" r:id="rId12">
            <o:LockedField>false</o:LockedField>
          </o:OLEObject>
        </w:pict>
      </w: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Style w:val="30"/>
          <w:rFonts w:hint="eastAsia" w:ascii="宋体" w:hAnsi="宋体" w:eastAsia="宋体" w:cs="宋体"/>
          <w:b/>
          <w:bCs/>
          <w:color w:val="auto"/>
          <w:sz w:val="32"/>
          <w:szCs w:val="32"/>
          <w:highlight w:val="none"/>
        </w:rPr>
      </w:pPr>
      <w:bookmarkStart w:id="23" w:name="_Toc15377207"/>
      <w:bookmarkStart w:id="24" w:name="_Toc15396605"/>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支</w:t>
      </w:r>
      <w:r>
        <w:rPr>
          <w:rStyle w:val="30"/>
          <w:rFonts w:hint="eastAsia" w:ascii="宋体" w:hAnsi="宋体" w:eastAsia="宋体" w:cs="宋体"/>
          <w:b/>
          <w:bCs/>
          <w:color w:val="auto"/>
          <w:sz w:val="32"/>
          <w:szCs w:val="32"/>
          <w:highlight w:val="none"/>
        </w:rPr>
        <w:t>出决算情况说明</w:t>
      </w:r>
      <w:bookmarkEnd w:id="23"/>
      <w:bookmarkEnd w:id="24"/>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2024年度本年支出合计</w:t>
      </w:r>
      <w:r>
        <w:rPr>
          <w:rFonts w:hint="eastAsia" w:ascii="宋体" w:hAnsi="宋体" w:eastAsia="宋体" w:cs="宋体"/>
          <w:sz w:val="32"/>
          <w:szCs w:val="32"/>
          <w:highlight w:val="none"/>
        </w:rPr>
        <w:t>1236.45</w:t>
      </w:r>
      <w:r>
        <w:rPr>
          <w:rFonts w:hint="eastAsia" w:ascii="宋体" w:hAnsi="宋体" w:eastAsia="宋体" w:cs="宋体"/>
          <w:color w:val="auto"/>
          <w:sz w:val="32"/>
          <w:szCs w:val="32"/>
          <w:highlight w:val="none"/>
          <w:lang w:eastAsia="zh-CN"/>
        </w:rPr>
        <w:t>万元，其中：基本支出</w:t>
      </w:r>
      <w:r>
        <w:rPr>
          <w:rFonts w:hint="eastAsia" w:ascii="宋体" w:hAnsi="宋体" w:eastAsia="宋体" w:cs="宋体"/>
          <w:sz w:val="32"/>
          <w:szCs w:val="32"/>
          <w:highlight w:val="none"/>
        </w:rPr>
        <w:t>922.2</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74.58</w:t>
      </w:r>
      <w:r>
        <w:rPr>
          <w:rFonts w:hint="eastAsia" w:ascii="宋体" w:hAnsi="宋体" w:eastAsia="宋体" w:cs="宋体"/>
          <w:color w:val="auto"/>
          <w:sz w:val="32"/>
          <w:szCs w:val="32"/>
          <w:highlight w:val="none"/>
          <w:lang w:eastAsia="zh-CN"/>
        </w:rPr>
        <w:t>%；项目支出</w:t>
      </w:r>
      <w:r>
        <w:rPr>
          <w:rFonts w:hint="eastAsia" w:ascii="宋体" w:hAnsi="宋体" w:eastAsia="宋体" w:cs="宋体"/>
          <w:sz w:val="32"/>
          <w:szCs w:val="32"/>
          <w:highlight w:val="none"/>
        </w:rPr>
        <w:t>314.25</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25.4</w:t>
      </w:r>
      <w:r>
        <w:rPr>
          <w:rFonts w:hint="eastAsia" w:ascii="宋体" w:hAnsi="宋体" w:eastAsia="宋体" w:cs="宋体"/>
          <w:sz w:val="32"/>
          <w:szCs w:val="32"/>
          <w:highlight w:val="none"/>
          <w:lang w:val="en-US" w:eastAsia="zh-CN"/>
        </w:rPr>
        <w:t>2</w:t>
      </w:r>
      <w:r>
        <w:rPr>
          <w:rFonts w:hint="eastAsia" w:ascii="宋体" w:hAnsi="宋体" w:eastAsia="宋体" w:cs="宋体"/>
          <w:color w:val="auto"/>
          <w:sz w:val="32"/>
          <w:szCs w:val="32"/>
          <w:highlight w:val="none"/>
          <w:lang w:eastAsia="zh-CN"/>
        </w:rPr>
        <w:t>%；上缴上级支出</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%；经营支出</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%；对附属单位补助支出</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（图3：支出决算结构图）（饼状图）</w:t>
      </w:r>
    </w:p>
    <w:p>
      <w:pPr>
        <w:pStyle w:val="2"/>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r>
        <w:rPr>
          <w:rFonts w:hint="eastAsia" w:ascii="宋体" w:hAnsi="宋体" w:eastAsia="宋体" w:cs="宋体"/>
          <w:sz w:val="32"/>
          <w:szCs w:val="32"/>
          <w:highlight w:val="none"/>
        </w:rPr>
        <w:pict>
          <v:shape id="Object 5" o:spid="_x0000_s1030" o:spt="75" type="#_x0000_t75" style="position:absolute;left:0pt;margin-left:-4.95pt;margin-top:0.6pt;height:214.3pt;width:352.1pt;z-index:-251654144;mso-width-relative:page;mso-height-relative:page;" o:ole="t" filled="f" o:preferrelative="t" stroked="f" coordsize="21600,21600">
            <v:path/>
            <v:fill on="f" focussize="0,0"/>
            <v:stroke on="f"/>
            <v:imagedata r:id="rId15" o:title=""/>
            <o:lock v:ext="edit" aspectratio="t"/>
          </v:shape>
          <o:OLEObject Type="Embed" ProgID="Excel.Chart.8" ShapeID="Object 5" DrawAspect="Content" ObjectID="_1468075727" r:id="rId14">
            <o:LockedField>false</o:LockedField>
          </o:OLEObject>
        </w:pict>
      </w:r>
    </w:p>
    <w:p>
      <w:pPr>
        <w:pStyle w:val="3"/>
        <w:rPr>
          <w:rFonts w:hint="eastAsia" w:ascii="宋体" w:hAnsi="宋体" w:eastAsia="宋体" w:cs="宋体"/>
          <w:color w:val="auto"/>
          <w:sz w:val="32"/>
          <w:szCs w:val="32"/>
          <w:highlight w:val="none"/>
          <w:lang w:eastAsia="zh-CN"/>
        </w:rPr>
      </w:pPr>
    </w:p>
    <w:p>
      <w:pPr>
        <w:pStyle w:val="2"/>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spacing w:line="600" w:lineRule="exact"/>
        <w:ind w:firstLine="643" w:firstLineChars="200"/>
        <w:outlineLvl w:val="1"/>
        <w:rPr>
          <w:rFonts w:hint="eastAsia" w:ascii="宋体" w:hAnsi="宋体" w:eastAsia="宋体" w:cs="宋体"/>
          <w:b/>
          <w:bCs/>
          <w:color w:val="auto"/>
          <w:sz w:val="32"/>
          <w:szCs w:val="32"/>
          <w:highlight w:val="none"/>
        </w:rPr>
      </w:pPr>
      <w:bookmarkStart w:id="25" w:name="_Toc15396606"/>
      <w:bookmarkStart w:id="26" w:name="_Toc15377208"/>
    </w:p>
    <w:p>
      <w:pPr>
        <w:spacing w:line="600" w:lineRule="exact"/>
        <w:ind w:firstLine="643" w:firstLineChars="200"/>
        <w:outlineLvl w:val="1"/>
        <w:rPr>
          <w:rFonts w:hint="eastAsia" w:ascii="宋体" w:hAnsi="宋体" w:eastAsia="宋体" w:cs="宋体"/>
          <w:b/>
          <w:bCs/>
          <w:color w:val="auto"/>
          <w:sz w:val="32"/>
          <w:szCs w:val="32"/>
          <w:highlight w:val="none"/>
        </w:rPr>
      </w:pPr>
    </w:p>
    <w:p>
      <w:pPr>
        <w:spacing w:line="600" w:lineRule="exact"/>
        <w:ind w:firstLine="643" w:firstLineChars="200"/>
        <w:outlineLvl w:val="1"/>
        <w:rPr>
          <w:rStyle w:val="30"/>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四、财</w:t>
      </w:r>
      <w:r>
        <w:rPr>
          <w:rStyle w:val="30"/>
          <w:rFonts w:hint="eastAsia" w:ascii="宋体" w:hAnsi="宋体" w:eastAsia="宋体" w:cs="宋体"/>
          <w:b/>
          <w:bCs/>
          <w:color w:val="auto"/>
          <w:sz w:val="32"/>
          <w:szCs w:val="32"/>
          <w:highlight w:val="none"/>
        </w:rPr>
        <w:t>政拨款收入支出决算总体情况说明</w:t>
      </w:r>
      <w:bookmarkEnd w:id="25"/>
      <w:bookmarkEnd w:id="2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2"/>
          <w:sz w:val="32"/>
          <w:szCs w:val="32"/>
          <w:highlight w:val="none"/>
          <w:lang w:val="en-US" w:eastAsia="zh-CN" w:bidi="ar-SA"/>
        </w:rPr>
        <w:t>2024年度财政拨款收入、支出总计均为</w:t>
      </w:r>
      <w:r>
        <w:rPr>
          <w:rFonts w:hint="eastAsia" w:ascii="宋体" w:hAnsi="宋体" w:eastAsia="宋体" w:cs="宋体"/>
          <w:sz w:val="32"/>
          <w:szCs w:val="32"/>
          <w:highlight w:val="none"/>
        </w:rPr>
        <w:t>1240.41</w:t>
      </w:r>
      <w:r>
        <w:rPr>
          <w:rFonts w:hint="eastAsia" w:ascii="宋体" w:hAnsi="宋体" w:eastAsia="宋体" w:cs="宋体"/>
          <w:color w:val="auto"/>
          <w:kern w:val="2"/>
          <w:sz w:val="32"/>
          <w:szCs w:val="32"/>
          <w:highlight w:val="none"/>
          <w:lang w:val="en-US" w:eastAsia="zh-CN" w:bidi="ar-SA"/>
        </w:rPr>
        <w:t>万元。与2023年度相比，财政拨款收入总计、支出总计</w:t>
      </w:r>
      <w:bookmarkStart w:id="27" w:name="OLE_LINK5"/>
      <w:r>
        <w:rPr>
          <w:rFonts w:hint="eastAsia" w:ascii="宋体" w:hAnsi="宋体" w:eastAsia="宋体" w:cs="宋体"/>
          <w:color w:val="auto"/>
          <w:kern w:val="2"/>
          <w:sz w:val="32"/>
          <w:szCs w:val="32"/>
          <w:highlight w:val="none"/>
          <w:lang w:val="en-US" w:eastAsia="zh-CN" w:bidi="ar-SA"/>
        </w:rPr>
        <w:t>增加51.40万元，增长</w:t>
      </w:r>
      <w:r>
        <w:rPr>
          <w:rFonts w:hint="eastAsia" w:ascii="宋体" w:hAnsi="宋体" w:eastAsia="宋体" w:cs="宋体"/>
          <w:color w:val="auto"/>
          <w:sz w:val="32"/>
          <w:szCs w:val="32"/>
          <w:highlight w:val="none"/>
          <w:lang w:val="en-US" w:eastAsia="zh-CN"/>
        </w:rPr>
        <w:t>4.32</w:t>
      </w:r>
      <w:r>
        <w:rPr>
          <w:rFonts w:hint="eastAsia" w:ascii="宋体" w:hAnsi="宋体" w:eastAsia="宋体" w:cs="宋体"/>
          <w:color w:val="auto"/>
          <w:sz w:val="32"/>
          <w:szCs w:val="32"/>
          <w:highlight w:val="none"/>
        </w:rPr>
        <w:t>%。主要变动原因是</w:t>
      </w:r>
      <w:r>
        <w:rPr>
          <w:rFonts w:hint="eastAsia" w:ascii="宋体" w:hAnsi="宋体" w:eastAsia="宋体" w:cs="宋体"/>
          <w:color w:val="auto"/>
          <w:sz w:val="32"/>
          <w:szCs w:val="32"/>
          <w:highlight w:val="none"/>
          <w:lang w:val="en-US" w:eastAsia="zh-CN"/>
        </w:rPr>
        <w:t>2024年专项经费有所增加。</w:t>
      </w:r>
    </w:p>
    <w:bookmarkEnd w:id="27"/>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000000"/>
          <w:sz w:val="32"/>
          <w:szCs w:val="32"/>
          <w:highlight w:val="none"/>
          <w:lang w:val="zh-CN"/>
        </w:rPr>
        <w:pict>
          <v:shape id="_x0000_s1031" o:spid="_x0000_s1031" o:spt="75" type="#_x0000_t75" style="position:absolute;left:0pt;margin-left:-3.95pt;margin-top:11.45pt;height:222.75pt;width:366pt;z-index:-251653120;mso-width-relative:page;mso-height-relative:page;" o:ole="t" filled="f" o:preferrelative="t" stroked="f" coordsize="21600,21600">
            <v:path/>
            <v:fill on="f" focussize="0,0"/>
            <v:stroke on="f"/>
            <v:imagedata r:id="rId17" o:title=""/>
            <o:lock v:ext="edit" aspectratio="t"/>
          </v:shape>
          <o:OLEObject Type="Embed" ProgID="Excel.Chart.8" ShapeID="_x0000_s1031" DrawAspect="Content" ObjectID="_1468075728" r:id="rId16">
            <o:LockedField>false</o:LockedField>
          </o:OLEObject>
        </w:pi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firstLineChars="20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（图4：财政拨款收、支决算总计变动情况）（柱状图）</w:t>
      </w:r>
    </w:p>
    <w:p>
      <w:pPr>
        <w:spacing w:line="600" w:lineRule="exact"/>
        <w:ind w:firstLine="640"/>
        <w:rPr>
          <w:rFonts w:hint="eastAsia" w:ascii="宋体" w:hAnsi="宋体" w:eastAsia="宋体" w:cs="宋体"/>
          <w:b/>
          <w:bCs/>
          <w:color w:val="auto"/>
          <w:kern w:val="2"/>
          <w:sz w:val="32"/>
          <w:szCs w:val="32"/>
          <w:highlight w:val="none"/>
          <w:lang w:val="en-US" w:eastAsia="zh-CN" w:bidi="ar-SA"/>
        </w:rPr>
      </w:pPr>
    </w:p>
    <w:p>
      <w:pPr>
        <w:spacing w:line="600" w:lineRule="exact"/>
        <w:ind w:firstLine="643" w:firstLineChars="200"/>
        <w:outlineLvl w:val="1"/>
        <w:rPr>
          <w:rStyle w:val="30"/>
          <w:rFonts w:hint="eastAsia" w:ascii="宋体" w:hAnsi="宋体" w:eastAsia="宋体" w:cs="宋体"/>
          <w:b/>
          <w:bCs/>
          <w:color w:val="auto"/>
          <w:sz w:val="32"/>
          <w:szCs w:val="32"/>
          <w:highlight w:val="none"/>
        </w:rPr>
      </w:pPr>
      <w:bookmarkStart w:id="28" w:name="_Toc15377209"/>
      <w:bookmarkStart w:id="29" w:name="_Toc15396607"/>
      <w:r>
        <w:rPr>
          <w:rFonts w:hint="eastAsia" w:ascii="宋体" w:hAnsi="宋体" w:eastAsia="宋体" w:cs="宋体"/>
          <w:b/>
          <w:bCs/>
          <w:color w:val="auto"/>
          <w:sz w:val="32"/>
          <w:szCs w:val="32"/>
          <w:highlight w:val="none"/>
        </w:rPr>
        <w:t>五、一</w:t>
      </w:r>
      <w:r>
        <w:rPr>
          <w:rStyle w:val="30"/>
          <w:rFonts w:hint="eastAsia" w:ascii="宋体" w:hAnsi="宋体" w:eastAsia="宋体" w:cs="宋体"/>
          <w:b/>
          <w:bCs/>
          <w:color w:val="auto"/>
          <w:sz w:val="32"/>
          <w:szCs w:val="32"/>
          <w:highlight w:val="none"/>
        </w:rPr>
        <w:t>般公共预算财政拨款支出决算情况说明</w:t>
      </w:r>
      <w:bookmarkEnd w:id="28"/>
      <w:bookmarkEnd w:id="29"/>
    </w:p>
    <w:p>
      <w:pPr>
        <w:spacing w:line="600" w:lineRule="exact"/>
        <w:ind w:firstLine="643" w:firstLineChars="200"/>
        <w:outlineLvl w:val="2"/>
        <w:rPr>
          <w:rFonts w:hint="eastAsia" w:ascii="宋体" w:hAnsi="宋体" w:eastAsia="宋体" w:cs="宋体"/>
          <w:b/>
          <w:color w:val="auto"/>
          <w:sz w:val="32"/>
          <w:szCs w:val="32"/>
          <w:highlight w:val="none"/>
        </w:rPr>
      </w:pPr>
      <w:bookmarkStart w:id="30" w:name="_Toc15377210"/>
      <w:r>
        <w:rPr>
          <w:rFonts w:hint="eastAsia" w:ascii="宋体" w:hAnsi="宋体" w:eastAsia="宋体" w:cs="宋体"/>
          <w:b/>
          <w:color w:val="auto"/>
          <w:sz w:val="32"/>
          <w:szCs w:val="32"/>
          <w:highlight w:val="none"/>
        </w:rPr>
        <w:t>（一）一般公共预算财政拨款支出决算总体情况</w:t>
      </w:r>
      <w:bookmarkEnd w:id="30"/>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2"/>
          <w:sz w:val="32"/>
          <w:szCs w:val="32"/>
          <w:highlight w:val="none"/>
          <w:lang w:val="en-US" w:eastAsia="zh-CN" w:bidi="ar-SA"/>
        </w:rPr>
        <w:t>2024年度一般公共预算财政拨款支出</w:t>
      </w:r>
      <w:r>
        <w:rPr>
          <w:rFonts w:hint="eastAsia" w:ascii="宋体" w:hAnsi="宋体" w:eastAsia="宋体" w:cs="宋体"/>
          <w:sz w:val="32"/>
          <w:szCs w:val="32"/>
          <w:highlight w:val="none"/>
        </w:rPr>
        <w:t>1236.45</w:t>
      </w:r>
      <w:r>
        <w:rPr>
          <w:rFonts w:hint="eastAsia" w:ascii="宋体" w:hAnsi="宋体" w:eastAsia="宋体" w:cs="宋体"/>
          <w:color w:val="auto"/>
          <w:kern w:val="2"/>
          <w:sz w:val="32"/>
          <w:szCs w:val="32"/>
          <w:highlight w:val="none"/>
          <w:lang w:val="en-US" w:eastAsia="zh-CN" w:bidi="ar-SA"/>
        </w:rPr>
        <w:t>万元，占本年支出合计的</w:t>
      </w:r>
      <w:r>
        <w:rPr>
          <w:rFonts w:hint="eastAsia" w:ascii="宋体" w:hAnsi="宋体" w:eastAsia="宋体" w:cs="宋体"/>
          <w:sz w:val="32"/>
          <w:szCs w:val="32"/>
          <w:highlight w:val="none"/>
        </w:rPr>
        <w:t>100</w:t>
      </w:r>
      <w:r>
        <w:rPr>
          <w:rFonts w:hint="eastAsia" w:ascii="宋体" w:hAnsi="宋体" w:eastAsia="宋体" w:cs="宋体"/>
          <w:color w:val="auto"/>
          <w:kern w:val="2"/>
          <w:sz w:val="32"/>
          <w:szCs w:val="32"/>
          <w:highlight w:val="none"/>
          <w:lang w:val="en-US" w:eastAsia="zh-CN" w:bidi="ar-SA"/>
        </w:rPr>
        <w:t>%。与2023年度相比，一般公共预算财政拨款支出增加51.40万元，增长</w:t>
      </w:r>
      <w:r>
        <w:rPr>
          <w:rFonts w:hint="eastAsia" w:ascii="宋体" w:hAnsi="宋体" w:eastAsia="宋体" w:cs="宋体"/>
          <w:color w:val="auto"/>
          <w:sz w:val="32"/>
          <w:szCs w:val="32"/>
          <w:highlight w:val="none"/>
          <w:lang w:val="en-US" w:eastAsia="zh-CN"/>
        </w:rPr>
        <w:t>4.32</w:t>
      </w:r>
      <w:r>
        <w:rPr>
          <w:rFonts w:hint="eastAsia" w:ascii="宋体" w:hAnsi="宋体" w:eastAsia="宋体" w:cs="宋体"/>
          <w:color w:val="auto"/>
          <w:sz w:val="32"/>
          <w:szCs w:val="32"/>
          <w:highlight w:val="none"/>
        </w:rPr>
        <w:t>%。主要变动原因是</w:t>
      </w:r>
      <w:r>
        <w:rPr>
          <w:rFonts w:hint="eastAsia" w:ascii="宋体" w:hAnsi="宋体" w:eastAsia="宋体" w:cs="宋体"/>
          <w:color w:val="auto"/>
          <w:sz w:val="32"/>
          <w:szCs w:val="32"/>
          <w:highlight w:val="none"/>
          <w:lang w:val="en-US" w:eastAsia="zh-CN"/>
        </w:rPr>
        <w:t>2024年专项经费有所增加。</w:t>
      </w: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sz w:val="32"/>
          <w:szCs w:val="32"/>
          <w:highlight w:val="none"/>
        </w:rPr>
        <w:pict>
          <v:shape id="Object 6" o:spid="_x0000_s1032" o:spt="75" type="#_x0000_t75" style="position:absolute;left:0pt;margin-left:31.25pt;margin-top:10.2pt;height:222.75pt;width:366pt;z-index:-251652096;mso-width-relative:page;mso-height-relative:page;" o:ole="t" filled="f" o:preferrelative="t" stroked="f" coordsize="21600,21600">
            <v:path/>
            <v:fill on="f" focussize="0,0"/>
            <v:stroke on="f"/>
            <v:imagedata r:id="rId19" o:title=""/>
            <o:lock v:ext="edit" aspectratio="t"/>
          </v:shape>
          <o:OLEObject Type="Embed" ProgID="Excel.Chart.8" ShapeID="Object 6" DrawAspect="Content" ObjectID="_1468075729" r:id="rId18">
            <o:LockedField>false</o:LockedField>
          </o:OLEObject>
        </w:pict>
      </w: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pStyle w:val="2"/>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（图5：一般公共预算财政拨款支出决算变动情况）（柱状图）</w:t>
      </w:r>
    </w:p>
    <w:p>
      <w:pPr>
        <w:spacing w:line="600" w:lineRule="exact"/>
        <w:ind w:firstLine="643" w:firstLineChars="200"/>
        <w:outlineLvl w:val="2"/>
        <w:rPr>
          <w:rFonts w:hint="eastAsia" w:ascii="宋体" w:hAnsi="宋体" w:eastAsia="宋体" w:cs="宋体"/>
          <w:b/>
          <w:color w:val="auto"/>
          <w:sz w:val="32"/>
          <w:szCs w:val="32"/>
          <w:highlight w:val="none"/>
        </w:rPr>
      </w:pPr>
      <w:bookmarkStart w:id="31" w:name="_Toc15377211"/>
      <w:r>
        <w:rPr>
          <w:rFonts w:hint="eastAsia" w:ascii="宋体" w:hAnsi="宋体" w:eastAsia="宋体" w:cs="宋体"/>
          <w:b/>
          <w:color w:val="auto"/>
          <w:sz w:val="32"/>
          <w:szCs w:val="32"/>
          <w:highlight w:val="none"/>
        </w:rPr>
        <w:t>（二）一般公共预算财政拨款支出决算结构情况</w:t>
      </w:r>
      <w:bookmarkEnd w:id="31"/>
    </w:p>
    <w:p>
      <w:pPr>
        <w:spacing w:line="600" w:lineRule="exact"/>
        <w:ind w:firstLine="640" w:firstLineChars="200"/>
        <w:outlineLvl w:val="2"/>
        <w:rPr>
          <w:rFonts w:hint="eastAsia" w:ascii="宋体" w:hAnsi="宋体" w:eastAsia="宋体" w:cs="宋体"/>
          <w:color w:val="000000"/>
          <w:sz w:val="32"/>
          <w:szCs w:val="32"/>
          <w:highlight w:val="none"/>
          <w:lang w:val="zh-CN"/>
        </w:rPr>
      </w:pPr>
      <w:r>
        <w:rPr>
          <w:rFonts w:hint="eastAsia" w:ascii="宋体" w:hAnsi="宋体" w:eastAsia="宋体" w:cs="宋体"/>
          <w:color w:val="auto"/>
          <w:kern w:val="2"/>
          <w:sz w:val="32"/>
          <w:szCs w:val="32"/>
          <w:highlight w:val="none"/>
          <w:lang w:val="en-US" w:eastAsia="zh-CN" w:bidi="ar-SA"/>
        </w:rPr>
        <w:t>2024年度一般公共预算财政拨款支出</w:t>
      </w:r>
      <w:r>
        <w:rPr>
          <w:rFonts w:hint="eastAsia" w:ascii="宋体" w:hAnsi="宋体" w:eastAsia="宋体" w:cs="宋体"/>
          <w:sz w:val="32"/>
          <w:szCs w:val="32"/>
          <w:highlight w:val="none"/>
        </w:rPr>
        <w:t>1236.45</w:t>
      </w:r>
      <w:r>
        <w:rPr>
          <w:rFonts w:hint="eastAsia" w:ascii="宋体" w:hAnsi="宋体" w:eastAsia="宋体" w:cs="宋体"/>
          <w:color w:val="auto"/>
          <w:kern w:val="2"/>
          <w:sz w:val="32"/>
          <w:szCs w:val="32"/>
          <w:highlight w:val="none"/>
          <w:lang w:val="en-US" w:eastAsia="zh-CN" w:bidi="ar-SA"/>
        </w:rPr>
        <w:t>万元，主要用于以下方面</w:t>
      </w:r>
      <w:r>
        <w:rPr>
          <w:rFonts w:hint="eastAsia" w:ascii="宋体" w:hAnsi="宋体" w:eastAsia="宋体" w:cs="宋体"/>
          <w:sz w:val="32"/>
          <w:szCs w:val="32"/>
          <w:highlight w:val="none"/>
        </w:rPr>
        <w:t>:</w:t>
      </w:r>
      <w:r>
        <w:rPr>
          <w:rFonts w:hint="eastAsia" w:ascii="宋体" w:hAnsi="宋体" w:eastAsia="宋体" w:cs="宋体"/>
          <w:color w:val="000000"/>
          <w:sz w:val="32"/>
          <w:szCs w:val="32"/>
          <w:highlight w:val="none"/>
          <w:lang w:val="zh-CN"/>
        </w:rPr>
        <w:t>一般公共服务支出</w:t>
      </w:r>
      <w:r>
        <w:rPr>
          <w:rFonts w:hint="eastAsia" w:ascii="宋体" w:hAnsi="宋体" w:eastAsia="宋体" w:cs="宋体"/>
          <w:sz w:val="32"/>
          <w:szCs w:val="32"/>
          <w:highlight w:val="none"/>
          <w:lang w:val="en-US" w:eastAsia="zh-CN"/>
        </w:rPr>
        <w:t>914.78</w:t>
      </w:r>
      <w:r>
        <w:rPr>
          <w:rFonts w:hint="eastAsia" w:ascii="宋体" w:hAnsi="宋体" w:eastAsia="宋体" w:cs="宋体"/>
          <w:color w:val="000000"/>
          <w:sz w:val="32"/>
          <w:szCs w:val="32"/>
          <w:highlight w:val="none"/>
          <w:lang w:val="zh-CN"/>
        </w:rPr>
        <w:t>万元，占</w:t>
      </w:r>
      <w:r>
        <w:rPr>
          <w:rFonts w:hint="eastAsia" w:ascii="宋体" w:hAnsi="宋体" w:eastAsia="宋体" w:cs="宋体"/>
          <w:sz w:val="32"/>
          <w:szCs w:val="32"/>
          <w:highlight w:val="none"/>
          <w:lang w:val="en-US" w:eastAsia="zh-CN"/>
        </w:rPr>
        <w:t>73.98</w:t>
      </w:r>
      <w:r>
        <w:rPr>
          <w:rFonts w:hint="eastAsia" w:ascii="宋体" w:hAnsi="宋体" w:eastAsia="宋体" w:cs="宋体"/>
          <w:color w:val="000000"/>
          <w:sz w:val="32"/>
          <w:szCs w:val="32"/>
          <w:highlight w:val="none"/>
          <w:lang w:val="zh-CN"/>
        </w:rPr>
        <w:t>%；社会保障和就业支出</w:t>
      </w:r>
      <w:r>
        <w:rPr>
          <w:rFonts w:hint="eastAsia" w:ascii="宋体" w:hAnsi="宋体" w:eastAsia="宋体" w:cs="宋体"/>
          <w:color w:val="000000"/>
          <w:sz w:val="32"/>
          <w:szCs w:val="32"/>
          <w:highlight w:val="none"/>
          <w:lang w:val="en-US" w:eastAsia="zh-CN"/>
        </w:rPr>
        <w:t>210.14</w:t>
      </w:r>
      <w:r>
        <w:rPr>
          <w:rFonts w:hint="eastAsia" w:ascii="宋体" w:hAnsi="宋体" w:eastAsia="宋体" w:cs="宋体"/>
          <w:color w:val="000000"/>
          <w:sz w:val="32"/>
          <w:szCs w:val="32"/>
          <w:highlight w:val="none"/>
          <w:lang w:val="zh-CN"/>
        </w:rPr>
        <w:t>万元，占</w:t>
      </w:r>
      <w:r>
        <w:rPr>
          <w:rFonts w:hint="eastAsia" w:ascii="宋体" w:hAnsi="宋体" w:eastAsia="宋体" w:cs="宋体"/>
          <w:color w:val="000000"/>
          <w:sz w:val="32"/>
          <w:szCs w:val="32"/>
          <w:highlight w:val="none"/>
          <w:lang w:val="en-US" w:eastAsia="zh-CN"/>
        </w:rPr>
        <w:t>17.00</w:t>
      </w:r>
      <w:r>
        <w:rPr>
          <w:rFonts w:hint="eastAsia" w:ascii="宋体" w:hAnsi="宋体" w:eastAsia="宋体" w:cs="宋体"/>
          <w:color w:val="000000"/>
          <w:sz w:val="32"/>
          <w:szCs w:val="32"/>
          <w:highlight w:val="none"/>
          <w:lang w:val="zh-CN"/>
        </w:rPr>
        <w:t>%；卫生健康支出</w:t>
      </w:r>
      <w:r>
        <w:rPr>
          <w:rFonts w:hint="eastAsia" w:ascii="宋体" w:hAnsi="宋体" w:eastAsia="宋体" w:cs="宋体"/>
          <w:color w:val="000000"/>
          <w:sz w:val="32"/>
          <w:szCs w:val="32"/>
          <w:highlight w:val="none"/>
          <w:lang w:val="en-US" w:eastAsia="zh-CN"/>
        </w:rPr>
        <w:t>55.60</w:t>
      </w:r>
      <w:r>
        <w:rPr>
          <w:rFonts w:hint="eastAsia" w:ascii="宋体" w:hAnsi="宋体" w:eastAsia="宋体" w:cs="宋体"/>
          <w:color w:val="000000"/>
          <w:sz w:val="32"/>
          <w:szCs w:val="32"/>
          <w:highlight w:val="none"/>
          <w:lang w:val="zh-CN"/>
        </w:rPr>
        <w:t>万元，占</w:t>
      </w:r>
      <w:r>
        <w:rPr>
          <w:rFonts w:hint="eastAsia" w:ascii="宋体" w:hAnsi="宋体" w:eastAsia="宋体" w:cs="宋体"/>
          <w:color w:val="000000"/>
          <w:sz w:val="32"/>
          <w:szCs w:val="32"/>
          <w:highlight w:val="none"/>
        </w:rPr>
        <w:t>4.</w:t>
      </w:r>
      <w:r>
        <w:rPr>
          <w:rFonts w:hint="eastAsia" w:ascii="宋体" w:hAnsi="宋体" w:eastAsia="宋体" w:cs="宋体"/>
          <w:color w:val="000000"/>
          <w:sz w:val="32"/>
          <w:szCs w:val="32"/>
          <w:highlight w:val="none"/>
          <w:lang w:val="en-US" w:eastAsia="zh-CN"/>
        </w:rPr>
        <w:t>50</w:t>
      </w:r>
      <w:r>
        <w:rPr>
          <w:rFonts w:hint="eastAsia" w:ascii="宋体" w:hAnsi="宋体" w:eastAsia="宋体" w:cs="宋体"/>
          <w:color w:val="000000"/>
          <w:sz w:val="32"/>
          <w:szCs w:val="32"/>
          <w:highlight w:val="none"/>
          <w:lang w:val="zh-CN"/>
        </w:rPr>
        <w:t>%；住房保障支出</w:t>
      </w:r>
      <w:r>
        <w:rPr>
          <w:rFonts w:hint="eastAsia" w:ascii="宋体" w:hAnsi="宋体" w:eastAsia="宋体" w:cs="宋体"/>
          <w:color w:val="000000"/>
          <w:sz w:val="32"/>
          <w:szCs w:val="32"/>
          <w:highlight w:val="none"/>
          <w:lang w:val="en-US" w:eastAsia="zh-CN"/>
        </w:rPr>
        <w:t>55.92</w:t>
      </w:r>
      <w:r>
        <w:rPr>
          <w:rFonts w:hint="eastAsia" w:ascii="宋体" w:hAnsi="宋体" w:eastAsia="宋体" w:cs="宋体"/>
          <w:color w:val="000000"/>
          <w:sz w:val="32"/>
          <w:szCs w:val="32"/>
          <w:highlight w:val="none"/>
          <w:lang w:val="zh-CN"/>
        </w:rPr>
        <w:t>万元，占</w:t>
      </w:r>
      <w:r>
        <w:rPr>
          <w:rFonts w:hint="eastAsia" w:ascii="宋体" w:hAnsi="宋体" w:eastAsia="宋体" w:cs="宋体"/>
          <w:color w:val="000000"/>
          <w:sz w:val="32"/>
          <w:szCs w:val="32"/>
          <w:highlight w:val="none"/>
        </w:rPr>
        <w:t>4.</w:t>
      </w:r>
      <w:r>
        <w:rPr>
          <w:rFonts w:hint="eastAsia" w:ascii="宋体" w:hAnsi="宋体" w:eastAsia="宋体" w:cs="宋体"/>
          <w:color w:val="000000"/>
          <w:sz w:val="32"/>
          <w:szCs w:val="32"/>
          <w:highlight w:val="none"/>
          <w:lang w:val="en-US" w:eastAsia="zh-CN"/>
        </w:rPr>
        <w:t>52</w:t>
      </w:r>
      <w:r>
        <w:rPr>
          <w:rFonts w:hint="eastAsia" w:ascii="宋体" w:hAnsi="宋体" w:eastAsia="宋体" w:cs="宋体"/>
          <w:color w:val="000000"/>
          <w:sz w:val="32"/>
          <w:szCs w:val="32"/>
          <w:highlight w:val="none"/>
          <w:lang w:val="zh-CN"/>
        </w:rPr>
        <w:t>%。</w:t>
      </w:r>
    </w:p>
    <w:p>
      <w:pPr>
        <w:pStyle w:val="2"/>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r>
        <w:rPr>
          <w:rFonts w:hint="eastAsia" w:ascii="宋体" w:hAnsi="宋体" w:eastAsia="宋体" w:cs="宋体"/>
          <w:b/>
          <w:sz w:val="32"/>
          <w:szCs w:val="32"/>
          <w:highlight w:val="none"/>
        </w:rPr>
        <w:pict>
          <v:shape id="_x0000_s1033" o:spid="_x0000_s1033" o:spt="75" type="#_x0000_t75" style="position:absolute;left:0pt;margin-left:32.35pt;margin-top:23.65pt;height:222.75pt;width:366pt;z-index:-251651072;mso-width-relative:page;mso-height-relative:page;" o:ole="t" filled="f" o:preferrelative="t" stroked="f" coordsize="21600,21600">
            <v:path/>
            <v:fill on="f" focussize="0,0"/>
            <v:stroke on="f"/>
            <v:imagedata r:id="rId21" o:title=""/>
            <o:lock v:ext="edit" aspectratio="t"/>
          </v:shape>
          <o:OLEObject Type="Embed" ProgID="Excel.Chart.8" ShapeID="_x0000_s1033" DrawAspect="Content" ObjectID="_1468075730" r:id="rId20">
            <o:LockedField>false</o:LockedField>
          </o:OLEObject>
        </w:pict>
      </w:r>
    </w:p>
    <w:p>
      <w:pPr>
        <w:pStyle w:val="3"/>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p>
    <w:p>
      <w:pPr>
        <w:pStyle w:val="2"/>
        <w:rPr>
          <w:rFonts w:hint="eastAsia" w:ascii="宋体" w:hAnsi="宋体" w:eastAsia="宋体" w:cs="宋体"/>
          <w:b/>
          <w:bCs/>
          <w:color w:val="auto"/>
          <w:kern w:val="2"/>
          <w:sz w:val="32"/>
          <w:szCs w:val="32"/>
          <w:highlight w:val="none"/>
          <w:lang w:val="en-US" w:eastAsia="zh-CN" w:bidi="ar-SA"/>
        </w:rPr>
      </w:pPr>
    </w:p>
    <w:p>
      <w:pPr>
        <w:pStyle w:val="3"/>
        <w:rPr>
          <w:rFonts w:hint="eastAsia" w:ascii="宋体" w:hAnsi="宋体" w:eastAsia="宋体" w:cs="宋体"/>
          <w:b/>
          <w:bCs/>
          <w:color w:val="auto"/>
          <w:kern w:val="2"/>
          <w:sz w:val="32"/>
          <w:szCs w:val="32"/>
          <w:highlight w:val="none"/>
          <w:lang w:val="en-US" w:eastAsia="zh-CN" w:bidi="ar-SA"/>
        </w:rPr>
      </w:pPr>
    </w:p>
    <w:p>
      <w:pPr>
        <w:pStyle w:val="3"/>
        <w:rPr>
          <w:rFonts w:hint="eastAsia" w:ascii="宋体" w:hAnsi="宋体" w:eastAsia="宋体" w:cs="宋体"/>
          <w:b/>
          <w:bCs/>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pStyle w:val="2"/>
        <w:rPr>
          <w:rFonts w:hint="eastAsia" w:ascii="宋体" w:hAnsi="宋体" w:eastAsia="宋体" w:cs="宋体"/>
          <w:color w:val="auto"/>
          <w:kern w:val="2"/>
          <w:sz w:val="32"/>
          <w:szCs w:val="32"/>
          <w:highlight w:val="none"/>
          <w:lang w:val="en-US" w:eastAsia="zh-CN" w:bidi="ar-SA"/>
        </w:rPr>
      </w:pPr>
    </w:p>
    <w:p>
      <w:pPr>
        <w:pStyle w:val="3"/>
        <w:rPr>
          <w:rFonts w:hint="eastAsia"/>
          <w:lang w:val="en-US" w:eastAsia="zh-CN"/>
        </w:rPr>
      </w:pP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3" w:firstLineChars="200"/>
        <w:outlineLvl w:val="2"/>
        <w:rPr>
          <w:rFonts w:hint="eastAsia" w:ascii="宋体" w:hAnsi="宋体" w:eastAsia="宋体" w:cs="宋体"/>
          <w:b/>
          <w:color w:val="auto"/>
          <w:sz w:val="32"/>
          <w:szCs w:val="32"/>
          <w:highlight w:val="none"/>
        </w:rPr>
      </w:pPr>
      <w:bookmarkStart w:id="32" w:name="_Toc15377212"/>
      <w:r>
        <w:rPr>
          <w:rFonts w:hint="eastAsia" w:ascii="宋体" w:hAnsi="宋体" w:eastAsia="宋体" w:cs="宋体"/>
          <w:b/>
          <w:color w:val="auto"/>
          <w:sz w:val="32"/>
          <w:szCs w:val="32"/>
          <w:highlight w:val="none"/>
        </w:rPr>
        <w:t>（三）一般公共预算财政拨款支出决算具体情况</w:t>
      </w:r>
      <w:bookmarkEnd w:id="32"/>
    </w:p>
    <w:p>
      <w:pPr>
        <w:spacing w:line="600" w:lineRule="exact"/>
        <w:ind w:firstLine="640"/>
        <w:rPr>
          <w:rFonts w:hint="eastAsia" w:ascii="宋体" w:hAnsi="宋体" w:eastAsia="宋体" w:cs="宋体"/>
          <w:b w:val="0"/>
          <w:bCs w:val="0"/>
          <w:color w:val="auto"/>
          <w:kern w:val="2"/>
          <w:sz w:val="32"/>
          <w:szCs w:val="32"/>
          <w:highlight w:val="none"/>
          <w:lang w:val="en-US" w:eastAsia="zh-CN" w:bidi="ar-SA"/>
        </w:rPr>
      </w:pPr>
      <w:bookmarkStart w:id="33" w:name="_Toc15377213"/>
      <w:bookmarkStart w:id="34" w:name="_Toc15378460"/>
      <w:bookmarkStart w:id="35" w:name="_Toc15377444"/>
      <w:r>
        <w:rPr>
          <w:rFonts w:hint="eastAsia" w:ascii="宋体" w:hAnsi="宋体" w:eastAsia="宋体" w:cs="宋体"/>
          <w:b w:val="0"/>
          <w:bCs w:val="0"/>
          <w:color w:val="auto"/>
          <w:kern w:val="2"/>
          <w:sz w:val="32"/>
          <w:szCs w:val="32"/>
          <w:highlight w:val="none"/>
          <w:lang w:val="en-US" w:eastAsia="zh-CN" w:bidi="ar-SA"/>
        </w:rPr>
        <w:t>2024年度一般公共预算财政拨款支出决算数为</w:t>
      </w:r>
      <w:r>
        <w:rPr>
          <w:rFonts w:hint="eastAsia" w:ascii="宋体" w:hAnsi="宋体" w:eastAsia="宋体" w:cs="宋体"/>
          <w:b w:val="0"/>
          <w:bCs w:val="0"/>
          <w:sz w:val="32"/>
          <w:szCs w:val="32"/>
          <w:highlight w:val="none"/>
        </w:rPr>
        <w:t>1236.45</w:t>
      </w:r>
      <w:r>
        <w:rPr>
          <w:rFonts w:hint="eastAsia" w:ascii="宋体" w:hAnsi="宋体" w:cs="宋体"/>
          <w:b w:val="0"/>
          <w:bCs w:val="0"/>
          <w:sz w:val="32"/>
          <w:szCs w:val="32"/>
          <w:highlight w:val="none"/>
          <w:lang w:val="en-US" w:eastAsia="zh-CN"/>
        </w:rPr>
        <w:t>万元</w:t>
      </w:r>
      <w:r>
        <w:rPr>
          <w:rFonts w:hint="eastAsia" w:ascii="宋体" w:hAnsi="宋体" w:eastAsia="宋体" w:cs="宋体"/>
          <w:b w:val="0"/>
          <w:bCs w:val="0"/>
          <w:color w:val="auto"/>
          <w:kern w:val="2"/>
          <w:sz w:val="32"/>
          <w:szCs w:val="32"/>
          <w:highlight w:val="none"/>
          <w:lang w:val="en-US" w:eastAsia="zh-CN" w:bidi="ar-SA"/>
        </w:rPr>
        <w:t>，完成预算100%。其中：</w:t>
      </w:r>
      <w:bookmarkEnd w:id="33"/>
      <w:bookmarkEnd w:id="34"/>
      <w:bookmarkEnd w:id="35"/>
    </w:p>
    <w:p>
      <w:pPr>
        <w:spacing w:line="600" w:lineRule="exact"/>
        <w:ind w:firstLine="640" w:firstLineChars="200"/>
        <w:rPr>
          <w:rStyle w:val="18"/>
          <w:rFonts w:hint="eastAsia" w:ascii="宋体" w:hAnsi="宋体" w:eastAsia="宋体" w:cs="宋体"/>
          <w:b w:val="0"/>
          <w:bCs w:val="0"/>
          <w:sz w:val="32"/>
          <w:szCs w:val="32"/>
          <w:highlight w:val="none"/>
        </w:rPr>
      </w:pPr>
      <w:bookmarkStart w:id="36" w:name="OLE_LINK3"/>
      <w:r>
        <w:rPr>
          <w:rStyle w:val="18"/>
          <w:rFonts w:hint="eastAsia" w:ascii="宋体" w:hAnsi="宋体" w:eastAsia="宋体" w:cs="宋体"/>
          <w:b w:val="0"/>
          <w:bCs w:val="0"/>
          <w:sz w:val="32"/>
          <w:szCs w:val="32"/>
          <w:highlight w:val="none"/>
          <w:lang w:val="en-US" w:eastAsia="zh-CN"/>
        </w:rPr>
        <w:t>1</w:t>
      </w:r>
      <w:r>
        <w:rPr>
          <w:rStyle w:val="18"/>
          <w:rFonts w:hint="eastAsia" w:ascii="宋体" w:hAnsi="宋体" w:eastAsia="宋体" w:cs="宋体"/>
          <w:b w:val="0"/>
          <w:bCs w:val="0"/>
          <w:sz w:val="32"/>
          <w:szCs w:val="32"/>
          <w:highlight w:val="none"/>
        </w:rPr>
        <w:t>.一般公共服务（类）财政事务（款）行政运行（项）: 支出决算为</w:t>
      </w:r>
      <w:r>
        <w:rPr>
          <w:rStyle w:val="18"/>
          <w:rFonts w:hint="eastAsia" w:ascii="宋体" w:hAnsi="宋体" w:eastAsia="宋体" w:cs="宋体"/>
          <w:b w:val="0"/>
          <w:bCs w:val="0"/>
          <w:sz w:val="32"/>
          <w:szCs w:val="32"/>
          <w:highlight w:val="none"/>
          <w:lang w:val="en-US" w:eastAsia="zh-CN"/>
        </w:rPr>
        <w:t>443.65</w:t>
      </w:r>
      <w:r>
        <w:rPr>
          <w:rStyle w:val="18"/>
          <w:rFonts w:hint="eastAsia" w:ascii="宋体" w:hAnsi="宋体" w:eastAsia="宋体" w:cs="宋体"/>
          <w:b w:val="0"/>
          <w:bCs w:val="0"/>
          <w:sz w:val="32"/>
          <w:szCs w:val="32"/>
          <w:highlight w:val="none"/>
        </w:rPr>
        <w:t>万元，完成预算100%。</w:t>
      </w:r>
    </w:p>
    <w:p>
      <w:pPr>
        <w:pStyle w:val="8"/>
        <w:spacing w:before="93"/>
        <w:ind w:firstLine="640" w:firstLineChars="200"/>
        <w:rPr>
          <w:rStyle w:val="18"/>
          <w:rFonts w:hint="eastAsia" w:ascii="宋体" w:hAnsi="宋体" w:eastAsia="宋体" w:cs="宋体"/>
          <w:b w:val="0"/>
          <w:bCs w:val="0"/>
          <w:sz w:val="32"/>
          <w:szCs w:val="32"/>
          <w:highlight w:val="none"/>
        </w:rPr>
      </w:pPr>
      <w:r>
        <w:rPr>
          <w:rStyle w:val="18"/>
          <w:rFonts w:hint="eastAsia" w:ascii="宋体" w:hAnsi="宋体" w:eastAsia="宋体" w:cs="宋体"/>
          <w:b w:val="0"/>
          <w:bCs w:val="0"/>
          <w:sz w:val="32"/>
          <w:szCs w:val="32"/>
          <w:highlight w:val="none"/>
          <w:lang w:val="en-US" w:eastAsia="zh-CN"/>
        </w:rPr>
        <w:t>2</w:t>
      </w:r>
      <w:r>
        <w:rPr>
          <w:rStyle w:val="18"/>
          <w:rFonts w:hint="eastAsia" w:ascii="宋体" w:hAnsi="宋体" w:eastAsia="宋体" w:cs="宋体"/>
          <w:b w:val="0"/>
          <w:bCs w:val="0"/>
          <w:sz w:val="32"/>
          <w:szCs w:val="32"/>
          <w:highlight w:val="none"/>
        </w:rPr>
        <w:t>.一般公共服务（类）财政事务（款）一般行政管理事务（项）: 支出决算为</w:t>
      </w:r>
      <w:r>
        <w:rPr>
          <w:rStyle w:val="18"/>
          <w:rFonts w:hint="eastAsia" w:ascii="宋体" w:hAnsi="宋体" w:eastAsia="宋体" w:cs="宋体"/>
          <w:b w:val="0"/>
          <w:bCs w:val="0"/>
          <w:sz w:val="32"/>
          <w:szCs w:val="32"/>
          <w:highlight w:val="none"/>
          <w:lang w:val="en-US" w:eastAsia="zh-CN"/>
        </w:rPr>
        <w:t>114.77</w:t>
      </w:r>
      <w:r>
        <w:rPr>
          <w:rStyle w:val="18"/>
          <w:rFonts w:hint="eastAsia" w:ascii="宋体" w:hAnsi="宋体" w:eastAsia="宋体" w:cs="宋体"/>
          <w:b w:val="0"/>
          <w:bCs w:val="0"/>
          <w:sz w:val="32"/>
          <w:szCs w:val="32"/>
          <w:highlight w:val="none"/>
        </w:rPr>
        <w:t>万元，完成预算100%。</w:t>
      </w:r>
    </w:p>
    <w:p>
      <w:pPr>
        <w:pStyle w:val="8"/>
        <w:spacing w:before="93"/>
        <w:ind w:firstLine="640" w:firstLineChars="200"/>
        <w:rPr>
          <w:rFonts w:hint="eastAsia" w:ascii="宋体" w:hAnsi="宋体" w:eastAsia="宋体" w:cs="宋体"/>
          <w:b w:val="0"/>
          <w:bCs w:val="0"/>
          <w:sz w:val="32"/>
          <w:szCs w:val="32"/>
          <w:highlight w:val="none"/>
        </w:rPr>
      </w:pPr>
      <w:r>
        <w:rPr>
          <w:rStyle w:val="18"/>
          <w:rFonts w:hint="eastAsia" w:ascii="宋体" w:hAnsi="宋体" w:eastAsia="宋体" w:cs="宋体"/>
          <w:b w:val="0"/>
          <w:bCs w:val="0"/>
          <w:sz w:val="32"/>
          <w:szCs w:val="32"/>
          <w:highlight w:val="none"/>
          <w:lang w:val="en-US" w:eastAsia="zh-CN"/>
        </w:rPr>
        <w:t>3.</w:t>
      </w:r>
      <w:r>
        <w:rPr>
          <w:rStyle w:val="18"/>
          <w:rFonts w:hint="eastAsia" w:ascii="宋体" w:hAnsi="宋体" w:eastAsia="宋体" w:cs="宋体"/>
          <w:b w:val="0"/>
          <w:bCs w:val="0"/>
          <w:sz w:val="32"/>
          <w:szCs w:val="32"/>
          <w:highlight w:val="none"/>
        </w:rPr>
        <w:t>一般公共服务（类）财政事务（款）财政委托业务支出（项）: 支出决算为</w:t>
      </w:r>
      <w:r>
        <w:rPr>
          <w:rStyle w:val="18"/>
          <w:rFonts w:hint="eastAsia" w:ascii="宋体" w:hAnsi="宋体" w:eastAsia="宋体" w:cs="宋体"/>
          <w:b w:val="0"/>
          <w:bCs w:val="0"/>
          <w:sz w:val="32"/>
          <w:szCs w:val="32"/>
          <w:highlight w:val="none"/>
          <w:lang w:val="en-US" w:eastAsia="zh-CN"/>
        </w:rPr>
        <w:t>199.48</w:t>
      </w:r>
      <w:r>
        <w:rPr>
          <w:rStyle w:val="18"/>
          <w:rFonts w:hint="eastAsia" w:ascii="宋体" w:hAnsi="宋体" w:eastAsia="宋体" w:cs="宋体"/>
          <w:b w:val="0"/>
          <w:bCs w:val="0"/>
          <w:sz w:val="32"/>
          <w:szCs w:val="32"/>
          <w:highlight w:val="none"/>
        </w:rPr>
        <w:t>万元，完成预算100%。</w:t>
      </w:r>
    </w:p>
    <w:p>
      <w:pPr>
        <w:pStyle w:val="8"/>
        <w:spacing w:before="93"/>
        <w:ind w:firstLine="640" w:firstLineChars="200"/>
        <w:rPr>
          <w:rFonts w:hint="eastAsia" w:ascii="宋体" w:hAnsi="宋体" w:eastAsia="宋体" w:cs="宋体"/>
          <w:b w:val="0"/>
          <w:bCs w:val="0"/>
          <w:sz w:val="32"/>
          <w:szCs w:val="32"/>
          <w:highlight w:val="none"/>
        </w:rPr>
      </w:pPr>
      <w:r>
        <w:rPr>
          <w:rStyle w:val="18"/>
          <w:rFonts w:hint="eastAsia" w:ascii="宋体" w:hAnsi="宋体" w:eastAsia="宋体" w:cs="宋体"/>
          <w:b w:val="0"/>
          <w:bCs w:val="0"/>
          <w:sz w:val="32"/>
          <w:szCs w:val="32"/>
          <w:highlight w:val="none"/>
        </w:rPr>
        <w:t>5.一般公共服务（类）财政事务（款）事业运行（项）: 支出决算为</w:t>
      </w:r>
      <w:r>
        <w:rPr>
          <w:rStyle w:val="18"/>
          <w:rFonts w:hint="eastAsia" w:ascii="宋体" w:hAnsi="宋体" w:eastAsia="宋体" w:cs="宋体"/>
          <w:b w:val="0"/>
          <w:bCs w:val="0"/>
          <w:sz w:val="32"/>
          <w:szCs w:val="32"/>
          <w:highlight w:val="none"/>
          <w:lang w:val="en-US" w:eastAsia="zh-CN"/>
        </w:rPr>
        <w:t>156.88</w:t>
      </w:r>
      <w:r>
        <w:rPr>
          <w:rStyle w:val="18"/>
          <w:rFonts w:hint="eastAsia" w:ascii="宋体" w:hAnsi="宋体" w:eastAsia="宋体" w:cs="宋体"/>
          <w:b w:val="0"/>
          <w:bCs w:val="0"/>
          <w:sz w:val="32"/>
          <w:szCs w:val="32"/>
          <w:highlight w:val="none"/>
        </w:rPr>
        <w:t>万元，完成预算100%。</w:t>
      </w:r>
    </w:p>
    <w:p>
      <w:pPr>
        <w:spacing w:line="600" w:lineRule="exact"/>
        <w:ind w:firstLine="640" w:firstLineChars="200"/>
        <w:rPr>
          <w:rFonts w:hint="eastAsia" w:ascii="宋体" w:hAnsi="宋体" w:eastAsia="宋体" w:cs="宋体"/>
          <w:b w:val="0"/>
          <w:bCs w:val="0"/>
          <w:sz w:val="32"/>
          <w:szCs w:val="32"/>
          <w:highlight w:val="none"/>
        </w:rPr>
      </w:pPr>
      <w:r>
        <w:rPr>
          <w:rStyle w:val="18"/>
          <w:rFonts w:hint="eastAsia" w:ascii="宋体" w:hAnsi="宋体" w:eastAsia="宋体" w:cs="宋体"/>
          <w:b w:val="0"/>
          <w:bCs w:val="0"/>
          <w:sz w:val="32"/>
          <w:szCs w:val="32"/>
          <w:highlight w:val="none"/>
        </w:rPr>
        <w:t>6.社会保障和就业（类）行政事业单位养老支出（款）行政单位离退休（项）: 支出决算为</w:t>
      </w:r>
      <w:r>
        <w:rPr>
          <w:rStyle w:val="18"/>
          <w:rFonts w:hint="eastAsia" w:ascii="宋体" w:hAnsi="宋体" w:eastAsia="宋体" w:cs="宋体"/>
          <w:b w:val="0"/>
          <w:bCs w:val="0"/>
          <w:sz w:val="32"/>
          <w:szCs w:val="32"/>
          <w:highlight w:val="none"/>
          <w:lang w:val="en-US" w:eastAsia="zh-CN"/>
        </w:rPr>
        <w:t>38.15</w:t>
      </w:r>
      <w:r>
        <w:rPr>
          <w:rStyle w:val="18"/>
          <w:rFonts w:hint="eastAsia" w:ascii="宋体" w:hAnsi="宋体" w:eastAsia="宋体" w:cs="宋体"/>
          <w:b w:val="0"/>
          <w:bCs w:val="0"/>
          <w:sz w:val="32"/>
          <w:szCs w:val="32"/>
          <w:highlight w:val="none"/>
        </w:rPr>
        <w:t>万元，完成预算100%。</w:t>
      </w:r>
    </w:p>
    <w:p>
      <w:pPr>
        <w:spacing w:line="600" w:lineRule="exact"/>
        <w:ind w:firstLine="640" w:firstLineChars="200"/>
        <w:rPr>
          <w:rStyle w:val="18"/>
          <w:rFonts w:hint="eastAsia" w:ascii="宋体" w:hAnsi="宋体" w:eastAsia="宋体" w:cs="宋体"/>
          <w:b w:val="0"/>
          <w:bCs w:val="0"/>
          <w:sz w:val="32"/>
          <w:szCs w:val="32"/>
          <w:highlight w:val="none"/>
        </w:rPr>
      </w:pPr>
      <w:r>
        <w:rPr>
          <w:rStyle w:val="18"/>
          <w:rFonts w:hint="eastAsia" w:ascii="宋体" w:hAnsi="宋体" w:cs="宋体"/>
          <w:b w:val="0"/>
          <w:bCs w:val="0"/>
          <w:sz w:val="32"/>
          <w:szCs w:val="32"/>
          <w:highlight w:val="none"/>
          <w:lang w:val="en-US" w:eastAsia="zh-CN"/>
        </w:rPr>
        <w:t>7</w:t>
      </w:r>
      <w:r>
        <w:rPr>
          <w:rStyle w:val="18"/>
          <w:rFonts w:hint="eastAsia" w:ascii="宋体" w:hAnsi="宋体" w:eastAsia="宋体" w:cs="宋体"/>
          <w:b w:val="0"/>
          <w:bCs w:val="0"/>
          <w:sz w:val="32"/>
          <w:szCs w:val="32"/>
          <w:highlight w:val="none"/>
        </w:rPr>
        <w:t>.社会保障和就业（类）行政事业单位养老支出（款）机关事业单位基本养老保险缴费支出（项）: 支出决算为</w:t>
      </w:r>
      <w:r>
        <w:rPr>
          <w:rStyle w:val="18"/>
          <w:rFonts w:hint="eastAsia" w:ascii="宋体" w:hAnsi="宋体" w:eastAsia="宋体" w:cs="宋体"/>
          <w:b w:val="0"/>
          <w:bCs w:val="0"/>
          <w:sz w:val="32"/>
          <w:szCs w:val="32"/>
          <w:highlight w:val="none"/>
          <w:lang w:val="en-US" w:eastAsia="zh-CN"/>
        </w:rPr>
        <w:t>70.42</w:t>
      </w:r>
      <w:r>
        <w:rPr>
          <w:rStyle w:val="18"/>
          <w:rFonts w:hint="eastAsia" w:ascii="宋体" w:hAnsi="宋体" w:eastAsia="宋体" w:cs="宋体"/>
          <w:b w:val="0"/>
          <w:bCs w:val="0"/>
          <w:sz w:val="32"/>
          <w:szCs w:val="32"/>
          <w:highlight w:val="none"/>
        </w:rPr>
        <w:t>万元，完成预算100%。</w:t>
      </w:r>
    </w:p>
    <w:p>
      <w:pPr>
        <w:spacing w:line="600" w:lineRule="exact"/>
        <w:ind w:firstLine="640" w:firstLineChars="200"/>
        <w:rPr>
          <w:rFonts w:hint="eastAsia" w:ascii="宋体" w:hAnsi="宋体" w:eastAsia="宋体" w:cs="宋体"/>
          <w:b w:val="0"/>
          <w:bCs w:val="0"/>
          <w:sz w:val="32"/>
          <w:szCs w:val="32"/>
          <w:highlight w:val="none"/>
        </w:rPr>
      </w:pPr>
      <w:r>
        <w:rPr>
          <w:rStyle w:val="18"/>
          <w:rFonts w:hint="eastAsia" w:ascii="宋体" w:hAnsi="宋体" w:cs="宋体"/>
          <w:b w:val="0"/>
          <w:bCs w:val="0"/>
          <w:sz w:val="32"/>
          <w:szCs w:val="32"/>
          <w:highlight w:val="none"/>
          <w:lang w:val="en-US" w:eastAsia="zh-CN"/>
        </w:rPr>
        <w:t>8</w:t>
      </w:r>
      <w:r>
        <w:rPr>
          <w:rStyle w:val="18"/>
          <w:rFonts w:hint="eastAsia" w:ascii="宋体" w:hAnsi="宋体" w:eastAsia="宋体" w:cs="宋体"/>
          <w:b w:val="0"/>
          <w:bCs w:val="0"/>
          <w:sz w:val="32"/>
          <w:szCs w:val="32"/>
          <w:highlight w:val="none"/>
        </w:rPr>
        <w:t>.社会保障和就业（类）行政事业单位养老支出（款）机关事业单位职业年金缴费支出（项）: 支出决算为</w:t>
      </w:r>
      <w:r>
        <w:rPr>
          <w:rStyle w:val="18"/>
          <w:rFonts w:hint="eastAsia" w:ascii="宋体" w:hAnsi="宋体" w:eastAsia="宋体" w:cs="宋体"/>
          <w:b w:val="0"/>
          <w:bCs w:val="0"/>
          <w:sz w:val="32"/>
          <w:szCs w:val="32"/>
          <w:highlight w:val="none"/>
          <w:lang w:val="en-US" w:eastAsia="zh-CN"/>
        </w:rPr>
        <w:t>81.03</w:t>
      </w:r>
      <w:r>
        <w:rPr>
          <w:rStyle w:val="18"/>
          <w:rFonts w:hint="eastAsia" w:ascii="宋体" w:hAnsi="宋体" w:eastAsia="宋体" w:cs="宋体"/>
          <w:b w:val="0"/>
          <w:bCs w:val="0"/>
          <w:sz w:val="32"/>
          <w:szCs w:val="32"/>
          <w:highlight w:val="none"/>
        </w:rPr>
        <w:t xml:space="preserve">万元，完成预算100%。 </w:t>
      </w:r>
    </w:p>
    <w:p>
      <w:pPr>
        <w:pStyle w:val="2"/>
        <w:ind w:firstLine="640" w:firstLineChars="200"/>
        <w:rPr>
          <w:rFonts w:hint="eastAsia" w:ascii="宋体" w:hAnsi="宋体" w:eastAsia="宋体" w:cs="宋体"/>
          <w:b w:val="0"/>
          <w:bCs w:val="0"/>
          <w:sz w:val="32"/>
          <w:szCs w:val="32"/>
          <w:highlight w:val="none"/>
        </w:rPr>
      </w:pPr>
      <w:r>
        <w:rPr>
          <w:rStyle w:val="18"/>
          <w:rFonts w:hint="eastAsia" w:ascii="宋体" w:hAnsi="宋体" w:cs="宋体"/>
          <w:b w:val="0"/>
          <w:bCs w:val="0"/>
          <w:sz w:val="32"/>
          <w:szCs w:val="32"/>
          <w:highlight w:val="none"/>
          <w:lang w:val="en-US" w:eastAsia="zh-CN"/>
        </w:rPr>
        <w:t>9</w:t>
      </w:r>
      <w:r>
        <w:rPr>
          <w:rStyle w:val="18"/>
          <w:rFonts w:hint="eastAsia" w:ascii="宋体" w:hAnsi="宋体" w:eastAsia="宋体" w:cs="宋体"/>
          <w:b w:val="0"/>
          <w:bCs w:val="0"/>
          <w:sz w:val="32"/>
          <w:szCs w:val="32"/>
          <w:highlight w:val="none"/>
        </w:rPr>
        <w:t>.社会保障和就业（类）抚恤（款）死亡抚恤（项）: 支出决算为</w:t>
      </w:r>
      <w:r>
        <w:rPr>
          <w:rStyle w:val="18"/>
          <w:rFonts w:hint="eastAsia" w:ascii="宋体" w:hAnsi="宋体" w:eastAsia="宋体" w:cs="宋体"/>
          <w:b w:val="0"/>
          <w:bCs w:val="0"/>
          <w:sz w:val="32"/>
          <w:szCs w:val="32"/>
          <w:highlight w:val="none"/>
          <w:lang w:val="en-US" w:eastAsia="zh-CN"/>
        </w:rPr>
        <w:t>20.54</w:t>
      </w:r>
      <w:r>
        <w:rPr>
          <w:rStyle w:val="18"/>
          <w:rFonts w:hint="eastAsia" w:ascii="宋体" w:hAnsi="宋体" w:eastAsia="宋体" w:cs="宋体"/>
          <w:b w:val="0"/>
          <w:bCs w:val="0"/>
          <w:sz w:val="32"/>
          <w:szCs w:val="32"/>
          <w:highlight w:val="none"/>
        </w:rPr>
        <w:t>万元，完成预算100%。</w:t>
      </w:r>
    </w:p>
    <w:p>
      <w:pPr>
        <w:spacing w:line="600" w:lineRule="exact"/>
        <w:ind w:firstLine="640" w:firstLineChars="200"/>
        <w:rPr>
          <w:rStyle w:val="18"/>
          <w:rFonts w:hint="eastAsia" w:ascii="宋体" w:hAnsi="宋体" w:eastAsia="宋体" w:cs="宋体"/>
          <w:b w:val="0"/>
          <w:bCs w:val="0"/>
          <w:sz w:val="32"/>
          <w:szCs w:val="32"/>
          <w:highlight w:val="none"/>
        </w:rPr>
      </w:pPr>
      <w:r>
        <w:rPr>
          <w:rStyle w:val="18"/>
          <w:rFonts w:hint="eastAsia" w:ascii="宋体" w:hAnsi="宋体" w:eastAsia="宋体" w:cs="宋体"/>
          <w:b w:val="0"/>
          <w:bCs w:val="0"/>
          <w:sz w:val="32"/>
          <w:szCs w:val="32"/>
          <w:highlight w:val="none"/>
        </w:rPr>
        <w:t>10.卫生健康（类）卫生健康支出（款）行政单位医疗（项）: 支出决算为</w:t>
      </w:r>
      <w:r>
        <w:rPr>
          <w:rStyle w:val="18"/>
          <w:rFonts w:hint="eastAsia" w:ascii="宋体" w:hAnsi="宋体" w:eastAsia="宋体" w:cs="宋体"/>
          <w:b w:val="0"/>
          <w:bCs w:val="0"/>
          <w:sz w:val="32"/>
          <w:szCs w:val="32"/>
          <w:highlight w:val="none"/>
          <w:lang w:val="en-US" w:eastAsia="zh-CN"/>
        </w:rPr>
        <w:t>25.63</w:t>
      </w:r>
      <w:r>
        <w:rPr>
          <w:rStyle w:val="18"/>
          <w:rFonts w:hint="eastAsia" w:ascii="宋体" w:hAnsi="宋体" w:eastAsia="宋体" w:cs="宋体"/>
          <w:b w:val="0"/>
          <w:bCs w:val="0"/>
          <w:sz w:val="32"/>
          <w:szCs w:val="32"/>
          <w:highlight w:val="none"/>
        </w:rPr>
        <w:t>万元，完成预算100%。</w:t>
      </w:r>
    </w:p>
    <w:p>
      <w:pPr>
        <w:spacing w:line="600" w:lineRule="exact"/>
        <w:ind w:firstLine="640" w:firstLineChars="200"/>
        <w:rPr>
          <w:rFonts w:hint="eastAsia" w:ascii="宋体" w:hAnsi="宋体" w:eastAsia="宋体" w:cs="宋体"/>
          <w:b w:val="0"/>
          <w:bCs w:val="0"/>
          <w:sz w:val="32"/>
          <w:szCs w:val="32"/>
          <w:highlight w:val="none"/>
        </w:rPr>
      </w:pPr>
      <w:r>
        <w:rPr>
          <w:rStyle w:val="18"/>
          <w:rFonts w:hint="eastAsia" w:ascii="宋体" w:hAnsi="宋体" w:eastAsia="宋体" w:cs="宋体"/>
          <w:b w:val="0"/>
          <w:bCs w:val="0"/>
          <w:sz w:val="32"/>
          <w:szCs w:val="32"/>
          <w:highlight w:val="none"/>
        </w:rPr>
        <w:t>11.卫生健康（类）卫生健康支出（款）事业单位医疗（项）: 支出决算为</w:t>
      </w:r>
      <w:r>
        <w:rPr>
          <w:rStyle w:val="18"/>
          <w:rFonts w:hint="eastAsia" w:ascii="宋体" w:hAnsi="宋体" w:eastAsia="宋体" w:cs="宋体"/>
          <w:b w:val="0"/>
          <w:bCs w:val="0"/>
          <w:sz w:val="32"/>
          <w:szCs w:val="32"/>
          <w:highlight w:val="none"/>
          <w:lang w:val="en-US" w:eastAsia="zh-CN"/>
        </w:rPr>
        <w:t>10.67</w:t>
      </w:r>
      <w:r>
        <w:rPr>
          <w:rStyle w:val="18"/>
          <w:rFonts w:hint="eastAsia" w:ascii="宋体" w:hAnsi="宋体" w:eastAsia="宋体" w:cs="宋体"/>
          <w:b w:val="0"/>
          <w:bCs w:val="0"/>
          <w:sz w:val="32"/>
          <w:szCs w:val="32"/>
          <w:highlight w:val="none"/>
        </w:rPr>
        <w:t>万元，完成预算100%。</w:t>
      </w:r>
    </w:p>
    <w:p>
      <w:pPr>
        <w:spacing w:line="600" w:lineRule="exact"/>
        <w:ind w:firstLine="640" w:firstLineChars="200"/>
        <w:rPr>
          <w:rFonts w:hint="eastAsia" w:ascii="宋体" w:hAnsi="宋体" w:eastAsia="宋体" w:cs="宋体"/>
          <w:b w:val="0"/>
          <w:bCs w:val="0"/>
          <w:sz w:val="32"/>
          <w:szCs w:val="32"/>
          <w:highlight w:val="none"/>
        </w:rPr>
      </w:pPr>
      <w:r>
        <w:rPr>
          <w:rStyle w:val="18"/>
          <w:rFonts w:hint="eastAsia" w:ascii="宋体" w:hAnsi="宋体" w:eastAsia="宋体" w:cs="宋体"/>
          <w:b w:val="0"/>
          <w:bCs w:val="0"/>
          <w:sz w:val="32"/>
          <w:szCs w:val="32"/>
          <w:highlight w:val="none"/>
        </w:rPr>
        <w:t>12.卫生健康（类）卫生健康支出（款）公务员医疗补助（项）: 支出决算为</w:t>
      </w:r>
      <w:r>
        <w:rPr>
          <w:rStyle w:val="18"/>
          <w:rFonts w:hint="eastAsia" w:ascii="宋体" w:hAnsi="宋体" w:eastAsia="宋体" w:cs="宋体"/>
          <w:b w:val="0"/>
          <w:bCs w:val="0"/>
          <w:sz w:val="32"/>
          <w:szCs w:val="32"/>
          <w:highlight w:val="none"/>
          <w:lang w:val="en-US" w:eastAsia="zh-CN"/>
        </w:rPr>
        <w:t>19.31</w:t>
      </w:r>
      <w:r>
        <w:rPr>
          <w:rStyle w:val="18"/>
          <w:rFonts w:hint="eastAsia" w:ascii="宋体" w:hAnsi="宋体" w:eastAsia="宋体" w:cs="宋体"/>
          <w:b w:val="0"/>
          <w:bCs w:val="0"/>
          <w:sz w:val="32"/>
          <w:szCs w:val="32"/>
          <w:highlight w:val="none"/>
        </w:rPr>
        <w:t>万元，完成预算100%。</w:t>
      </w:r>
    </w:p>
    <w:p>
      <w:pPr>
        <w:keepNext/>
        <w:keepLines/>
        <w:spacing w:line="576" w:lineRule="exact"/>
        <w:ind w:firstLine="640"/>
        <w:rPr>
          <w:rStyle w:val="18"/>
          <w:rFonts w:hint="eastAsia" w:ascii="宋体" w:hAnsi="宋体" w:eastAsia="宋体" w:cs="宋体"/>
          <w:b w:val="0"/>
          <w:bCs w:val="0"/>
          <w:sz w:val="32"/>
          <w:szCs w:val="32"/>
          <w:highlight w:val="none"/>
        </w:rPr>
      </w:pPr>
      <w:r>
        <w:rPr>
          <w:rStyle w:val="18"/>
          <w:rFonts w:hint="eastAsia" w:ascii="宋体" w:hAnsi="宋体" w:eastAsia="宋体" w:cs="宋体"/>
          <w:b w:val="0"/>
          <w:bCs w:val="0"/>
          <w:sz w:val="32"/>
          <w:szCs w:val="32"/>
          <w:highlight w:val="none"/>
        </w:rPr>
        <w:t>13.住房保障支出（类）住房改革支出（款）住房公积金（项）: 支出决算为</w:t>
      </w:r>
      <w:r>
        <w:rPr>
          <w:rStyle w:val="18"/>
          <w:rFonts w:hint="eastAsia" w:ascii="宋体" w:hAnsi="宋体" w:eastAsia="宋体" w:cs="宋体"/>
          <w:b w:val="0"/>
          <w:bCs w:val="0"/>
          <w:sz w:val="32"/>
          <w:szCs w:val="32"/>
          <w:highlight w:val="none"/>
          <w:lang w:val="en-US" w:eastAsia="zh-CN"/>
        </w:rPr>
        <w:t>55.92</w:t>
      </w:r>
      <w:r>
        <w:rPr>
          <w:rStyle w:val="18"/>
          <w:rFonts w:hint="eastAsia" w:ascii="宋体" w:hAnsi="宋体" w:eastAsia="宋体" w:cs="宋体"/>
          <w:b w:val="0"/>
          <w:bCs w:val="0"/>
          <w:sz w:val="32"/>
          <w:szCs w:val="32"/>
          <w:highlight w:val="none"/>
        </w:rPr>
        <w:t>万元，完成预算100%。</w:t>
      </w:r>
    </w:p>
    <w:bookmarkEnd w:id="36"/>
    <w:p>
      <w:pPr>
        <w:tabs>
          <w:tab w:val="right" w:pos="8306"/>
        </w:tabs>
        <w:spacing w:line="600" w:lineRule="exact"/>
        <w:ind w:firstLine="640"/>
        <w:outlineLvl w:val="1"/>
        <w:rPr>
          <w:rStyle w:val="30"/>
          <w:rFonts w:hint="eastAsia" w:ascii="宋体" w:hAnsi="宋体" w:eastAsia="宋体" w:cs="宋体"/>
          <w:b w:val="0"/>
          <w:bCs w:val="0"/>
          <w:color w:val="auto"/>
          <w:sz w:val="32"/>
          <w:szCs w:val="32"/>
          <w:highlight w:val="none"/>
        </w:rPr>
      </w:pPr>
      <w:bookmarkStart w:id="37" w:name="_Toc15396608"/>
      <w:bookmarkStart w:id="38" w:name="_Toc15377214"/>
      <w:r>
        <w:rPr>
          <w:rFonts w:hint="eastAsia" w:ascii="宋体" w:hAnsi="宋体" w:eastAsia="宋体" w:cs="宋体"/>
          <w:b/>
          <w:bCs/>
          <w:color w:val="auto"/>
          <w:sz w:val="32"/>
          <w:szCs w:val="32"/>
          <w:highlight w:val="none"/>
        </w:rPr>
        <w:t>六、一</w:t>
      </w:r>
      <w:r>
        <w:rPr>
          <w:rStyle w:val="30"/>
          <w:rFonts w:hint="eastAsia" w:ascii="宋体" w:hAnsi="宋体" w:eastAsia="宋体" w:cs="宋体"/>
          <w:b/>
          <w:bCs/>
          <w:color w:val="auto"/>
          <w:sz w:val="32"/>
          <w:szCs w:val="32"/>
          <w:highlight w:val="none"/>
        </w:rPr>
        <w:t>般公共预算财政拨款基本支出决算情况说明</w:t>
      </w:r>
      <w:bookmarkEnd w:id="37"/>
      <w:bookmarkEnd w:id="38"/>
      <w:r>
        <w:rPr>
          <w:rStyle w:val="30"/>
          <w:rFonts w:hint="eastAsia" w:ascii="宋体" w:hAnsi="宋体" w:eastAsia="宋体" w:cs="宋体"/>
          <w:b w:val="0"/>
          <w:bCs w:val="0"/>
          <w:color w:val="auto"/>
          <w:sz w:val="32"/>
          <w:szCs w:val="32"/>
          <w:highlight w:val="none"/>
        </w:rPr>
        <w:tab/>
      </w:r>
    </w:p>
    <w:p>
      <w:pPr>
        <w:spacing w:line="600" w:lineRule="exact"/>
        <w:ind w:firstLine="640"/>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2024年度一般公共预算财政拨款基本支出</w:t>
      </w:r>
      <w:r>
        <w:rPr>
          <w:rFonts w:hint="eastAsia" w:ascii="宋体" w:hAnsi="宋体" w:eastAsia="宋体" w:cs="宋体"/>
          <w:b w:val="0"/>
          <w:bCs w:val="0"/>
          <w:sz w:val="32"/>
          <w:szCs w:val="32"/>
          <w:highlight w:val="none"/>
        </w:rPr>
        <w:t>922.2</w:t>
      </w:r>
      <w:r>
        <w:rPr>
          <w:rFonts w:hint="eastAsia" w:ascii="宋体" w:hAnsi="宋体" w:eastAsia="宋体" w:cs="宋体"/>
          <w:b w:val="0"/>
          <w:bCs w:val="0"/>
          <w:color w:val="auto"/>
          <w:kern w:val="2"/>
          <w:sz w:val="32"/>
          <w:szCs w:val="32"/>
          <w:highlight w:val="none"/>
          <w:lang w:val="en-US" w:eastAsia="zh-CN" w:bidi="ar-SA"/>
        </w:rPr>
        <w:t>万元，其中：</w:t>
      </w:r>
    </w:p>
    <w:p>
      <w:pPr>
        <w:spacing w:line="600" w:lineRule="exact"/>
        <w:ind w:firstLine="640"/>
        <w:rPr>
          <w:rFonts w:hint="eastAsia" w:ascii="宋体" w:hAnsi="宋体" w:eastAsia="宋体" w:cs="宋体"/>
          <w:b w:val="0"/>
          <w:bCs w:val="0"/>
          <w:color w:val="auto"/>
          <w:kern w:val="2"/>
          <w:sz w:val="32"/>
          <w:szCs w:val="32"/>
          <w:highlight w:val="none"/>
          <w:lang w:val="en-US" w:eastAsia="zh-CN" w:bidi="ar-SA"/>
        </w:rPr>
      </w:pPr>
      <w:bookmarkStart w:id="39" w:name="OLE_LINK10"/>
      <w:r>
        <w:rPr>
          <w:rFonts w:hint="eastAsia" w:ascii="宋体" w:hAnsi="宋体" w:eastAsia="宋体" w:cs="宋体"/>
          <w:b w:val="0"/>
          <w:bCs w:val="0"/>
          <w:color w:val="auto"/>
          <w:kern w:val="2"/>
          <w:sz w:val="32"/>
          <w:szCs w:val="32"/>
          <w:highlight w:val="none"/>
          <w:lang w:val="en-US" w:eastAsia="zh-CN" w:bidi="ar-SA"/>
        </w:rPr>
        <w:t>人员经费</w:t>
      </w:r>
      <w:r>
        <w:rPr>
          <w:rFonts w:hint="eastAsia" w:ascii="宋体" w:hAnsi="宋体" w:eastAsia="宋体" w:cs="宋体"/>
          <w:b w:val="0"/>
          <w:bCs w:val="0"/>
          <w:sz w:val="32"/>
          <w:szCs w:val="32"/>
          <w:highlight w:val="none"/>
        </w:rPr>
        <w:t>853.62</w:t>
      </w:r>
      <w:r>
        <w:rPr>
          <w:rFonts w:hint="eastAsia" w:ascii="宋体" w:hAnsi="宋体" w:eastAsia="宋体" w:cs="宋体"/>
          <w:b w:val="0"/>
          <w:bCs w:val="0"/>
          <w:color w:val="auto"/>
          <w:kern w:val="2"/>
          <w:sz w:val="32"/>
          <w:szCs w:val="32"/>
          <w:highlight w:val="none"/>
          <w:lang w:val="en-US" w:eastAsia="zh-CN" w:bidi="ar-SA"/>
        </w:rPr>
        <w:t>万元，主要包括：基本工资157.90万元、津贴补贴116.14万元、奖金177.84万元、伙食补助费0万元、绩效工资43.49万元、机关事业单位基本养老保险缴费70.42万元、职业年金缴费81.03万元、</w:t>
      </w:r>
      <w:r>
        <w:rPr>
          <w:rFonts w:hint="eastAsia" w:ascii="宋体" w:hAnsi="宋体" w:eastAsia="宋体" w:cs="宋体"/>
          <w:b w:val="0"/>
          <w:bCs w:val="0"/>
          <w:sz w:val="32"/>
          <w:szCs w:val="32"/>
          <w:highlight w:val="none"/>
        </w:rPr>
        <w:t>、</w:t>
      </w:r>
      <w:r>
        <w:rPr>
          <w:rFonts w:hint="eastAsia" w:ascii="宋体" w:hAnsi="宋体" w:eastAsia="宋体" w:cs="宋体"/>
          <w:b w:val="0"/>
          <w:bCs w:val="0"/>
          <w:color w:val="000000"/>
          <w:sz w:val="32"/>
          <w:szCs w:val="32"/>
          <w:highlight w:val="none"/>
        </w:rPr>
        <w:t>职工基本医疗保险缴费</w:t>
      </w:r>
      <w:r>
        <w:rPr>
          <w:rFonts w:hint="eastAsia" w:ascii="宋体" w:hAnsi="宋体" w:eastAsia="宋体" w:cs="宋体"/>
          <w:b w:val="0"/>
          <w:bCs w:val="0"/>
          <w:color w:val="000000"/>
          <w:sz w:val="32"/>
          <w:szCs w:val="32"/>
          <w:highlight w:val="none"/>
          <w:lang w:val="en-US" w:eastAsia="zh-CN"/>
        </w:rPr>
        <w:t>36.29</w:t>
      </w:r>
      <w:r>
        <w:rPr>
          <w:rFonts w:hint="eastAsia" w:ascii="宋体" w:hAnsi="宋体" w:eastAsia="宋体" w:cs="宋体"/>
          <w:b w:val="0"/>
          <w:bCs w:val="0"/>
          <w:color w:val="000000"/>
          <w:sz w:val="32"/>
          <w:szCs w:val="32"/>
          <w:highlight w:val="none"/>
        </w:rPr>
        <w:t>万元、公务员医疗补助缴费</w:t>
      </w:r>
      <w:r>
        <w:rPr>
          <w:rFonts w:hint="eastAsia" w:ascii="宋体" w:hAnsi="宋体" w:eastAsia="宋体" w:cs="宋体"/>
          <w:b w:val="0"/>
          <w:bCs w:val="0"/>
          <w:color w:val="000000"/>
          <w:sz w:val="32"/>
          <w:szCs w:val="32"/>
          <w:highlight w:val="none"/>
          <w:lang w:val="en-US" w:eastAsia="zh-CN"/>
        </w:rPr>
        <w:t>19.31</w:t>
      </w:r>
      <w:r>
        <w:rPr>
          <w:rFonts w:hint="eastAsia" w:ascii="宋体" w:hAnsi="宋体" w:eastAsia="宋体" w:cs="宋体"/>
          <w:b w:val="0"/>
          <w:bCs w:val="0"/>
          <w:color w:val="000000"/>
          <w:sz w:val="32"/>
          <w:szCs w:val="32"/>
          <w:highlight w:val="none"/>
        </w:rPr>
        <w:t>万元、</w:t>
      </w:r>
      <w:r>
        <w:rPr>
          <w:rFonts w:hint="eastAsia" w:ascii="宋体" w:hAnsi="宋体" w:eastAsia="宋体" w:cs="宋体"/>
          <w:b w:val="0"/>
          <w:bCs w:val="0"/>
          <w:sz w:val="32"/>
          <w:szCs w:val="32"/>
          <w:highlight w:val="none"/>
        </w:rPr>
        <w:t>其他社会保障缴费1.</w:t>
      </w:r>
      <w:r>
        <w:rPr>
          <w:rFonts w:hint="eastAsia" w:ascii="宋体" w:hAnsi="宋体" w:eastAsia="宋体" w:cs="宋体"/>
          <w:b w:val="0"/>
          <w:bCs w:val="0"/>
          <w:sz w:val="32"/>
          <w:szCs w:val="32"/>
          <w:highlight w:val="none"/>
          <w:lang w:val="en-US" w:eastAsia="zh-CN"/>
        </w:rPr>
        <w:t>52</w:t>
      </w:r>
      <w:r>
        <w:rPr>
          <w:rFonts w:hint="eastAsia" w:ascii="宋体" w:hAnsi="宋体" w:eastAsia="宋体" w:cs="宋体"/>
          <w:b w:val="0"/>
          <w:bCs w:val="0"/>
          <w:sz w:val="32"/>
          <w:szCs w:val="32"/>
          <w:highlight w:val="none"/>
        </w:rPr>
        <w:t>万元、</w:t>
      </w:r>
      <w:r>
        <w:rPr>
          <w:rFonts w:hint="eastAsia" w:ascii="宋体" w:hAnsi="宋体" w:eastAsia="宋体" w:cs="宋体"/>
          <w:b w:val="0"/>
          <w:bCs w:val="0"/>
          <w:color w:val="000000"/>
          <w:sz w:val="32"/>
          <w:szCs w:val="32"/>
          <w:highlight w:val="none"/>
        </w:rPr>
        <w:t>住房公积金</w:t>
      </w:r>
      <w:r>
        <w:rPr>
          <w:rFonts w:hint="eastAsia" w:ascii="宋体" w:hAnsi="宋体" w:eastAsia="宋体" w:cs="宋体"/>
          <w:b w:val="0"/>
          <w:bCs w:val="0"/>
          <w:color w:val="000000"/>
          <w:sz w:val="32"/>
          <w:szCs w:val="32"/>
          <w:highlight w:val="none"/>
          <w:lang w:val="en-US" w:eastAsia="zh-CN"/>
        </w:rPr>
        <w:t>55.92</w:t>
      </w:r>
      <w:r>
        <w:rPr>
          <w:rFonts w:hint="eastAsia" w:ascii="宋体" w:hAnsi="宋体" w:eastAsia="宋体" w:cs="宋体"/>
          <w:b w:val="0"/>
          <w:bCs w:val="0"/>
          <w:color w:val="000000"/>
          <w:sz w:val="32"/>
          <w:szCs w:val="32"/>
          <w:highlight w:val="none"/>
        </w:rPr>
        <w:t>万元、</w:t>
      </w:r>
      <w:r>
        <w:rPr>
          <w:rFonts w:hint="eastAsia" w:ascii="宋体" w:hAnsi="宋体" w:eastAsia="宋体" w:cs="宋体"/>
          <w:b w:val="0"/>
          <w:bCs w:val="0"/>
          <w:sz w:val="32"/>
          <w:szCs w:val="32"/>
          <w:highlight w:val="none"/>
        </w:rPr>
        <w:t>其他工资福利支出</w:t>
      </w:r>
      <w:r>
        <w:rPr>
          <w:rFonts w:hint="eastAsia" w:ascii="宋体" w:hAnsi="宋体" w:eastAsia="宋体" w:cs="宋体"/>
          <w:b w:val="0"/>
          <w:bCs w:val="0"/>
          <w:sz w:val="32"/>
          <w:szCs w:val="32"/>
          <w:highlight w:val="none"/>
          <w:lang w:val="en-US" w:eastAsia="zh-CN"/>
        </w:rPr>
        <w:t>37.67</w:t>
      </w:r>
      <w:r>
        <w:rPr>
          <w:rFonts w:hint="eastAsia" w:ascii="宋体" w:hAnsi="宋体" w:eastAsia="宋体" w:cs="宋体"/>
          <w:b w:val="0"/>
          <w:bCs w:val="0"/>
          <w:sz w:val="32"/>
          <w:szCs w:val="32"/>
          <w:highlight w:val="none"/>
        </w:rPr>
        <w:t>万元、离休费0万元、退休费0万元、</w:t>
      </w:r>
      <w:r>
        <w:rPr>
          <w:rFonts w:hint="eastAsia" w:ascii="宋体" w:hAnsi="宋体" w:eastAsia="宋体" w:cs="宋体"/>
          <w:b w:val="0"/>
          <w:bCs w:val="0"/>
          <w:color w:val="000000"/>
          <w:sz w:val="32"/>
          <w:szCs w:val="32"/>
          <w:highlight w:val="none"/>
        </w:rPr>
        <w:t>退职（役）费0万元、</w:t>
      </w:r>
      <w:r>
        <w:rPr>
          <w:rFonts w:hint="eastAsia" w:ascii="宋体" w:hAnsi="宋体" w:eastAsia="宋体" w:cs="宋体"/>
          <w:b w:val="0"/>
          <w:bCs w:val="0"/>
          <w:sz w:val="32"/>
          <w:szCs w:val="32"/>
          <w:highlight w:val="none"/>
        </w:rPr>
        <w:t>抚恤金</w:t>
      </w:r>
      <w:r>
        <w:rPr>
          <w:rFonts w:hint="eastAsia" w:ascii="宋体" w:hAnsi="宋体" w:eastAsia="宋体" w:cs="宋体"/>
          <w:b w:val="0"/>
          <w:bCs w:val="0"/>
          <w:sz w:val="32"/>
          <w:szCs w:val="32"/>
          <w:highlight w:val="none"/>
          <w:lang w:val="en-US" w:eastAsia="zh-CN"/>
        </w:rPr>
        <w:t>20.54</w:t>
      </w:r>
      <w:r>
        <w:rPr>
          <w:rFonts w:hint="eastAsia" w:ascii="宋体" w:hAnsi="宋体" w:eastAsia="宋体" w:cs="宋体"/>
          <w:b w:val="0"/>
          <w:bCs w:val="0"/>
          <w:sz w:val="32"/>
          <w:szCs w:val="32"/>
          <w:highlight w:val="none"/>
        </w:rPr>
        <w:t>万元、生活补助</w:t>
      </w:r>
      <w:r>
        <w:rPr>
          <w:rFonts w:hint="eastAsia" w:ascii="宋体" w:hAnsi="宋体" w:eastAsia="宋体" w:cs="宋体"/>
          <w:b w:val="0"/>
          <w:bCs w:val="0"/>
          <w:sz w:val="32"/>
          <w:szCs w:val="32"/>
          <w:highlight w:val="none"/>
          <w:lang w:val="en-US" w:eastAsia="zh-CN"/>
        </w:rPr>
        <w:t>28.45</w:t>
      </w:r>
      <w:r>
        <w:rPr>
          <w:rFonts w:hint="eastAsia" w:ascii="宋体" w:hAnsi="宋体" w:eastAsia="宋体" w:cs="宋体"/>
          <w:b w:val="0"/>
          <w:bCs w:val="0"/>
          <w:sz w:val="32"/>
          <w:szCs w:val="32"/>
          <w:highlight w:val="none"/>
        </w:rPr>
        <w:t>万元、</w:t>
      </w:r>
      <w:r>
        <w:rPr>
          <w:rFonts w:hint="eastAsia" w:ascii="宋体" w:hAnsi="宋体" w:eastAsia="宋体" w:cs="宋体"/>
          <w:b w:val="0"/>
          <w:bCs w:val="0"/>
          <w:color w:val="000000"/>
          <w:sz w:val="32"/>
          <w:szCs w:val="32"/>
          <w:highlight w:val="none"/>
        </w:rPr>
        <w:t>救济费0万元、医疗费补助</w:t>
      </w:r>
      <w:r>
        <w:rPr>
          <w:rFonts w:hint="eastAsia" w:ascii="宋体" w:hAnsi="宋体" w:eastAsia="宋体" w:cs="宋体"/>
          <w:b w:val="0"/>
          <w:bCs w:val="0"/>
          <w:color w:val="000000"/>
          <w:sz w:val="32"/>
          <w:szCs w:val="32"/>
          <w:highlight w:val="none"/>
          <w:lang w:val="en-US" w:eastAsia="zh-CN"/>
        </w:rPr>
        <w:t>7.10</w:t>
      </w:r>
      <w:r>
        <w:rPr>
          <w:rFonts w:hint="eastAsia" w:ascii="宋体" w:hAnsi="宋体" w:eastAsia="宋体" w:cs="宋体"/>
          <w:b w:val="0"/>
          <w:bCs w:val="0"/>
          <w:color w:val="000000"/>
          <w:sz w:val="32"/>
          <w:szCs w:val="32"/>
          <w:highlight w:val="none"/>
        </w:rPr>
        <w:t>万元、助学金0万元、奖励金0万元、个人农业生产补贴0万元、代缴社会保险0万元、其他对个人和家庭的补助支出0万元</w:t>
      </w:r>
      <w:r>
        <w:rPr>
          <w:rFonts w:hint="eastAsia" w:ascii="宋体" w:hAnsi="宋体" w:eastAsia="宋体" w:cs="宋体"/>
          <w:b w:val="0"/>
          <w:bCs w:val="0"/>
          <w:sz w:val="32"/>
          <w:szCs w:val="32"/>
          <w:highlight w:val="none"/>
        </w:rPr>
        <w:t>等</w:t>
      </w:r>
      <w:r>
        <w:rPr>
          <w:rFonts w:hint="eastAsia" w:ascii="宋体" w:hAnsi="宋体" w:eastAsia="宋体" w:cs="宋体"/>
          <w:b w:val="0"/>
          <w:bCs w:val="0"/>
          <w:color w:val="000000"/>
          <w:sz w:val="32"/>
          <w:szCs w:val="32"/>
          <w:highlight w:val="none"/>
          <w:lang w:val="zh-CN"/>
        </w:rPr>
        <w:t>。</w:t>
      </w:r>
      <w:r>
        <w:rPr>
          <w:rFonts w:hint="eastAsia" w:ascii="宋体" w:hAnsi="宋体" w:eastAsia="宋体" w:cs="宋体"/>
          <w:b w:val="0"/>
          <w:bCs w:val="0"/>
          <w:color w:val="auto"/>
          <w:kern w:val="2"/>
          <w:sz w:val="32"/>
          <w:szCs w:val="32"/>
          <w:highlight w:val="none"/>
          <w:lang w:val="en-US" w:eastAsia="zh-CN" w:bidi="ar-SA"/>
        </w:rPr>
        <w:t>　</w:t>
      </w:r>
    </w:p>
    <w:p>
      <w:pPr>
        <w:spacing w:line="600" w:lineRule="exact"/>
        <w:ind w:firstLine="645"/>
        <w:rPr>
          <w:rFonts w:hint="eastAsia" w:ascii="宋体" w:hAnsi="宋体" w:eastAsia="宋体" w:cs="宋体"/>
          <w:color w:val="000000"/>
          <w:sz w:val="32"/>
          <w:szCs w:val="32"/>
          <w:highlight w:val="none"/>
        </w:rPr>
      </w:pPr>
      <w:r>
        <w:rPr>
          <w:rFonts w:hint="eastAsia" w:ascii="宋体" w:hAnsi="宋体" w:eastAsia="宋体" w:cs="宋体"/>
          <w:b w:val="0"/>
          <w:bCs w:val="0"/>
          <w:color w:val="auto"/>
          <w:kern w:val="2"/>
          <w:sz w:val="32"/>
          <w:szCs w:val="32"/>
          <w:highlight w:val="none"/>
          <w:lang w:val="en-US" w:eastAsia="zh-CN" w:bidi="ar-SA"/>
        </w:rPr>
        <w:t>公用经费</w:t>
      </w:r>
      <w:r>
        <w:rPr>
          <w:rFonts w:hint="eastAsia" w:ascii="宋体" w:hAnsi="宋体" w:eastAsia="宋体" w:cs="宋体"/>
          <w:b w:val="0"/>
          <w:bCs w:val="0"/>
          <w:sz w:val="32"/>
          <w:szCs w:val="32"/>
          <w:highlight w:val="none"/>
        </w:rPr>
        <w:t>68.58</w:t>
      </w:r>
      <w:r>
        <w:rPr>
          <w:rFonts w:hint="eastAsia" w:ascii="宋体" w:hAnsi="宋体" w:eastAsia="宋体" w:cs="宋体"/>
          <w:b w:val="0"/>
          <w:bCs w:val="0"/>
          <w:color w:val="auto"/>
          <w:kern w:val="2"/>
          <w:sz w:val="32"/>
          <w:szCs w:val="32"/>
          <w:highlight w:val="none"/>
          <w:lang w:val="en-US" w:eastAsia="zh-CN" w:bidi="ar-SA"/>
        </w:rPr>
        <w:t>万元，主要包括：</w:t>
      </w:r>
      <w:r>
        <w:rPr>
          <w:rFonts w:hint="eastAsia" w:ascii="宋体" w:hAnsi="宋体" w:eastAsia="宋体" w:cs="宋体"/>
          <w:b w:val="0"/>
          <w:bCs w:val="0"/>
          <w:sz w:val="32"/>
          <w:szCs w:val="32"/>
          <w:highlight w:val="none"/>
        </w:rPr>
        <w:t>办公费</w:t>
      </w:r>
      <w:r>
        <w:rPr>
          <w:rFonts w:hint="eastAsia" w:ascii="宋体" w:hAnsi="宋体" w:eastAsia="宋体" w:cs="宋体"/>
          <w:b w:val="0"/>
          <w:bCs w:val="0"/>
          <w:sz w:val="32"/>
          <w:szCs w:val="32"/>
          <w:highlight w:val="none"/>
          <w:lang w:val="en-US" w:eastAsia="zh-CN"/>
        </w:rPr>
        <w:t>10.65</w:t>
      </w:r>
      <w:r>
        <w:rPr>
          <w:rFonts w:hint="eastAsia" w:ascii="宋体" w:hAnsi="宋体" w:eastAsia="宋体" w:cs="宋体"/>
          <w:b w:val="0"/>
          <w:bCs w:val="0"/>
          <w:sz w:val="32"/>
          <w:szCs w:val="32"/>
          <w:highlight w:val="none"/>
        </w:rPr>
        <w:t>万元、印刷费0万元、咨询费0万元、手续费0万元、水费0.</w:t>
      </w:r>
      <w:r>
        <w:rPr>
          <w:rFonts w:hint="eastAsia" w:ascii="宋体" w:hAnsi="宋体" w:eastAsia="宋体" w:cs="宋体"/>
          <w:b w:val="0"/>
          <w:bCs w:val="0"/>
          <w:sz w:val="32"/>
          <w:szCs w:val="32"/>
          <w:highlight w:val="none"/>
          <w:lang w:val="en-US" w:eastAsia="zh-CN"/>
        </w:rPr>
        <w:t>20</w:t>
      </w:r>
      <w:r>
        <w:rPr>
          <w:rFonts w:hint="eastAsia" w:ascii="宋体" w:hAnsi="宋体" w:eastAsia="宋体" w:cs="宋体"/>
          <w:b w:val="0"/>
          <w:bCs w:val="0"/>
          <w:sz w:val="32"/>
          <w:szCs w:val="32"/>
          <w:highlight w:val="none"/>
        </w:rPr>
        <w:t>万元、电费</w:t>
      </w:r>
      <w:r>
        <w:rPr>
          <w:rFonts w:hint="eastAsia" w:ascii="宋体" w:hAnsi="宋体" w:eastAsia="宋体" w:cs="宋体"/>
          <w:b w:val="0"/>
          <w:bCs w:val="0"/>
          <w:sz w:val="32"/>
          <w:szCs w:val="32"/>
          <w:highlight w:val="none"/>
          <w:lang w:val="en-US" w:eastAsia="zh-CN"/>
        </w:rPr>
        <w:t>2.57</w:t>
      </w:r>
      <w:r>
        <w:rPr>
          <w:rFonts w:hint="eastAsia" w:ascii="宋体" w:hAnsi="宋体" w:eastAsia="宋体" w:cs="宋体"/>
          <w:b w:val="0"/>
          <w:bCs w:val="0"/>
          <w:sz w:val="32"/>
          <w:szCs w:val="32"/>
          <w:highlight w:val="none"/>
        </w:rPr>
        <w:t>万元、邮电费</w:t>
      </w:r>
      <w:r>
        <w:rPr>
          <w:rFonts w:hint="eastAsia" w:ascii="宋体" w:hAnsi="宋体" w:eastAsia="宋体" w:cs="宋体"/>
          <w:b w:val="0"/>
          <w:bCs w:val="0"/>
          <w:sz w:val="32"/>
          <w:szCs w:val="32"/>
          <w:highlight w:val="none"/>
          <w:lang w:val="en-US" w:eastAsia="zh-CN"/>
        </w:rPr>
        <w:t>4.47</w:t>
      </w:r>
      <w:r>
        <w:rPr>
          <w:rFonts w:hint="eastAsia" w:ascii="宋体" w:hAnsi="宋体" w:eastAsia="宋体" w:cs="宋体"/>
          <w:b w:val="0"/>
          <w:bCs w:val="0"/>
          <w:sz w:val="32"/>
          <w:szCs w:val="32"/>
          <w:highlight w:val="none"/>
        </w:rPr>
        <w:t>万元、取暖费0万元、物业管理费0万元、差旅费</w:t>
      </w:r>
      <w:r>
        <w:rPr>
          <w:rFonts w:hint="eastAsia" w:ascii="宋体" w:hAnsi="宋体" w:eastAsia="宋体" w:cs="宋体"/>
          <w:b w:val="0"/>
          <w:bCs w:val="0"/>
          <w:sz w:val="32"/>
          <w:szCs w:val="32"/>
          <w:highlight w:val="none"/>
          <w:lang w:val="en-US" w:eastAsia="zh-CN"/>
        </w:rPr>
        <w:t>7.72</w:t>
      </w:r>
      <w:r>
        <w:rPr>
          <w:rFonts w:hint="eastAsia" w:ascii="宋体" w:hAnsi="宋体" w:eastAsia="宋体" w:cs="宋体"/>
          <w:b w:val="0"/>
          <w:bCs w:val="0"/>
          <w:sz w:val="32"/>
          <w:szCs w:val="32"/>
          <w:highlight w:val="none"/>
        </w:rPr>
        <w:t>万元、因公出国（境）费用0万元、维修（护）费0万元、租赁费</w:t>
      </w:r>
      <w:r>
        <w:rPr>
          <w:rFonts w:hint="eastAsia" w:ascii="宋体" w:hAnsi="宋体" w:eastAsia="宋体" w:cs="宋体"/>
          <w:b w:val="0"/>
          <w:bCs w:val="0"/>
          <w:sz w:val="32"/>
          <w:szCs w:val="32"/>
          <w:highlight w:val="none"/>
          <w:lang w:val="en-US" w:eastAsia="zh-CN"/>
        </w:rPr>
        <w:t>0.36</w:t>
      </w:r>
      <w:r>
        <w:rPr>
          <w:rFonts w:hint="eastAsia" w:ascii="宋体" w:hAnsi="宋体" w:eastAsia="宋体" w:cs="宋体"/>
          <w:b w:val="0"/>
          <w:bCs w:val="0"/>
          <w:sz w:val="32"/>
          <w:szCs w:val="32"/>
          <w:highlight w:val="none"/>
        </w:rPr>
        <w:t>万元、会议费0万元、培训费0</w:t>
      </w:r>
      <w:r>
        <w:rPr>
          <w:rFonts w:hint="eastAsia" w:ascii="宋体" w:hAnsi="宋体" w:eastAsia="宋体" w:cs="宋体"/>
          <w:b w:val="0"/>
          <w:bCs w:val="0"/>
          <w:sz w:val="32"/>
          <w:szCs w:val="32"/>
          <w:highlight w:val="none"/>
          <w:lang w:val="en-US" w:eastAsia="zh-CN"/>
        </w:rPr>
        <w:t>.48</w:t>
      </w:r>
      <w:r>
        <w:rPr>
          <w:rFonts w:hint="eastAsia" w:ascii="宋体" w:hAnsi="宋体" w:eastAsia="宋体" w:cs="宋体"/>
          <w:b w:val="0"/>
          <w:bCs w:val="0"/>
          <w:sz w:val="32"/>
          <w:szCs w:val="32"/>
          <w:highlight w:val="none"/>
        </w:rPr>
        <w:t>万元、公务接待费</w:t>
      </w:r>
      <w:r>
        <w:rPr>
          <w:rFonts w:hint="eastAsia" w:ascii="宋体" w:hAnsi="宋体" w:eastAsia="宋体" w:cs="宋体"/>
          <w:b w:val="0"/>
          <w:bCs w:val="0"/>
          <w:sz w:val="32"/>
          <w:szCs w:val="32"/>
          <w:highlight w:val="none"/>
          <w:lang w:val="en-US" w:eastAsia="zh-CN"/>
        </w:rPr>
        <w:t>0</w:t>
      </w:r>
      <w:r>
        <w:rPr>
          <w:rFonts w:hint="eastAsia" w:ascii="宋体" w:hAnsi="宋体" w:eastAsia="宋体" w:cs="宋体"/>
          <w:b w:val="0"/>
          <w:bCs w:val="0"/>
          <w:sz w:val="32"/>
          <w:szCs w:val="32"/>
          <w:highlight w:val="none"/>
        </w:rPr>
        <w:t>万元、专用材料费0万元， 被装购置费0万元、专用燃料费0万元，劳务费</w:t>
      </w:r>
      <w:r>
        <w:rPr>
          <w:rFonts w:hint="eastAsia" w:ascii="宋体" w:hAnsi="宋体" w:eastAsia="宋体" w:cs="宋体"/>
          <w:b w:val="0"/>
          <w:bCs w:val="0"/>
          <w:sz w:val="32"/>
          <w:szCs w:val="32"/>
          <w:highlight w:val="none"/>
          <w:lang w:val="en-US" w:eastAsia="zh-CN"/>
        </w:rPr>
        <w:t>0.72</w:t>
      </w:r>
      <w:r>
        <w:rPr>
          <w:rFonts w:hint="eastAsia" w:ascii="宋体" w:hAnsi="宋体" w:eastAsia="宋体" w:cs="宋体"/>
          <w:b w:val="0"/>
          <w:bCs w:val="0"/>
          <w:sz w:val="32"/>
          <w:szCs w:val="32"/>
          <w:highlight w:val="none"/>
        </w:rPr>
        <w:t>万元、委托业务费0</w:t>
      </w:r>
      <w:r>
        <w:rPr>
          <w:rFonts w:hint="eastAsia" w:ascii="宋体" w:hAnsi="宋体" w:eastAsia="宋体" w:cs="宋体"/>
          <w:b w:val="0"/>
          <w:bCs w:val="0"/>
          <w:sz w:val="32"/>
          <w:szCs w:val="32"/>
          <w:highlight w:val="none"/>
          <w:lang w:val="en-US" w:eastAsia="zh-CN"/>
        </w:rPr>
        <w:t>.46</w:t>
      </w:r>
      <w:r>
        <w:rPr>
          <w:rFonts w:hint="eastAsia" w:ascii="宋体" w:hAnsi="宋体" w:eastAsia="宋体" w:cs="宋体"/>
          <w:b w:val="0"/>
          <w:bCs w:val="0"/>
          <w:sz w:val="32"/>
          <w:szCs w:val="32"/>
          <w:highlight w:val="none"/>
        </w:rPr>
        <w:t>万元、工会经费</w:t>
      </w:r>
      <w:r>
        <w:rPr>
          <w:rFonts w:hint="eastAsia" w:ascii="宋体" w:hAnsi="宋体" w:eastAsia="宋体" w:cs="宋体"/>
          <w:b w:val="0"/>
          <w:bCs w:val="0"/>
          <w:sz w:val="32"/>
          <w:szCs w:val="32"/>
          <w:highlight w:val="none"/>
          <w:lang w:val="en-US" w:eastAsia="zh-CN"/>
        </w:rPr>
        <w:t>10.50</w:t>
      </w:r>
      <w:r>
        <w:rPr>
          <w:rFonts w:hint="eastAsia" w:ascii="宋体" w:hAnsi="宋体" w:eastAsia="宋体" w:cs="宋体"/>
          <w:b w:val="0"/>
          <w:bCs w:val="0"/>
          <w:sz w:val="32"/>
          <w:szCs w:val="32"/>
          <w:highlight w:val="none"/>
        </w:rPr>
        <w:t>万元、福利费0</w:t>
      </w:r>
      <w:r>
        <w:rPr>
          <w:rFonts w:hint="eastAsia" w:ascii="宋体" w:hAnsi="宋体" w:eastAsia="宋体" w:cs="宋体"/>
          <w:b w:val="0"/>
          <w:bCs w:val="0"/>
          <w:sz w:val="32"/>
          <w:szCs w:val="32"/>
          <w:highlight w:val="none"/>
          <w:lang w:val="en-US" w:eastAsia="zh-CN"/>
        </w:rPr>
        <w:t>.20</w:t>
      </w:r>
      <w:r>
        <w:rPr>
          <w:rFonts w:hint="eastAsia" w:ascii="宋体" w:hAnsi="宋体" w:eastAsia="宋体" w:cs="宋体"/>
          <w:b w:val="0"/>
          <w:bCs w:val="0"/>
          <w:sz w:val="32"/>
          <w:szCs w:val="32"/>
          <w:highlight w:val="none"/>
        </w:rPr>
        <w:t>万元</w:t>
      </w:r>
      <w:r>
        <w:rPr>
          <w:rFonts w:hint="eastAsia" w:ascii="宋体" w:hAnsi="宋体" w:eastAsia="宋体" w:cs="宋体"/>
          <w:sz w:val="32"/>
          <w:szCs w:val="32"/>
          <w:highlight w:val="none"/>
        </w:rPr>
        <w:t>、公务用车运行维护费0万元、其他交通费</w:t>
      </w:r>
      <w:r>
        <w:rPr>
          <w:rFonts w:hint="eastAsia" w:ascii="宋体" w:hAnsi="宋体" w:eastAsia="宋体" w:cs="宋体"/>
          <w:sz w:val="32"/>
          <w:szCs w:val="32"/>
          <w:highlight w:val="none"/>
          <w:lang w:val="en-US" w:eastAsia="zh-CN"/>
        </w:rPr>
        <w:t>23.01</w:t>
      </w:r>
      <w:r>
        <w:rPr>
          <w:rFonts w:hint="eastAsia" w:ascii="宋体" w:hAnsi="宋体" w:eastAsia="宋体" w:cs="宋体"/>
          <w:sz w:val="32"/>
          <w:szCs w:val="32"/>
          <w:highlight w:val="none"/>
        </w:rPr>
        <w:t>万元、税金及附加费用0万元、其他商品和服务支出</w:t>
      </w:r>
      <w:r>
        <w:rPr>
          <w:rFonts w:hint="eastAsia" w:ascii="宋体" w:hAnsi="宋体" w:eastAsia="宋体" w:cs="宋体"/>
          <w:sz w:val="32"/>
          <w:szCs w:val="32"/>
          <w:highlight w:val="none"/>
          <w:lang w:val="en-US" w:eastAsia="zh-CN"/>
        </w:rPr>
        <w:t>7.24</w:t>
      </w:r>
      <w:r>
        <w:rPr>
          <w:rFonts w:hint="eastAsia" w:ascii="宋体" w:hAnsi="宋体" w:eastAsia="宋体" w:cs="宋体"/>
          <w:sz w:val="32"/>
          <w:szCs w:val="32"/>
          <w:highlight w:val="none"/>
        </w:rPr>
        <w:t>万元、</w:t>
      </w:r>
      <w:r>
        <w:rPr>
          <w:rFonts w:hint="eastAsia" w:ascii="宋体" w:hAnsi="宋体" w:eastAsia="宋体" w:cs="宋体"/>
          <w:color w:val="000000"/>
          <w:sz w:val="32"/>
          <w:szCs w:val="32"/>
          <w:highlight w:val="none"/>
        </w:rPr>
        <w:t>国内债务付息0万元、国外债务付息0万元、国内债务发行费用0万元、国外债务发行费用0万元、房屋建筑物构建0万元、办公设备购置</w:t>
      </w:r>
      <w:r>
        <w:rPr>
          <w:rFonts w:hint="eastAsia" w:ascii="宋体" w:hAnsi="宋体" w:eastAsia="宋体" w:cs="宋体"/>
          <w:color w:val="000000"/>
          <w:sz w:val="32"/>
          <w:szCs w:val="32"/>
          <w:highlight w:val="none"/>
          <w:lang w:val="en-US" w:eastAsia="zh-CN"/>
        </w:rPr>
        <w:t>0</w:t>
      </w:r>
      <w:r>
        <w:rPr>
          <w:rFonts w:hint="eastAsia" w:ascii="宋体" w:hAnsi="宋体" w:eastAsia="宋体" w:cs="宋体"/>
          <w:color w:val="000000"/>
          <w:sz w:val="32"/>
          <w:szCs w:val="32"/>
          <w:highlight w:val="none"/>
        </w:rPr>
        <w:t>万元、专用设备购置0万元、基础设施建设0万元、大型修缮0万元、信息网络及软件购置更新0万元、物资储备0万元、土地补偿0万元、安置补助0万元、地上附着物和青苗补偿0万元、拆迁补偿0万元、公务用车购置0万元、其他交通工具购置0万元、文物和陈列品购置0万元、无形资产购置0万元、其他资本性支出0万元、资本金注入0万元、政府投资基金股权投资0万元、费用补贴0万元、利息补贴0万元、其他对企业补助0万元、赠与0万元、国家赔偿费用支出0万元、对民间非营利组织和群众性自治组织补贴0万元、其他支出0万元。</w:t>
      </w:r>
    </w:p>
    <w:bookmarkEnd w:id="39"/>
    <w:p>
      <w:pPr>
        <w:spacing w:line="600" w:lineRule="exact"/>
        <w:ind w:firstLine="640"/>
        <w:outlineLvl w:val="1"/>
        <w:rPr>
          <w:rStyle w:val="30"/>
          <w:rFonts w:hint="eastAsia" w:ascii="宋体" w:hAnsi="宋体" w:eastAsia="宋体" w:cs="宋体"/>
          <w:b/>
          <w:bCs/>
          <w:color w:val="auto"/>
          <w:sz w:val="32"/>
          <w:szCs w:val="32"/>
          <w:highlight w:val="none"/>
        </w:rPr>
      </w:pPr>
      <w:bookmarkStart w:id="40" w:name="_Toc15396609"/>
      <w:bookmarkStart w:id="41" w:name="_Toc15377215"/>
      <w:r>
        <w:rPr>
          <w:rFonts w:hint="eastAsia" w:ascii="宋体" w:hAnsi="宋体" w:eastAsia="宋体" w:cs="宋体"/>
          <w:b/>
          <w:bCs/>
          <w:color w:val="auto"/>
          <w:sz w:val="32"/>
          <w:szCs w:val="32"/>
          <w:highlight w:val="none"/>
        </w:rPr>
        <w:t>七、</w:t>
      </w:r>
      <w:r>
        <w:rPr>
          <w:rStyle w:val="30"/>
          <w:rFonts w:hint="eastAsia" w:ascii="宋体" w:hAnsi="宋体" w:eastAsia="宋体" w:cs="宋体"/>
          <w:b/>
          <w:bCs/>
          <w:color w:val="auto"/>
          <w:sz w:val="32"/>
          <w:szCs w:val="32"/>
          <w:highlight w:val="none"/>
        </w:rPr>
        <w:t>财政拨款“三公”经费支出决算情况说明</w:t>
      </w:r>
      <w:bookmarkEnd w:id="40"/>
      <w:bookmarkEnd w:id="41"/>
    </w:p>
    <w:p>
      <w:pPr>
        <w:spacing w:line="600" w:lineRule="exact"/>
        <w:ind w:firstLine="643" w:firstLineChars="200"/>
        <w:outlineLvl w:val="2"/>
        <w:rPr>
          <w:rFonts w:hint="eastAsia" w:ascii="宋体" w:hAnsi="宋体" w:eastAsia="宋体" w:cs="宋体"/>
          <w:b/>
          <w:color w:val="auto"/>
          <w:sz w:val="32"/>
          <w:szCs w:val="32"/>
          <w:highlight w:val="none"/>
        </w:rPr>
      </w:pPr>
      <w:bookmarkStart w:id="42" w:name="_Toc15377216"/>
      <w:r>
        <w:rPr>
          <w:rFonts w:hint="eastAsia" w:ascii="宋体" w:hAnsi="宋体" w:eastAsia="宋体" w:cs="宋体"/>
          <w:b/>
          <w:color w:val="auto"/>
          <w:sz w:val="32"/>
          <w:szCs w:val="32"/>
          <w:highlight w:val="none"/>
        </w:rPr>
        <w:t>（一）“三公”经费财政拨款支出决算总体情况说明</w:t>
      </w:r>
      <w:bookmarkEnd w:id="42"/>
    </w:p>
    <w:p>
      <w:pPr>
        <w:spacing w:line="600" w:lineRule="exact"/>
        <w:ind w:firstLine="64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2024年度“三公”经费财政拨款支出决算为</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万元，完成预算</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%，较上年度减少0.70万元，下降100%。决算数小于预算数的主要原因是厉行节约，控制三公经费支出。</w:t>
      </w:r>
    </w:p>
    <w:p>
      <w:pPr>
        <w:spacing w:line="600" w:lineRule="exact"/>
        <w:ind w:firstLine="643" w:firstLineChars="200"/>
        <w:outlineLvl w:val="2"/>
        <w:rPr>
          <w:rFonts w:hint="eastAsia" w:ascii="宋体" w:hAnsi="宋体" w:eastAsia="宋体" w:cs="宋体"/>
          <w:b/>
          <w:color w:val="auto"/>
          <w:sz w:val="32"/>
          <w:szCs w:val="32"/>
          <w:highlight w:val="none"/>
        </w:rPr>
      </w:pPr>
      <w:bookmarkStart w:id="43" w:name="_Toc15377217"/>
      <w:r>
        <w:rPr>
          <w:rFonts w:hint="eastAsia" w:ascii="宋体" w:hAnsi="宋体" w:eastAsia="宋体" w:cs="宋体"/>
          <w:b/>
          <w:color w:val="auto"/>
          <w:sz w:val="32"/>
          <w:szCs w:val="32"/>
          <w:highlight w:val="none"/>
        </w:rPr>
        <w:t>（二）“三公”经费财政拨款支出决算具体情况说明</w:t>
      </w:r>
      <w:bookmarkEnd w:id="43"/>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2024年度“三公”经费财政拨款支出决算中，因公出国（境）费支出决算</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万元，占0%；公务用车购置及运行维护费支出决算</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万元，占0%；公务接待费支出决算</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万元，占0%。具体情况如下：</w:t>
      </w:r>
    </w:p>
    <w:p>
      <w:pPr>
        <w:pStyle w:val="2"/>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（因当年三公经费无支出数据，故而饼状图无法显示）</w:t>
      </w:r>
    </w:p>
    <w:p>
      <w:pPr>
        <w:numPr>
          <w:ilvl w:val="0"/>
          <w:numId w:val="0"/>
        </w:numPr>
        <w:spacing w:line="600" w:lineRule="exact"/>
        <w:ind w:firstLine="643" w:firstLineChars="20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1.因公出国（境）经费支出0万元，完成预算0%。</w:t>
      </w:r>
      <w:r>
        <w:rPr>
          <w:rFonts w:hint="eastAsia" w:ascii="宋体" w:hAnsi="宋体" w:eastAsia="宋体" w:cs="宋体"/>
          <w:color w:val="auto"/>
          <w:kern w:val="2"/>
          <w:sz w:val="32"/>
          <w:szCs w:val="32"/>
          <w:highlight w:val="none"/>
          <w:lang w:val="en-US" w:eastAsia="zh-CN" w:bidi="ar-SA"/>
        </w:rPr>
        <w:t>全年安排因公出国（境）团组</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次，出国（境）</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人。因公出国（境）支出决算与2023年持平。</w:t>
      </w:r>
    </w:p>
    <w:p>
      <w:pPr>
        <w:numPr>
          <w:ilvl w:val="0"/>
          <w:numId w:val="0"/>
        </w:numPr>
        <w:spacing w:line="600" w:lineRule="exact"/>
        <w:ind w:firstLine="643" w:firstLineChars="20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2.公务用车购置及运行维护费支出0万元，完成预算0%。</w:t>
      </w:r>
      <w:r>
        <w:rPr>
          <w:rFonts w:hint="eastAsia" w:ascii="宋体" w:hAnsi="宋体" w:eastAsia="宋体" w:cs="宋体"/>
          <w:color w:val="auto"/>
          <w:kern w:val="2"/>
          <w:sz w:val="32"/>
          <w:szCs w:val="32"/>
          <w:highlight w:val="none"/>
          <w:lang w:val="en-US" w:eastAsia="zh-CN" w:bidi="ar-SA"/>
        </w:rPr>
        <w:t>公务用车购置及运行维护费支出决算与2023年持平。</w:t>
      </w:r>
    </w:p>
    <w:p>
      <w:pPr>
        <w:spacing w:line="600" w:lineRule="exact"/>
        <w:ind w:firstLine="640" w:firstLineChars="200"/>
        <w:rPr>
          <w:rFonts w:hint="eastAsia" w:ascii="宋体" w:hAnsi="宋体" w:eastAsia="宋体" w:cs="宋体"/>
          <w:color w:val="000000"/>
          <w:sz w:val="32"/>
          <w:szCs w:val="32"/>
          <w:lang w:val="zh-CN"/>
        </w:rPr>
      </w:pPr>
      <w:r>
        <w:rPr>
          <w:rFonts w:hint="eastAsia" w:ascii="宋体" w:hAnsi="宋体" w:eastAsia="宋体" w:cs="宋体"/>
          <w:color w:val="auto"/>
          <w:kern w:val="2"/>
          <w:sz w:val="32"/>
          <w:szCs w:val="32"/>
          <w:highlight w:val="none"/>
          <w:lang w:val="en-US" w:eastAsia="zh-CN" w:bidi="ar-SA"/>
        </w:rPr>
        <w:t>其中：公务用车购置支出</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万元。</w:t>
      </w:r>
      <w:r>
        <w:rPr>
          <w:rFonts w:hint="eastAsia" w:ascii="宋体" w:hAnsi="宋体" w:eastAsia="宋体" w:cs="宋体"/>
          <w:color w:val="000000"/>
          <w:sz w:val="32"/>
          <w:szCs w:val="32"/>
          <w:lang w:val="zh-CN"/>
        </w:rPr>
        <w:t>全年按规定更新购置公务用车0辆，其中：轿车</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辆、金额</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万元，越野车</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辆、金额</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万元，小型载客汽车</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辆、金额</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万元，大中型载客汽车</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辆、金额</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万元，其他车型</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辆、金额</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万元</w:t>
      </w:r>
      <w:r>
        <w:rPr>
          <w:rFonts w:hint="eastAsia" w:ascii="宋体" w:hAnsi="宋体" w:eastAsia="宋体" w:cs="宋体"/>
          <w:color w:val="000000"/>
          <w:sz w:val="32"/>
          <w:szCs w:val="32"/>
        </w:rPr>
        <w:t>.</w:t>
      </w:r>
      <w:r>
        <w:rPr>
          <w:rFonts w:hint="eastAsia" w:ascii="宋体" w:hAnsi="宋体" w:eastAsia="宋体" w:cs="宋体"/>
          <w:color w:val="000000"/>
          <w:sz w:val="32"/>
          <w:szCs w:val="32"/>
          <w:lang w:val="zh-CN"/>
        </w:rPr>
        <w:t>截至2022年12月底，本部门共有公务用车0辆，其中：轿车</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辆、越野车</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辆、小型载客汽车</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辆、大中型载客汽车</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辆、其他车型</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辆。</w:t>
      </w:r>
    </w:p>
    <w:p>
      <w:pPr>
        <w:spacing w:line="600" w:lineRule="exact"/>
        <w:ind w:firstLine="643" w:firstLineChars="200"/>
        <w:rPr>
          <w:rFonts w:hint="eastAsia" w:ascii="宋体" w:hAnsi="宋体" w:eastAsia="宋体" w:cs="宋体"/>
          <w:color w:val="000000"/>
          <w:sz w:val="32"/>
          <w:szCs w:val="32"/>
          <w:lang w:val="zh-CN"/>
        </w:rPr>
      </w:pPr>
      <w:r>
        <w:rPr>
          <w:rFonts w:hint="eastAsia" w:ascii="宋体" w:hAnsi="宋体" w:eastAsia="宋体" w:cs="宋体"/>
          <w:b/>
          <w:color w:val="000000"/>
          <w:sz w:val="32"/>
          <w:szCs w:val="32"/>
          <w:lang w:val="zh-CN"/>
        </w:rPr>
        <w:t>公务用车运行维护费</w:t>
      </w:r>
      <w:r>
        <w:rPr>
          <w:rFonts w:hint="eastAsia" w:ascii="宋体" w:hAnsi="宋体" w:eastAsia="宋体" w:cs="宋体"/>
          <w:color w:val="000000"/>
          <w:sz w:val="32"/>
          <w:szCs w:val="32"/>
          <w:lang w:val="zh-CN"/>
        </w:rPr>
        <w:t>支出0万元。</w:t>
      </w:r>
    </w:p>
    <w:p>
      <w:pPr>
        <w:keepNext/>
        <w:keepLines/>
        <w:tabs>
          <w:tab w:val="left" w:pos="480"/>
        </w:tabs>
        <w:spacing w:line="576" w:lineRule="exact"/>
        <w:ind w:firstLine="723" w:firstLineChars="225"/>
        <w:rPr>
          <w:rFonts w:hint="eastAsia" w:ascii="宋体" w:hAnsi="宋体" w:eastAsia="宋体" w:cs="宋体"/>
          <w:color w:val="000000"/>
          <w:sz w:val="32"/>
          <w:szCs w:val="32"/>
          <w:lang w:val="zh-CN"/>
        </w:rPr>
      </w:pPr>
      <w:r>
        <w:rPr>
          <w:rFonts w:hint="eastAsia" w:ascii="宋体" w:hAnsi="宋体" w:eastAsia="宋体" w:cs="宋体"/>
          <w:b/>
          <w:color w:val="000000"/>
          <w:sz w:val="32"/>
          <w:szCs w:val="32"/>
        </w:rPr>
        <w:t>3.</w:t>
      </w:r>
      <w:r>
        <w:rPr>
          <w:rFonts w:hint="eastAsia" w:ascii="宋体" w:hAnsi="宋体" w:eastAsia="宋体" w:cs="宋体"/>
          <w:b/>
          <w:color w:val="000000"/>
          <w:sz w:val="32"/>
          <w:szCs w:val="32"/>
          <w:lang w:val="zh-CN"/>
        </w:rPr>
        <w:t>公务接待费</w:t>
      </w:r>
      <w:r>
        <w:rPr>
          <w:rFonts w:hint="eastAsia" w:ascii="宋体" w:hAnsi="宋体" w:eastAsia="宋体" w:cs="宋体"/>
          <w:color w:val="000000"/>
          <w:sz w:val="32"/>
          <w:szCs w:val="32"/>
          <w:lang w:val="zh-CN"/>
        </w:rPr>
        <w:t>支出0万元，完成预算0%。公务接待费支出决算比202</w:t>
      </w:r>
      <w:r>
        <w:rPr>
          <w:rFonts w:hint="eastAsia" w:ascii="宋体" w:hAnsi="宋体" w:eastAsia="宋体" w:cs="宋体"/>
          <w:color w:val="000000"/>
          <w:sz w:val="32"/>
          <w:szCs w:val="32"/>
          <w:lang w:val="en-US" w:eastAsia="zh-CN"/>
        </w:rPr>
        <w:t>3</w:t>
      </w:r>
      <w:r>
        <w:rPr>
          <w:rFonts w:hint="eastAsia" w:ascii="宋体" w:hAnsi="宋体" w:eastAsia="宋体" w:cs="宋体"/>
          <w:color w:val="000000"/>
          <w:sz w:val="32"/>
          <w:szCs w:val="32"/>
          <w:lang w:val="zh-CN"/>
        </w:rPr>
        <w:t>年增加0万元，增长</w:t>
      </w:r>
      <w:r>
        <w:rPr>
          <w:rFonts w:hint="eastAsia" w:ascii="宋体" w:hAnsi="宋体" w:eastAsia="宋体" w:cs="宋体"/>
          <w:color w:val="000000"/>
          <w:sz w:val="32"/>
          <w:szCs w:val="32"/>
        </w:rPr>
        <w:t>0</w:t>
      </w:r>
      <w:r>
        <w:rPr>
          <w:rFonts w:hint="eastAsia" w:ascii="宋体" w:hAnsi="宋体" w:eastAsia="宋体" w:cs="宋体"/>
          <w:color w:val="000000"/>
          <w:sz w:val="32"/>
          <w:szCs w:val="32"/>
          <w:lang w:val="zh-CN"/>
        </w:rPr>
        <w:t>%。</w:t>
      </w:r>
    </w:p>
    <w:p>
      <w:pPr>
        <w:keepNext/>
        <w:keepLines/>
        <w:spacing w:line="576" w:lineRule="exact"/>
        <w:ind w:firstLine="643"/>
        <w:rPr>
          <w:rFonts w:hint="eastAsia" w:ascii="宋体" w:hAnsi="宋体" w:eastAsia="宋体" w:cs="宋体"/>
          <w:color w:val="000000"/>
          <w:sz w:val="32"/>
          <w:szCs w:val="32"/>
        </w:rPr>
      </w:pPr>
      <w:r>
        <w:rPr>
          <w:rFonts w:hint="eastAsia" w:ascii="宋体" w:hAnsi="宋体" w:eastAsia="宋体" w:cs="宋体"/>
          <w:b/>
          <w:color w:val="000000"/>
          <w:sz w:val="32"/>
          <w:szCs w:val="32"/>
          <w:lang w:val="zh-CN"/>
        </w:rPr>
        <w:t>国内公务接待</w:t>
      </w:r>
      <w:r>
        <w:rPr>
          <w:rFonts w:hint="eastAsia" w:ascii="宋体" w:hAnsi="宋体" w:eastAsia="宋体" w:cs="宋体"/>
          <w:color w:val="000000"/>
          <w:sz w:val="32"/>
          <w:szCs w:val="32"/>
          <w:lang w:val="zh-CN"/>
        </w:rPr>
        <w:t>支出0万元。国内公务接待0批次，0人次</w:t>
      </w:r>
      <w:r>
        <w:rPr>
          <w:rFonts w:hint="eastAsia" w:ascii="宋体" w:hAnsi="宋体" w:eastAsia="宋体" w:cs="宋体"/>
          <w:sz w:val="32"/>
          <w:szCs w:val="32"/>
        </w:rPr>
        <w:t>（不包括陪同人员）</w:t>
      </w:r>
      <w:r>
        <w:rPr>
          <w:rFonts w:hint="eastAsia" w:ascii="宋体" w:hAnsi="宋体" w:eastAsia="宋体" w:cs="宋体"/>
          <w:color w:val="000000"/>
          <w:sz w:val="32"/>
          <w:szCs w:val="32"/>
          <w:lang w:val="zh-CN"/>
        </w:rPr>
        <w:t>，共计支出0万元</w:t>
      </w:r>
      <w:r>
        <w:rPr>
          <w:rFonts w:hint="eastAsia" w:ascii="宋体" w:hAnsi="宋体" w:eastAsia="宋体" w:cs="宋体"/>
          <w:color w:val="000000"/>
          <w:sz w:val="32"/>
          <w:szCs w:val="32"/>
          <w:highlight w:val="white"/>
        </w:rPr>
        <w:t>。</w:t>
      </w:r>
    </w:p>
    <w:p>
      <w:pPr>
        <w:spacing w:line="600" w:lineRule="exact"/>
        <w:ind w:firstLine="643" w:firstLineChars="200"/>
        <w:rPr>
          <w:rFonts w:hint="eastAsia" w:ascii="宋体" w:hAnsi="宋体" w:eastAsia="宋体" w:cs="宋体"/>
          <w:sz w:val="32"/>
          <w:szCs w:val="32"/>
        </w:rPr>
      </w:pPr>
      <w:r>
        <w:rPr>
          <w:rFonts w:hint="eastAsia" w:ascii="宋体" w:hAnsi="宋体" w:eastAsia="宋体" w:cs="宋体"/>
          <w:b/>
          <w:sz w:val="32"/>
          <w:szCs w:val="32"/>
        </w:rPr>
        <w:t>外事接待支出</w:t>
      </w:r>
      <w:r>
        <w:rPr>
          <w:rFonts w:hint="eastAsia" w:ascii="宋体" w:hAnsi="宋体" w:eastAsia="宋体" w:cs="宋体"/>
          <w:sz w:val="32"/>
          <w:szCs w:val="32"/>
        </w:rPr>
        <w:t>0万元，外事接待0批次，0人次（不包括陪同人员），共计支出0万元。</w:t>
      </w:r>
    </w:p>
    <w:p>
      <w:pPr>
        <w:spacing w:line="600" w:lineRule="exact"/>
        <w:ind w:firstLine="640"/>
        <w:outlineLvl w:val="1"/>
        <w:rPr>
          <w:rStyle w:val="30"/>
          <w:rFonts w:hint="eastAsia" w:ascii="宋体" w:hAnsi="宋体" w:eastAsia="宋体" w:cs="宋体"/>
          <w:b/>
          <w:bCs/>
          <w:color w:val="auto"/>
          <w:sz w:val="32"/>
          <w:szCs w:val="32"/>
          <w:highlight w:val="none"/>
        </w:rPr>
      </w:pPr>
      <w:bookmarkStart w:id="44" w:name="_Toc15396610"/>
      <w:bookmarkStart w:id="45" w:name="_Toc15377218"/>
      <w:r>
        <w:rPr>
          <w:rFonts w:hint="eastAsia" w:ascii="宋体" w:hAnsi="宋体" w:eastAsia="宋体" w:cs="宋体"/>
          <w:b/>
          <w:bCs/>
          <w:color w:val="auto"/>
          <w:sz w:val="32"/>
          <w:szCs w:val="32"/>
          <w:highlight w:val="none"/>
        </w:rPr>
        <w:t>八、</w:t>
      </w:r>
      <w:r>
        <w:rPr>
          <w:rStyle w:val="30"/>
          <w:rFonts w:hint="eastAsia" w:ascii="宋体" w:hAnsi="宋体" w:eastAsia="宋体" w:cs="宋体"/>
          <w:b/>
          <w:bCs/>
          <w:color w:val="auto"/>
          <w:sz w:val="32"/>
          <w:szCs w:val="32"/>
          <w:highlight w:val="none"/>
        </w:rPr>
        <w:t>政府性基金预算支出决算情况说明</w:t>
      </w:r>
      <w:bookmarkEnd w:id="44"/>
      <w:bookmarkEnd w:id="45"/>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2024年度政府性基金预算财政拨款支出</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万元，占本年支出合计的</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%。与2023年度相比，政府性基金预算财政拨款支出与2023年持平。</w:t>
      </w:r>
    </w:p>
    <w:p>
      <w:pPr>
        <w:numPr>
          <w:ilvl w:val="0"/>
          <w:numId w:val="0"/>
        </w:numPr>
        <w:spacing w:line="600" w:lineRule="exact"/>
        <w:ind w:left="630" w:leftChars="0"/>
        <w:outlineLvl w:val="1"/>
        <w:rPr>
          <w:rStyle w:val="30"/>
          <w:rFonts w:hint="eastAsia" w:ascii="宋体" w:hAnsi="宋体" w:eastAsia="宋体" w:cs="宋体"/>
          <w:b/>
          <w:bCs w:val="0"/>
          <w:color w:val="auto"/>
          <w:sz w:val="32"/>
          <w:szCs w:val="32"/>
          <w:highlight w:val="none"/>
        </w:rPr>
      </w:pPr>
      <w:bookmarkStart w:id="46" w:name="_Toc15396611"/>
      <w:bookmarkStart w:id="47" w:name="_Toc15377219"/>
      <w:r>
        <w:rPr>
          <w:rStyle w:val="30"/>
          <w:rFonts w:hint="eastAsia" w:ascii="宋体" w:hAnsi="宋体" w:eastAsia="宋体" w:cs="宋体"/>
          <w:b/>
          <w:bCs w:val="0"/>
          <w:color w:val="auto"/>
          <w:sz w:val="32"/>
          <w:szCs w:val="32"/>
          <w:highlight w:val="none"/>
          <w:lang w:eastAsia="zh-CN"/>
        </w:rPr>
        <w:t>九、</w:t>
      </w:r>
      <w:r>
        <w:rPr>
          <w:rStyle w:val="30"/>
          <w:rFonts w:hint="eastAsia" w:ascii="宋体" w:hAnsi="宋体" w:eastAsia="宋体" w:cs="宋体"/>
          <w:b/>
          <w:bCs w:val="0"/>
          <w:color w:val="auto"/>
          <w:sz w:val="32"/>
          <w:szCs w:val="32"/>
          <w:highlight w:val="none"/>
        </w:rPr>
        <w:t>国有资本经营预算支出决算情况说明</w:t>
      </w:r>
      <w:bookmarkEnd w:id="46"/>
      <w:bookmarkEnd w:id="47"/>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2024年度国有资本经营预算财政拨款支出</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万元，占本年支出合计的</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%。与2023年度相比，国有资本经营预算财政拨款支出与2023年持平。</w:t>
      </w:r>
    </w:p>
    <w:p>
      <w:pPr>
        <w:pStyle w:val="2"/>
        <w:rPr>
          <w:rFonts w:hint="eastAsia" w:ascii="宋体" w:hAnsi="宋体" w:eastAsia="宋体" w:cs="宋体"/>
          <w:color w:val="auto"/>
          <w:kern w:val="2"/>
          <w:sz w:val="32"/>
          <w:szCs w:val="32"/>
          <w:highlight w:val="none"/>
          <w:lang w:val="en-US" w:eastAsia="zh-CN" w:bidi="ar-SA"/>
        </w:rPr>
      </w:pPr>
    </w:p>
    <w:p>
      <w:pPr>
        <w:pStyle w:val="3"/>
        <w:rPr>
          <w:rFonts w:hint="eastAsia"/>
          <w:lang w:val="en-US" w:eastAsia="zh-CN"/>
        </w:rPr>
      </w:pPr>
    </w:p>
    <w:p>
      <w:pPr>
        <w:pStyle w:val="3"/>
        <w:rPr>
          <w:rFonts w:hint="eastAsia"/>
          <w:lang w:val="en-US" w:eastAsia="zh-CN"/>
        </w:rPr>
      </w:pPr>
    </w:p>
    <w:p>
      <w:pPr>
        <w:numPr>
          <w:ilvl w:val="0"/>
          <w:numId w:val="0"/>
        </w:numPr>
        <w:spacing w:line="600" w:lineRule="exact"/>
        <w:ind w:left="630" w:leftChars="0"/>
        <w:outlineLvl w:val="1"/>
        <w:rPr>
          <w:rStyle w:val="30"/>
          <w:rFonts w:hint="eastAsia" w:ascii="宋体" w:hAnsi="宋体" w:eastAsia="宋体" w:cs="宋体"/>
          <w:b/>
          <w:bCs w:val="0"/>
          <w:color w:val="auto"/>
          <w:sz w:val="32"/>
          <w:szCs w:val="32"/>
          <w:highlight w:val="none"/>
        </w:rPr>
      </w:pPr>
      <w:bookmarkStart w:id="48" w:name="_Toc15377221"/>
      <w:bookmarkStart w:id="49" w:name="_Toc15396612"/>
      <w:r>
        <w:rPr>
          <w:rStyle w:val="30"/>
          <w:rFonts w:hint="eastAsia" w:ascii="宋体" w:hAnsi="宋体" w:eastAsia="宋体" w:cs="宋体"/>
          <w:b/>
          <w:bCs w:val="0"/>
          <w:color w:val="auto"/>
          <w:sz w:val="32"/>
          <w:szCs w:val="32"/>
          <w:highlight w:val="none"/>
          <w:lang w:eastAsia="zh-CN"/>
        </w:rPr>
        <w:t>十、</w:t>
      </w:r>
      <w:r>
        <w:rPr>
          <w:rStyle w:val="30"/>
          <w:rFonts w:hint="eastAsia" w:ascii="宋体" w:hAnsi="宋体" w:eastAsia="宋体" w:cs="宋体"/>
          <w:b/>
          <w:bCs w:val="0"/>
          <w:color w:val="auto"/>
          <w:sz w:val="32"/>
          <w:szCs w:val="32"/>
          <w:highlight w:val="none"/>
        </w:rPr>
        <w:t>其他重要事项的情况说明</w:t>
      </w:r>
      <w:bookmarkEnd w:id="48"/>
      <w:bookmarkEnd w:id="49"/>
    </w:p>
    <w:p>
      <w:pPr>
        <w:spacing w:line="600" w:lineRule="exact"/>
        <w:ind w:firstLine="643" w:firstLineChars="200"/>
        <w:outlineLvl w:val="2"/>
        <w:rPr>
          <w:rFonts w:hint="eastAsia" w:ascii="宋体" w:hAnsi="宋体" w:eastAsia="宋体" w:cs="宋体"/>
          <w:b/>
          <w:color w:val="auto"/>
          <w:sz w:val="32"/>
          <w:szCs w:val="32"/>
          <w:highlight w:val="none"/>
        </w:rPr>
      </w:pPr>
      <w:bookmarkStart w:id="50" w:name="_Toc15377222"/>
      <w:r>
        <w:rPr>
          <w:rFonts w:hint="eastAsia" w:ascii="宋体" w:hAnsi="宋体" w:eastAsia="宋体" w:cs="宋体"/>
          <w:b/>
          <w:color w:val="auto"/>
          <w:sz w:val="32"/>
          <w:szCs w:val="32"/>
          <w:highlight w:val="none"/>
        </w:rPr>
        <w:t>（一）机关运行经费支出情况</w:t>
      </w:r>
      <w:bookmarkEnd w:id="50"/>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w:t>
      </w:r>
      <w:r>
        <w:rPr>
          <w:rFonts w:hint="eastAsia" w:ascii="宋体" w:hAnsi="宋体" w:eastAsia="宋体" w:cs="宋体"/>
          <w:sz w:val="32"/>
          <w:szCs w:val="32"/>
        </w:rPr>
        <w:t>攀枝花市东区财政局</w:t>
      </w:r>
      <w:r>
        <w:rPr>
          <w:rFonts w:hint="eastAsia" w:ascii="宋体" w:hAnsi="宋体" w:eastAsia="宋体" w:cs="宋体"/>
          <w:color w:val="auto"/>
          <w:kern w:val="2"/>
          <w:sz w:val="32"/>
          <w:szCs w:val="32"/>
          <w:highlight w:val="none"/>
          <w:lang w:val="en-US" w:eastAsia="zh-CN" w:bidi="ar-SA"/>
        </w:rPr>
        <w:t>机关运行经费支出</w:t>
      </w:r>
      <w:r>
        <w:rPr>
          <w:rFonts w:hint="eastAsia" w:ascii="宋体" w:hAnsi="宋体" w:eastAsia="宋体" w:cs="宋体"/>
          <w:sz w:val="32"/>
          <w:szCs w:val="32"/>
        </w:rPr>
        <w:t>68.58</w:t>
      </w:r>
      <w:r>
        <w:rPr>
          <w:rFonts w:hint="eastAsia" w:ascii="宋体" w:hAnsi="宋体" w:eastAsia="宋体" w:cs="宋体"/>
          <w:color w:val="auto"/>
          <w:kern w:val="2"/>
          <w:sz w:val="32"/>
          <w:szCs w:val="32"/>
          <w:highlight w:val="none"/>
          <w:lang w:val="en-US" w:eastAsia="zh-CN" w:bidi="ar-SA"/>
        </w:rPr>
        <w:t>万元，比2023年度增加1.63万元，增长2.43%。主要原因是</w:t>
      </w:r>
      <w:r>
        <w:rPr>
          <w:rFonts w:hint="eastAsia" w:ascii="宋体" w:hAnsi="宋体" w:eastAsia="宋体" w:cs="宋体"/>
          <w:color w:val="000000"/>
          <w:sz w:val="32"/>
          <w:szCs w:val="32"/>
          <w:lang w:val="zh-CN"/>
        </w:rPr>
        <w:t>日常公用经费比去年有所增加。</w:t>
      </w:r>
    </w:p>
    <w:p>
      <w:pPr>
        <w:spacing w:line="600" w:lineRule="exact"/>
        <w:ind w:firstLine="643" w:firstLineChars="200"/>
        <w:outlineLvl w:val="2"/>
        <w:rPr>
          <w:rFonts w:hint="eastAsia" w:ascii="宋体" w:hAnsi="宋体" w:eastAsia="宋体" w:cs="宋体"/>
          <w:b/>
          <w:color w:val="auto"/>
          <w:sz w:val="32"/>
          <w:szCs w:val="32"/>
          <w:highlight w:val="none"/>
        </w:rPr>
      </w:pPr>
      <w:bookmarkStart w:id="51" w:name="_Toc15377223"/>
      <w:r>
        <w:rPr>
          <w:rFonts w:hint="eastAsia" w:ascii="宋体" w:hAnsi="宋体" w:eastAsia="宋体" w:cs="宋体"/>
          <w:b/>
          <w:color w:val="auto"/>
          <w:sz w:val="32"/>
          <w:szCs w:val="32"/>
          <w:highlight w:val="none"/>
        </w:rPr>
        <w:t>（二）政府采购支出情况</w:t>
      </w:r>
      <w:bookmarkEnd w:id="51"/>
    </w:p>
    <w:p>
      <w:pPr>
        <w:spacing w:line="600" w:lineRule="exact"/>
        <w:ind w:firstLine="640"/>
        <w:rPr>
          <w:rFonts w:hint="eastAsia" w:ascii="宋体" w:hAnsi="宋体" w:eastAsia="宋体" w:cs="宋体"/>
          <w:color w:val="auto"/>
          <w:kern w:val="2"/>
          <w:sz w:val="32"/>
          <w:szCs w:val="32"/>
          <w:highlight w:val="none"/>
          <w:lang w:val="en-US" w:eastAsia="zh-CN" w:bidi="ar-SA"/>
        </w:rPr>
      </w:pPr>
      <w:bookmarkStart w:id="52" w:name="OLE_LINK7"/>
      <w:r>
        <w:rPr>
          <w:rFonts w:hint="eastAsia" w:ascii="宋体" w:hAnsi="宋体" w:eastAsia="宋体" w:cs="宋体"/>
          <w:color w:val="auto"/>
          <w:kern w:val="2"/>
          <w:sz w:val="32"/>
          <w:szCs w:val="32"/>
          <w:highlight w:val="none"/>
          <w:lang w:val="en-US" w:eastAsia="zh-CN" w:bidi="ar-SA"/>
        </w:rPr>
        <w:t>2024年度，</w:t>
      </w:r>
      <w:r>
        <w:rPr>
          <w:rFonts w:hint="eastAsia" w:ascii="宋体" w:hAnsi="宋体" w:eastAsia="宋体" w:cs="宋体"/>
          <w:sz w:val="32"/>
          <w:szCs w:val="32"/>
          <w:highlight w:val="none"/>
        </w:rPr>
        <w:t>攀枝花市东区财政局</w:t>
      </w:r>
      <w:r>
        <w:rPr>
          <w:rFonts w:hint="eastAsia" w:ascii="宋体" w:hAnsi="宋体" w:eastAsia="宋体" w:cs="宋体"/>
          <w:color w:val="auto"/>
          <w:kern w:val="2"/>
          <w:sz w:val="32"/>
          <w:szCs w:val="32"/>
          <w:highlight w:val="none"/>
          <w:lang w:val="en-US" w:eastAsia="zh-CN" w:bidi="ar-SA"/>
        </w:rPr>
        <w:t>政府采购支出总额</w:t>
      </w:r>
      <w:r>
        <w:rPr>
          <w:rFonts w:hint="eastAsia" w:ascii="宋体" w:hAnsi="宋体" w:eastAsia="宋体" w:cs="宋体"/>
          <w:sz w:val="32"/>
          <w:szCs w:val="32"/>
          <w:highlight w:val="none"/>
        </w:rPr>
        <w:t>319.68</w:t>
      </w:r>
      <w:r>
        <w:rPr>
          <w:rFonts w:hint="eastAsia" w:ascii="宋体" w:hAnsi="宋体" w:eastAsia="宋体" w:cs="宋体"/>
          <w:color w:val="auto"/>
          <w:kern w:val="2"/>
          <w:sz w:val="32"/>
          <w:szCs w:val="32"/>
          <w:highlight w:val="none"/>
          <w:lang w:val="en-US" w:eastAsia="zh-CN" w:bidi="ar-SA"/>
        </w:rPr>
        <w:t>万元，其中：政府采购货物支出</w:t>
      </w:r>
      <w:r>
        <w:rPr>
          <w:rFonts w:hint="eastAsia" w:ascii="宋体" w:hAnsi="宋体" w:eastAsia="宋体" w:cs="宋体"/>
          <w:sz w:val="32"/>
          <w:szCs w:val="32"/>
          <w:highlight w:val="none"/>
        </w:rPr>
        <w:t>1.73</w:t>
      </w:r>
      <w:r>
        <w:rPr>
          <w:rFonts w:hint="eastAsia" w:ascii="宋体" w:hAnsi="宋体" w:eastAsia="宋体" w:cs="宋体"/>
          <w:color w:val="auto"/>
          <w:kern w:val="2"/>
          <w:sz w:val="32"/>
          <w:szCs w:val="32"/>
          <w:highlight w:val="none"/>
          <w:lang w:val="en-US" w:eastAsia="zh-CN" w:bidi="ar-SA"/>
        </w:rPr>
        <w:t>万元、政府采购工程支出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万元、政府采购服务支出</w:t>
      </w:r>
      <w:r>
        <w:rPr>
          <w:rFonts w:hint="eastAsia" w:ascii="宋体" w:hAnsi="宋体" w:eastAsia="宋体" w:cs="宋体"/>
          <w:sz w:val="32"/>
          <w:szCs w:val="32"/>
          <w:highlight w:val="none"/>
        </w:rPr>
        <w:t>317.95</w:t>
      </w:r>
      <w:r>
        <w:rPr>
          <w:rFonts w:hint="eastAsia" w:ascii="宋体" w:hAnsi="宋体" w:eastAsia="宋体" w:cs="宋体"/>
          <w:color w:val="auto"/>
          <w:kern w:val="2"/>
          <w:sz w:val="32"/>
          <w:szCs w:val="32"/>
          <w:highlight w:val="none"/>
          <w:lang w:val="en-US" w:eastAsia="zh-CN" w:bidi="ar-SA"/>
        </w:rPr>
        <w:t>万元。主要用于</w:t>
      </w:r>
      <w:r>
        <w:rPr>
          <w:rFonts w:hint="eastAsia" w:ascii="宋体" w:hAnsi="宋体" w:cs="宋体"/>
          <w:color w:val="auto"/>
          <w:kern w:val="2"/>
          <w:sz w:val="32"/>
          <w:szCs w:val="32"/>
          <w:highlight w:val="none"/>
          <w:lang w:val="en-US" w:eastAsia="zh-CN" w:bidi="ar-SA"/>
        </w:rPr>
        <w:t>（购彩色复印机一台1.73万元，</w:t>
      </w:r>
      <w:r>
        <w:rPr>
          <w:rFonts w:hint="eastAsia" w:ascii="宋体" w:hAnsi="宋体" w:eastAsia="宋体" w:cs="宋体"/>
          <w:color w:val="auto"/>
          <w:kern w:val="2"/>
          <w:sz w:val="32"/>
          <w:szCs w:val="32"/>
          <w:highlight w:val="none"/>
          <w:lang w:val="en-US" w:eastAsia="zh-CN" w:bidi="ar-SA"/>
        </w:rPr>
        <w:t>新开办企业免费提供印章刻制服务项目(二次)</w:t>
      </w:r>
      <w:r>
        <w:rPr>
          <w:rFonts w:hint="eastAsia" w:ascii="宋体" w:hAnsi="宋体" w:cs="宋体"/>
          <w:color w:val="auto"/>
          <w:kern w:val="2"/>
          <w:sz w:val="32"/>
          <w:szCs w:val="32"/>
          <w:highlight w:val="none"/>
          <w:lang w:val="en-US" w:eastAsia="zh-CN" w:bidi="ar-SA"/>
        </w:rPr>
        <w:t>100万元，东区2024年调查监测工作(二次）38.95万元，东区城市级实景三维建设项目合同179万元。)</w:t>
      </w:r>
      <w:r>
        <w:rPr>
          <w:rFonts w:hint="eastAsia" w:ascii="宋体" w:hAnsi="宋体" w:eastAsia="宋体" w:cs="宋体"/>
          <w:color w:val="auto"/>
          <w:kern w:val="2"/>
          <w:sz w:val="32"/>
          <w:szCs w:val="32"/>
          <w:highlight w:val="none"/>
          <w:lang w:val="en-US" w:eastAsia="zh-CN" w:bidi="ar-SA"/>
        </w:rPr>
        <w:t>授予中小企业合同金额</w:t>
      </w:r>
      <w:r>
        <w:rPr>
          <w:rFonts w:hint="eastAsia" w:ascii="宋体" w:hAnsi="宋体" w:eastAsia="宋体" w:cs="宋体"/>
          <w:sz w:val="32"/>
          <w:szCs w:val="32"/>
          <w:highlight w:val="none"/>
        </w:rPr>
        <w:t>140.68</w:t>
      </w:r>
      <w:r>
        <w:rPr>
          <w:rFonts w:hint="eastAsia" w:ascii="宋体" w:hAnsi="宋体" w:eastAsia="宋体" w:cs="宋体"/>
          <w:color w:val="auto"/>
          <w:kern w:val="2"/>
          <w:sz w:val="32"/>
          <w:szCs w:val="32"/>
          <w:highlight w:val="none"/>
          <w:lang w:val="en-US" w:eastAsia="zh-CN" w:bidi="ar-SA"/>
        </w:rPr>
        <w:t>万元，占政府采购支出总额的</w:t>
      </w:r>
      <w:r>
        <w:rPr>
          <w:rFonts w:hint="eastAsia" w:ascii="宋体" w:hAnsi="宋体" w:eastAsia="宋体" w:cs="宋体"/>
          <w:sz w:val="32"/>
          <w:szCs w:val="32"/>
          <w:highlight w:val="none"/>
        </w:rPr>
        <w:t>44</w:t>
      </w:r>
      <w:r>
        <w:rPr>
          <w:rFonts w:hint="eastAsia" w:ascii="宋体" w:hAnsi="宋体" w:eastAsia="宋体" w:cs="宋体"/>
          <w:sz w:val="32"/>
          <w:szCs w:val="32"/>
          <w:highlight w:val="none"/>
          <w:lang w:val="en-US" w:eastAsia="zh-CN"/>
        </w:rPr>
        <w:t>.01</w:t>
      </w:r>
      <w:r>
        <w:rPr>
          <w:rFonts w:hint="eastAsia" w:ascii="宋体" w:hAnsi="宋体" w:eastAsia="宋体" w:cs="宋体"/>
          <w:color w:val="auto"/>
          <w:kern w:val="2"/>
          <w:sz w:val="32"/>
          <w:szCs w:val="32"/>
          <w:highlight w:val="none"/>
          <w:lang w:val="en-US" w:eastAsia="zh-CN" w:bidi="ar-SA"/>
        </w:rPr>
        <w:t>%，其中：授予小微企业合同金额</w:t>
      </w:r>
      <w:r>
        <w:rPr>
          <w:rFonts w:hint="eastAsia" w:ascii="宋体" w:hAnsi="宋体" w:eastAsia="宋体" w:cs="宋体"/>
          <w:sz w:val="32"/>
          <w:szCs w:val="32"/>
          <w:highlight w:val="none"/>
        </w:rPr>
        <w:t>140.68</w:t>
      </w:r>
      <w:r>
        <w:rPr>
          <w:rFonts w:hint="eastAsia" w:ascii="宋体" w:hAnsi="宋体" w:eastAsia="宋体" w:cs="宋体"/>
          <w:color w:val="auto"/>
          <w:kern w:val="2"/>
          <w:sz w:val="32"/>
          <w:szCs w:val="32"/>
          <w:highlight w:val="none"/>
          <w:lang w:val="en-US" w:eastAsia="zh-CN" w:bidi="ar-SA"/>
        </w:rPr>
        <w:t>万元，占政府采购支出总额的</w:t>
      </w:r>
      <w:r>
        <w:rPr>
          <w:rFonts w:hint="eastAsia" w:ascii="宋体" w:hAnsi="宋体" w:eastAsia="宋体" w:cs="宋体"/>
          <w:sz w:val="32"/>
          <w:szCs w:val="32"/>
          <w:highlight w:val="none"/>
        </w:rPr>
        <w:t>44</w:t>
      </w:r>
      <w:r>
        <w:rPr>
          <w:rFonts w:hint="eastAsia" w:ascii="宋体" w:hAnsi="宋体" w:eastAsia="宋体" w:cs="宋体"/>
          <w:sz w:val="32"/>
          <w:szCs w:val="32"/>
          <w:highlight w:val="none"/>
          <w:lang w:val="en-US" w:eastAsia="zh-CN"/>
        </w:rPr>
        <w:t>.01</w:t>
      </w:r>
      <w:r>
        <w:rPr>
          <w:rFonts w:hint="eastAsia" w:ascii="宋体" w:hAnsi="宋体" w:eastAsia="宋体" w:cs="宋体"/>
          <w:color w:val="auto"/>
          <w:kern w:val="2"/>
          <w:sz w:val="32"/>
          <w:szCs w:val="32"/>
          <w:highlight w:val="none"/>
          <w:lang w:val="en-US" w:eastAsia="zh-CN" w:bidi="ar-SA"/>
        </w:rPr>
        <w:t>%。</w:t>
      </w:r>
    </w:p>
    <w:bookmarkEnd w:id="52"/>
    <w:p>
      <w:pPr>
        <w:spacing w:line="600" w:lineRule="exact"/>
        <w:ind w:firstLine="643" w:firstLineChars="200"/>
        <w:outlineLvl w:val="2"/>
        <w:rPr>
          <w:rFonts w:hint="eastAsia" w:ascii="宋体" w:hAnsi="宋体" w:eastAsia="宋体" w:cs="宋体"/>
          <w:b/>
          <w:color w:val="auto"/>
          <w:sz w:val="32"/>
          <w:szCs w:val="32"/>
          <w:highlight w:val="none"/>
        </w:rPr>
      </w:pPr>
      <w:bookmarkStart w:id="53" w:name="_Toc15377224"/>
      <w:r>
        <w:rPr>
          <w:rFonts w:hint="eastAsia" w:ascii="宋体" w:hAnsi="宋体" w:eastAsia="宋体" w:cs="宋体"/>
          <w:b/>
          <w:color w:val="auto"/>
          <w:sz w:val="32"/>
          <w:szCs w:val="32"/>
          <w:highlight w:val="none"/>
        </w:rPr>
        <w:t>（三）国有资产占有使用情况</w:t>
      </w:r>
      <w:bookmarkEnd w:id="53"/>
    </w:p>
    <w:p>
      <w:pPr>
        <w:spacing w:line="576" w:lineRule="exact"/>
        <w:ind w:firstLine="640"/>
        <w:rPr>
          <w:rFonts w:hint="eastAsia" w:ascii="宋体" w:hAnsi="宋体" w:eastAsia="宋体" w:cs="宋体"/>
          <w:color w:val="000000"/>
          <w:sz w:val="32"/>
          <w:szCs w:val="32"/>
          <w:lang w:val="zh-CN"/>
        </w:rPr>
      </w:pPr>
      <w:r>
        <w:rPr>
          <w:rFonts w:hint="eastAsia" w:ascii="宋体" w:hAnsi="宋体" w:eastAsia="宋体" w:cs="宋体"/>
          <w:color w:val="auto"/>
          <w:kern w:val="2"/>
          <w:sz w:val="32"/>
          <w:szCs w:val="32"/>
          <w:highlight w:val="none"/>
          <w:lang w:val="en-US" w:eastAsia="zh-CN" w:bidi="ar-SA"/>
        </w:rPr>
        <w:t>截至2024年12月31日，</w:t>
      </w:r>
      <w:r>
        <w:rPr>
          <w:rFonts w:hint="eastAsia" w:ascii="宋体" w:hAnsi="宋体" w:eastAsia="宋体" w:cs="宋体"/>
          <w:sz w:val="32"/>
          <w:szCs w:val="32"/>
        </w:rPr>
        <w:t>攀枝花市东区财政局</w:t>
      </w:r>
      <w:r>
        <w:rPr>
          <w:rFonts w:hint="eastAsia" w:ascii="宋体" w:hAnsi="宋体" w:eastAsia="宋体" w:cs="宋体"/>
          <w:color w:val="auto"/>
          <w:kern w:val="2"/>
          <w:sz w:val="32"/>
          <w:szCs w:val="32"/>
          <w:highlight w:val="none"/>
          <w:lang w:val="en-US" w:eastAsia="zh-CN" w:bidi="ar-SA"/>
        </w:rPr>
        <w:t>共有车辆</w:t>
      </w:r>
      <w:r>
        <w:rPr>
          <w:rFonts w:hint="eastAsia" w:ascii="宋体" w:hAnsi="宋体" w:eastAsia="宋体" w:cs="宋体"/>
          <w:sz w:val="32"/>
          <w:szCs w:val="32"/>
        </w:rPr>
        <w:t>0</w:t>
      </w:r>
      <w:r>
        <w:rPr>
          <w:rFonts w:hint="eastAsia" w:ascii="宋体" w:hAnsi="宋体" w:eastAsia="宋体" w:cs="宋体"/>
          <w:color w:val="auto"/>
          <w:kern w:val="2"/>
          <w:sz w:val="32"/>
          <w:szCs w:val="32"/>
          <w:highlight w:val="none"/>
          <w:lang w:val="en-US" w:eastAsia="zh-CN" w:bidi="ar-SA"/>
        </w:rPr>
        <w:t>辆，</w:t>
      </w:r>
      <w:r>
        <w:rPr>
          <w:rFonts w:hint="eastAsia" w:ascii="宋体" w:hAnsi="宋体" w:eastAsia="宋体" w:cs="宋体"/>
          <w:color w:val="000000"/>
          <w:sz w:val="32"/>
          <w:szCs w:val="32"/>
          <w:lang w:val="zh-CN"/>
        </w:rPr>
        <w:t>其中：副部（省）级及以上领导用车0辆、主要领导干部用车0辆、机要通信用车0辆、应急保障用车0辆、执法执勤用车0辆、特种专业技术用车0辆、离退休干部用车0辆、其他用车0辆。单价100万元（含）以上设备0台（套)。</w:t>
      </w:r>
    </w:p>
    <w:p>
      <w:pPr>
        <w:spacing w:line="600" w:lineRule="exact"/>
        <w:ind w:firstLine="643" w:firstLineChars="200"/>
        <w:outlineLvl w:val="2"/>
        <w:rPr>
          <w:rFonts w:hint="eastAsia" w:ascii="宋体" w:hAnsi="宋体" w:eastAsia="宋体" w:cs="宋体"/>
          <w:b/>
          <w:color w:val="auto"/>
          <w:sz w:val="32"/>
          <w:szCs w:val="32"/>
          <w:highlight w:val="none"/>
        </w:rPr>
      </w:pPr>
      <w:bookmarkStart w:id="54" w:name="OLE_LINK15"/>
      <w:r>
        <w:rPr>
          <w:rFonts w:hint="eastAsia" w:ascii="宋体" w:hAnsi="宋体" w:eastAsia="宋体" w:cs="宋体"/>
          <w:b/>
          <w:color w:val="auto"/>
          <w:sz w:val="32"/>
          <w:szCs w:val="32"/>
          <w:highlight w:val="none"/>
        </w:rPr>
        <w:t>（四）预算绩效管理情况</w:t>
      </w: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根据预算绩效管理要求，本部门在2024年度预算编制阶段，组织对：“政府投资项目评审费”、“财政金融互动奖补资金”、“外聘法律顾问”等10个项目开展了预算事前绩效评估，对10个项目编制了绩效目标，预算执行过程中，选取10个项目开展绩效监控。</w:t>
      </w:r>
    </w:p>
    <w:p>
      <w:pPr>
        <w:spacing w:before="192" w:line="331" w:lineRule="auto"/>
        <w:ind w:left="28" w:firstLine="652" w:firstLineChars="204"/>
        <w:jc w:val="both"/>
        <w:rPr>
          <w:rFonts w:hint="eastAsia" w:ascii="宋体" w:hAnsi="宋体" w:eastAsia="宋体" w:cs="宋体"/>
          <w:sz w:val="32"/>
          <w:szCs w:val="32"/>
        </w:rPr>
      </w:pPr>
      <w:r>
        <w:rPr>
          <w:rFonts w:hint="eastAsia" w:ascii="宋体" w:hAnsi="宋体" w:eastAsia="宋体" w:cs="宋体"/>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攀枝花东区财政局部门整体（含部门预算项目）绩效自评报告、“政府投资项目评审费”、“财政金融互动奖补资金”、“外聘法律顾问”等专项预算项目绩效自评报告，其中，攀枝花东区财政局部门整体（含部门预算项目）绩效自评得分为100分，绩效自评综述</w:t>
      </w:r>
      <w:r>
        <w:rPr>
          <w:rFonts w:hint="eastAsia" w:ascii="宋体" w:hAnsi="宋体" w:eastAsia="宋体" w:cs="宋体"/>
          <w:spacing w:val="-2"/>
          <w:sz w:val="32"/>
          <w:szCs w:val="32"/>
        </w:rPr>
        <w:t>2024 年我部门认真贯彻落实党中央、国务院、</w:t>
      </w:r>
      <w:r>
        <w:rPr>
          <w:rFonts w:hint="eastAsia" w:ascii="宋体" w:hAnsi="宋体" w:eastAsia="宋体" w:cs="宋体"/>
          <w:spacing w:val="2"/>
          <w:sz w:val="32"/>
          <w:szCs w:val="32"/>
        </w:rPr>
        <w:t xml:space="preserve"> </w:t>
      </w:r>
      <w:r>
        <w:rPr>
          <w:rFonts w:hint="eastAsia" w:ascii="宋体" w:hAnsi="宋体" w:eastAsia="宋体" w:cs="宋体"/>
          <w:spacing w:val="9"/>
          <w:sz w:val="32"/>
          <w:szCs w:val="32"/>
        </w:rPr>
        <w:t>省市政府全面实施预算绩效管理的决策部署，牢牢扛起部门</w:t>
      </w:r>
      <w:r>
        <w:rPr>
          <w:rFonts w:hint="eastAsia" w:ascii="宋体" w:hAnsi="宋体" w:eastAsia="宋体" w:cs="宋体"/>
          <w:spacing w:val="3"/>
          <w:sz w:val="32"/>
          <w:szCs w:val="32"/>
        </w:rPr>
        <w:t>主体责任，以构建“标准科学、程序规范、约束有力”的绩效</w:t>
      </w:r>
      <w:r>
        <w:rPr>
          <w:rFonts w:hint="eastAsia" w:ascii="宋体" w:hAnsi="宋体" w:eastAsia="宋体" w:cs="宋体"/>
          <w:spacing w:val="9"/>
          <w:sz w:val="32"/>
          <w:szCs w:val="32"/>
        </w:rPr>
        <w:t>管理体系为目标，统筹推进预算与绩效一体化管理</w:t>
      </w:r>
      <w:r>
        <w:rPr>
          <w:rFonts w:hint="eastAsia" w:ascii="宋体" w:hAnsi="宋体" w:eastAsia="宋体" w:cs="宋体"/>
          <w:spacing w:val="8"/>
          <w:sz w:val="32"/>
          <w:szCs w:val="32"/>
        </w:rPr>
        <w:t>。通过强</w:t>
      </w:r>
      <w:r>
        <w:rPr>
          <w:rFonts w:hint="eastAsia" w:ascii="宋体" w:hAnsi="宋体" w:eastAsia="宋体" w:cs="宋体"/>
          <w:spacing w:val="9"/>
          <w:sz w:val="32"/>
          <w:szCs w:val="32"/>
        </w:rPr>
        <w:t>化事前评估科学决策、事中监控动态纠偏、事后评</w:t>
      </w:r>
      <w:r>
        <w:rPr>
          <w:rFonts w:hint="eastAsia" w:ascii="宋体" w:hAnsi="宋体" w:eastAsia="宋体" w:cs="宋体"/>
          <w:spacing w:val="8"/>
          <w:sz w:val="32"/>
          <w:szCs w:val="32"/>
        </w:rPr>
        <w:t>价精准问</w:t>
      </w:r>
      <w:r>
        <w:rPr>
          <w:rFonts w:hint="eastAsia" w:ascii="宋体" w:hAnsi="宋体" w:eastAsia="宋体" w:cs="宋体"/>
          <w:spacing w:val="10"/>
          <w:sz w:val="32"/>
          <w:szCs w:val="32"/>
        </w:rPr>
        <w:t>效，持续深化“目标导向、结果倒逼”的管理机制</w:t>
      </w:r>
      <w:r>
        <w:rPr>
          <w:rFonts w:hint="eastAsia" w:ascii="宋体" w:hAnsi="宋体" w:eastAsia="宋体" w:cs="宋体"/>
          <w:spacing w:val="9"/>
          <w:sz w:val="32"/>
          <w:szCs w:val="32"/>
        </w:rPr>
        <w:t>，将绩效理念深度融入预算编制、执行、监督全过程，切实提升财政资</w:t>
      </w:r>
      <w:r>
        <w:rPr>
          <w:rFonts w:hint="eastAsia" w:ascii="宋体" w:hAnsi="宋体" w:eastAsia="宋体" w:cs="宋体"/>
          <w:spacing w:val="5"/>
          <w:sz w:val="32"/>
          <w:szCs w:val="32"/>
        </w:rPr>
        <w:t>源配置效率和资金使用效益。</w:t>
      </w:r>
    </w:p>
    <w:p>
      <w:pPr>
        <w:spacing w:before="53" w:line="322" w:lineRule="auto"/>
        <w:ind w:left="44" w:right="342" w:firstLine="617"/>
        <w:jc w:val="both"/>
        <w:rPr>
          <w:rFonts w:hint="eastAsia" w:ascii="宋体" w:hAnsi="宋体" w:eastAsia="宋体" w:cs="宋体"/>
          <w:spacing w:val="6"/>
          <w:sz w:val="32"/>
          <w:szCs w:val="32"/>
        </w:rPr>
      </w:pPr>
      <w:r>
        <w:rPr>
          <w:rFonts w:hint="eastAsia" w:ascii="宋体" w:hAnsi="宋体" w:eastAsia="宋体" w:cs="宋体"/>
          <w:spacing w:val="8"/>
          <w:sz w:val="32"/>
          <w:szCs w:val="32"/>
        </w:rPr>
        <w:t>2024年</w:t>
      </w:r>
      <w:r>
        <w:rPr>
          <w:rFonts w:hint="eastAsia" w:ascii="宋体" w:hAnsi="宋体" w:eastAsia="宋体" w:cs="宋体"/>
          <w:spacing w:val="8"/>
          <w:sz w:val="32"/>
          <w:szCs w:val="32"/>
          <w:lang w:val="en-US" w:eastAsia="zh-CN"/>
        </w:rPr>
        <w:t>东区</w:t>
      </w:r>
      <w:r>
        <w:rPr>
          <w:rFonts w:hint="eastAsia" w:ascii="宋体" w:hAnsi="宋体" w:eastAsia="宋体" w:cs="宋体"/>
          <w:spacing w:val="8"/>
          <w:sz w:val="32"/>
          <w:szCs w:val="32"/>
        </w:rPr>
        <w:t>财政局部门整体支出绩效自查自评结果</w:t>
      </w:r>
      <w:r>
        <w:rPr>
          <w:rFonts w:hint="eastAsia" w:ascii="宋体" w:hAnsi="宋体" w:eastAsia="宋体" w:cs="宋体"/>
          <w:sz w:val="32"/>
          <w:szCs w:val="32"/>
        </w:rPr>
        <w:t xml:space="preserve"> </w:t>
      </w:r>
      <w:r>
        <w:rPr>
          <w:rFonts w:hint="eastAsia" w:ascii="宋体" w:hAnsi="宋体" w:eastAsia="宋体" w:cs="宋体"/>
          <w:spacing w:val="8"/>
          <w:sz w:val="32"/>
          <w:szCs w:val="32"/>
        </w:rPr>
        <w:t>良好，全年基本支出保证了部门的正常运转，项目支出保</w:t>
      </w:r>
      <w:r>
        <w:rPr>
          <w:rFonts w:hint="eastAsia" w:ascii="宋体" w:hAnsi="宋体" w:eastAsia="宋体" w:cs="宋体"/>
          <w:spacing w:val="6"/>
          <w:sz w:val="32"/>
          <w:szCs w:val="32"/>
        </w:rPr>
        <w:t>障了重点工作的开展。</w:t>
      </w:r>
    </w:p>
    <w:p>
      <w:pPr>
        <w:keepNext w:val="0"/>
        <w:keepLines w:val="0"/>
        <w:pageBreakBefore w:val="0"/>
        <w:widowControl/>
        <w:kinsoku/>
        <w:wordWrap/>
        <w:overflowPunct/>
        <w:topLinePunct w:val="0"/>
        <w:autoSpaceDE/>
        <w:autoSpaceDN/>
        <w:bidi w:val="0"/>
        <w:spacing w:line="578" w:lineRule="exact"/>
        <w:ind w:firstLine="640" w:firstLineChars="200"/>
        <w:contextualSpacing/>
        <w:jc w:val="both"/>
        <w:textAlignment w:val="auto"/>
        <w:outlineLvl w:val="9"/>
        <w:rPr>
          <w:rFonts w:hint="eastAsia" w:ascii="宋体" w:hAnsi="宋体" w:eastAsia="宋体" w:cs="宋体"/>
          <w:b w:val="0"/>
          <w:bCs w:val="0"/>
          <w:sz w:val="32"/>
          <w:szCs w:val="32"/>
        </w:rPr>
      </w:pPr>
      <w:r>
        <w:rPr>
          <w:rFonts w:hint="eastAsia" w:ascii="宋体" w:hAnsi="宋体" w:eastAsia="宋体" w:cs="宋体"/>
          <w:b w:val="0"/>
          <w:bCs w:val="0"/>
          <w:sz w:val="32"/>
          <w:szCs w:val="32"/>
        </w:rPr>
        <w:t>《</w:t>
      </w:r>
      <w:r>
        <w:rPr>
          <w:rFonts w:hint="eastAsia" w:ascii="宋体" w:hAnsi="宋体" w:cs="宋体"/>
          <w:b w:val="0"/>
          <w:bCs w:val="0"/>
          <w:sz w:val="32"/>
          <w:szCs w:val="32"/>
          <w:highlight w:val="none"/>
          <w:shd w:val="clear" w:color="auto" w:fill="FFFFFF"/>
          <w:lang w:val="en-US" w:eastAsia="zh-CN"/>
        </w:rPr>
        <w:t>2024年东区财政局</w:t>
      </w:r>
      <w:r>
        <w:rPr>
          <w:rFonts w:hint="eastAsia" w:ascii="宋体" w:hAnsi="宋体" w:eastAsia="宋体" w:cs="宋体"/>
          <w:b w:val="0"/>
          <w:bCs w:val="0"/>
          <w:sz w:val="32"/>
          <w:szCs w:val="32"/>
          <w:highlight w:val="none"/>
          <w:shd w:val="clear" w:color="auto" w:fill="FFFFFF"/>
        </w:rPr>
        <w:t>部门</w:t>
      </w:r>
      <w:r>
        <w:rPr>
          <w:rFonts w:hint="eastAsia" w:ascii="宋体" w:hAnsi="宋体" w:cs="宋体"/>
          <w:b w:val="0"/>
          <w:bCs w:val="0"/>
          <w:sz w:val="32"/>
          <w:szCs w:val="32"/>
          <w:highlight w:val="none"/>
          <w:shd w:val="clear" w:color="auto" w:fill="FFFFFF"/>
          <w:lang w:val="en-US" w:eastAsia="zh-CN"/>
        </w:rPr>
        <w:t>整体</w:t>
      </w:r>
      <w:r>
        <w:rPr>
          <w:rFonts w:hint="eastAsia" w:ascii="宋体" w:hAnsi="宋体" w:eastAsia="宋体" w:cs="宋体"/>
          <w:b w:val="0"/>
          <w:bCs w:val="0"/>
          <w:sz w:val="32"/>
          <w:szCs w:val="32"/>
          <w:highlight w:val="none"/>
          <w:shd w:val="clear" w:color="auto" w:fill="FFFFFF"/>
        </w:rPr>
        <w:t>绩效</w:t>
      </w:r>
      <w:r>
        <w:rPr>
          <w:rFonts w:hint="eastAsia" w:ascii="宋体" w:hAnsi="宋体" w:cs="宋体"/>
          <w:b w:val="0"/>
          <w:bCs w:val="0"/>
          <w:sz w:val="32"/>
          <w:szCs w:val="32"/>
          <w:highlight w:val="none"/>
          <w:shd w:val="clear" w:color="auto" w:fill="FFFFFF"/>
          <w:lang w:val="en-US" w:eastAsia="zh-CN"/>
        </w:rPr>
        <w:t>自</w:t>
      </w:r>
      <w:r>
        <w:rPr>
          <w:rFonts w:hint="eastAsia" w:ascii="宋体" w:hAnsi="宋体" w:eastAsia="宋体" w:cs="宋体"/>
          <w:b w:val="0"/>
          <w:bCs w:val="0"/>
          <w:sz w:val="32"/>
          <w:szCs w:val="32"/>
          <w:highlight w:val="none"/>
          <w:shd w:val="clear" w:color="auto" w:fill="FFFFFF"/>
          <w:lang w:eastAsia="zh-CN"/>
        </w:rPr>
        <w:t>评</w:t>
      </w:r>
      <w:r>
        <w:rPr>
          <w:rFonts w:hint="eastAsia" w:ascii="宋体" w:hAnsi="宋体" w:eastAsia="宋体" w:cs="宋体"/>
          <w:b w:val="0"/>
          <w:bCs w:val="0"/>
          <w:sz w:val="32"/>
          <w:szCs w:val="32"/>
          <w:highlight w:val="none"/>
          <w:shd w:val="clear" w:color="auto" w:fill="FFFFFF"/>
        </w:rPr>
        <w:t>报告</w:t>
      </w:r>
      <w:r>
        <w:rPr>
          <w:rFonts w:hint="eastAsia" w:ascii="宋体" w:hAnsi="宋体" w:eastAsia="宋体" w:cs="宋体"/>
          <w:b w:val="0"/>
          <w:bCs w:val="0"/>
          <w:sz w:val="32"/>
          <w:szCs w:val="32"/>
        </w:rPr>
        <w:t>》详见附件。</w:t>
      </w:r>
    </w:p>
    <w:bookmarkEnd w:id="54"/>
    <w:p>
      <w:pPr>
        <w:pStyle w:val="2"/>
        <w:rPr>
          <w:rFonts w:hint="eastAsia" w:ascii="宋体" w:hAnsi="宋体" w:eastAsia="宋体" w:cs="宋体"/>
          <w:sz w:val="32"/>
          <w:szCs w:val="32"/>
        </w:rPr>
        <w:sectPr>
          <w:footerReference r:id="rId6" w:type="default"/>
          <w:pgSz w:w="11907" w:h="16839"/>
          <w:pgMar w:top="1431" w:right="1700" w:bottom="1374" w:left="1785" w:header="0" w:footer="1212" w:gutter="0"/>
          <w:pgNumType w:fmt="decimal"/>
          <w:cols w:space="720" w:num="1"/>
        </w:sect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numPr>
          <w:ilvl w:val="0"/>
          <w:numId w:val="0"/>
        </w:numPr>
        <w:spacing w:line="600" w:lineRule="exact"/>
        <w:jc w:val="center"/>
        <w:outlineLvl w:val="0"/>
        <w:rPr>
          <w:rFonts w:hint="eastAsia" w:ascii="宋体" w:hAnsi="宋体" w:eastAsia="宋体" w:cs="宋体"/>
          <w:b/>
          <w:bCs/>
          <w:color w:val="auto"/>
          <w:sz w:val="44"/>
          <w:szCs w:val="44"/>
          <w:highlight w:val="none"/>
        </w:rPr>
      </w:pPr>
      <w:bookmarkStart w:id="55" w:name="_Toc15377225"/>
      <w:bookmarkStart w:id="56" w:name="_Toc15396613"/>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eastAsia="zh-CN"/>
        </w:rPr>
        <w:t>三</w:t>
      </w:r>
      <w:r>
        <w:rPr>
          <w:rFonts w:hint="eastAsia" w:ascii="宋体" w:hAnsi="宋体" w:eastAsia="宋体" w:cs="宋体"/>
          <w:b/>
          <w:bCs/>
          <w:color w:val="auto"/>
          <w:sz w:val="44"/>
          <w:szCs w:val="44"/>
          <w:highlight w:val="none"/>
        </w:rPr>
        <w:t>部分</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名词解释</w:t>
      </w:r>
      <w:bookmarkEnd w:id="55"/>
      <w:bookmarkEnd w:id="56"/>
    </w:p>
    <w:p>
      <w:pPr>
        <w:spacing w:line="600" w:lineRule="exact"/>
        <w:jc w:val="left"/>
        <w:rPr>
          <w:rFonts w:hint="eastAsia" w:ascii="宋体" w:hAnsi="宋体" w:eastAsia="宋体" w:cs="宋体"/>
          <w:b/>
          <w:color w:val="auto"/>
          <w:sz w:val="32"/>
          <w:szCs w:val="32"/>
          <w:highlight w:val="none"/>
        </w:rPr>
      </w:pPr>
    </w:p>
    <w:p>
      <w:pPr>
        <w:spacing w:line="336" w:lineRule="auto"/>
        <w:ind w:right="320" w:firstLine="641"/>
        <w:rPr>
          <w:rFonts w:hint="eastAsia" w:ascii="宋体" w:hAnsi="宋体" w:eastAsia="宋体" w:cs="宋体"/>
          <w:color w:val="000000"/>
          <w:sz w:val="32"/>
          <w:szCs w:val="32"/>
        </w:rPr>
      </w:pPr>
      <w:bookmarkStart w:id="57" w:name="_Toc15396614"/>
      <w:bookmarkStart w:id="58" w:name="_Toc15377226"/>
      <w:r>
        <w:rPr>
          <w:rFonts w:hint="eastAsia" w:ascii="宋体" w:hAnsi="宋体" w:eastAsia="宋体" w:cs="宋体"/>
          <w:color w:val="000000"/>
          <w:sz w:val="32"/>
          <w:szCs w:val="32"/>
        </w:rPr>
        <w:t>1.财政拨款收入：指单位从同级财政部门取得的财政预算资金。</w:t>
      </w:r>
    </w:p>
    <w:p>
      <w:pPr>
        <w:spacing w:line="99" w:lineRule="exact"/>
        <w:rPr>
          <w:rFonts w:hint="eastAsia" w:ascii="宋体" w:hAnsi="宋体" w:eastAsia="宋体" w:cs="宋体"/>
          <w:color w:val="000000"/>
          <w:sz w:val="32"/>
          <w:szCs w:val="32"/>
        </w:rPr>
      </w:pPr>
    </w:p>
    <w:p>
      <w:pPr>
        <w:spacing w:line="336" w:lineRule="auto"/>
        <w:ind w:right="320" w:firstLine="641"/>
        <w:rPr>
          <w:rFonts w:hint="eastAsia" w:ascii="宋体" w:hAnsi="宋体" w:eastAsia="宋体" w:cs="宋体"/>
          <w:color w:val="000000"/>
          <w:sz w:val="32"/>
          <w:szCs w:val="32"/>
        </w:rPr>
      </w:pPr>
      <w:r>
        <w:rPr>
          <w:rFonts w:hint="eastAsia" w:ascii="宋体" w:hAnsi="宋体" w:eastAsia="宋体" w:cs="宋体"/>
          <w:color w:val="000000"/>
          <w:sz w:val="32"/>
          <w:szCs w:val="32"/>
        </w:rPr>
        <w:t>2.事业收入：指事业单位开展专业业务活动及辅助活动取得的收入。</w:t>
      </w:r>
    </w:p>
    <w:p>
      <w:pPr>
        <w:spacing w:line="96" w:lineRule="exact"/>
        <w:rPr>
          <w:rFonts w:hint="eastAsia" w:ascii="宋体" w:hAnsi="宋体" w:eastAsia="宋体" w:cs="宋体"/>
          <w:color w:val="000000"/>
          <w:sz w:val="32"/>
          <w:szCs w:val="32"/>
        </w:rPr>
      </w:pPr>
    </w:p>
    <w:p>
      <w:pPr>
        <w:spacing w:line="338" w:lineRule="auto"/>
        <w:ind w:right="320" w:firstLine="641"/>
        <w:rPr>
          <w:rFonts w:hint="eastAsia" w:ascii="宋体" w:hAnsi="宋体" w:eastAsia="宋体" w:cs="宋体"/>
          <w:color w:val="000000"/>
          <w:sz w:val="32"/>
          <w:szCs w:val="32"/>
        </w:rPr>
      </w:pPr>
      <w:r>
        <w:rPr>
          <w:rFonts w:hint="eastAsia" w:ascii="宋体" w:hAnsi="宋体" w:eastAsia="宋体" w:cs="宋体"/>
          <w:color w:val="000000"/>
          <w:sz w:val="32"/>
          <w:szCs w:val="32"/>
        </w:rPr>
        <w:t>3.经营收入：指事业单位在专业业务活动及其辅助活动之外开展非独立核算经营活动取得的收入。</w:t>
      </w:r>
    </w:p>
    <w:p>
      <w:pPr>
        <w:spacing w:line="93" w:lineRule="exact"/>
        <w:rPr>
          <w:rFonts w:hint="eastAsia" w:ascii="宋体" w:hAnsi="宋体" w:eastAsia="宋体" w:cs="宋体"/>
          <w:color w:val="000000"/>
          <w:sz w:val="32"/>
          <w:szCs w:val="32"/>
        </w:rPr>
      </w:pPr>
    </w:p>
    <w:p>
      <w:pPr>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4.其他收入：指单位取得的除上述收入以外的各项收入。</w:t>
      </w:r>
    </w:p>
    <w:p>
      <w:pPr>
        <w:spacing w:line="336" w:lineRule="auto"/>
        <w:ind w:right="300" w:firstLine="641"/>
        <w:rPr>
          <w:rFonts w:hint="eastAsia" w:ascii="宋体" w:hAnsi="宋体" w:eastAsia="宋体" w:cs="宋体"/>
          <w:color w:val="000000"/>
          <w:sz w:val="32"/>
          <w:szCs w:val="32"/>
        </w:rPr>
      </w:pPr>
      <w:r>
        <w:rPr>
          <w:rFonts w:hint="eastAsia" w:ascii="宋体" w:hAnsi="宋体" w:eastAsia="宋体" w:cs="宋体"/>
          <w:color w:val="000000"/>
          <w:sz w:val="32"/>
          <w:szCs w:val="32"/>
        </w:rPr>
        <w:t>5. 使用非财政拨款结余：指事业单位使用以前年度积累的非财政拨款结余弥补当年收支差额的金额。</w:t>
      </w:r>
    </w:p>
    <w:p>
      <w:pPr>
        <w:spacing w:line="96" w:lineRule="exact"/>
        <w:rPr>
          <w:rFonts w:hint="eastAsia" w:ascii="宋体" w:hAnsi="宋体" w:eastAsia="宋体" w:cs="宋体"/>
          <w:color w:val="000000"/>
          <w:sz w:val="32"/>
          <w:szCs w:val="32"/>
        </w:rPr>
      </w:pPr>
    </w:p>
    <w:p>
      <w:pPr>
        <w:spacing w:line="338"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6.年初结转和结余：指以前年度尚未完成、结转到本年按有关规定继续使用的资金。</w:t>
      </w:r>
    </w:p>
    <w:p>
      <w:pPr>
        <w:spacing w:line="93" w:lineRule="exact"/>
        <w:rPr>
          <w:rFonts w:hint="eastAsia" w:ascii="宋体" w:hAnsi="宋体" w:eastAsia="宋体" w:cs="宋体"/>
          <w:color w:val="000000"/>
          <w:sz w:val="32"/>
          <w:szCs w:val="32"/>
        </w:rPr>
      </w:pPr>
    </w:p>
    <w:p>
      <w:pPr>
        <w:spacing w:line="355"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7.结余分配：指事业单位按照会计制度规定缴纳的所得税、提取的专用结余以及转入非财政拨款结余的金额等。</w:t>
      </w:r>
    </w:p>
    <w:p>
      <w:pPr>
        <w:spacing w:line="75" w:lineRule="exact"/>
        <w:rPr>
          <w:rFonts w:hint="eastAsia" w:ascii="宋体" w:hAnsi="宋体" w:eastAsia="宋体" w:cs="宋体"/>
          <w:color w:val="000000"/>
          <w:sz w:val="32"/>
          <w:szCs w:val="32"/>
        </w:rPr>
      </w:pPr>
    </w:p>
    <w:p>
      <w:pPr>
        <w:numPr>
          <w:ilvl w:val="0"/>
          <w:numId w:val="3"/>
        </w:numPr>
        <w:spacing w:line="336"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年末结转和结余：指单位按有关规定结转到下年或以后年度继续使用的资金。</w:t>
      </w:r>
    </w:p>
    <w:p>
      <w:pPr>
        <w:spacing w:line="72" w:lineRule="exact"/>
        <w:rPr>
          <w:rFonts w:hint="eastAsia" w:ascii="宋体" w:hAnsi="宋体" w:eastAsia="宋体" w:cs="宋体"/>
          <w:color w:val="000000"/>
          <w:sz w:val="32"/>
          <w:szCs w:val="32"/>
        </w:rPr>
      </w:pPr>
    </w:p>
    <w:p>
      <w:pPr>
        <w:spacing w:line="420" w:lineRule="auto"/>
        <w:ind w:firstLine="641"/>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.一般公共服务（类）财政事务（款）行政运行（项）:指行政单位（包括实行公务员管理的事业单位）的基本支出。</w:t>
      </w:r>
    </w:p>
    <w:p>
      <w:pPr>
        <w:spacing w:line="50" w:lineRule="exact"/>
        <w:rPr>
          <w:rFonts w:hint="eastAsia" w:ascii="宋体" w:hAnsi="宋体" w:eastAsia="宋体" w:cs="宋体"/>
          <w:color w:val="000000"/>
          <w:sz w:val="32"/>
          <w:szCs w:val="32"/>
        </w:rPr>
      </w:pPr>
    </w:p>
    <w:p>
      <w:pPr>
        <w:spacing w:line="394"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.一般公共服务（类）财政事务（款）一般行政管理事务（项）: 指行政单位（包括实行公务员管理的事业单位）未单独设置项级科目的其他项目支出。</w:t>
      </w:r>
    </w:p>
    <w:p>
      <w:pPr>
        <w:spacing w:line="95" w:lineRule="exact"/>
        <w:rPr>
          <w:rFonts w:hint="eastAsia" w:ascii="宋体" w:hAnsi="宋体" w:eastAsia="宋体" w:cs="宋体"/>
          <w:color w:val="000000"/>
          <w:sz w:val="32"/>
          <w:szCs w:val="32"/>
        </w:rPr>
      </w:pPr>
    </w:p>
    <w:p>
      <w:pPr>
        <w:spacing w:line="394"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、一般公共服务（类）财政事务（款）财政委托业务支出（项）: 指反映财政委托评审机构进行财政投资评审和委托建设银行等机构代理业务发生的支出。</w:t>
      </w:r>
    </w:p>
    <w:p>
      <w:pPr>
        <w:spacing w:line="74" w:lineRule="exact"/>
        <w:rPr>
          <w:rFonts w:hint="eastAsia" w:ascii="宋体" w:hAnsi="宋体" w:eastAsia="宋体" w:cs="宋体"/>
          <w:color w:val="000000"/>
          <w:sz w:val="32"/>
          <w:szCs w:val="32"/>
        </w:rPr>
      </w:pPr>
    </w:p>
    <w:p>
      <w:pPr>
        <w:spacing w:line="400"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rPr>
        <w:t>、一般公共服务（类）财政事务（款）事业运行（项）:指反映事业单位的基本支出，不包括行政单位（包括实行公务员管理的事业单位）后勤服务中心、医务室等附属事业单位。</w:t>
      </w:r>
    </w:p>
    <w:p>
      <w:pPr>
        <w:spacing w:line="16" w:lineRule="exact"/>
        <w:rPr>
          <w:rFonts w:hint="eastAsia" w:ascii="宋体" w:hAnsi="宋体" w:eastAsia="宋体" w:cs="宋体"/>
          <w:color w:val="000000"/>
          <w:sz w:val="32"/>
          <w:szCs w:val="32"/>
        </w:rPr>
      </w:pPr>
    </w:p>
    <w:p>
      <w:pPr>
        <w:spacing w:line="200" w:lineRule="exact"/>
        <w:rPr>
          <w:rFonts w:hint="eastAsia" w:ascii="宋体" w:hAnsi="宋体" w:eastAsia="宋体" w:cs="宋体"/>
          <w:color w:val="000000"/>
          <w:sz w:val="32"/>
          <w:szCs w:val="32"/>
        </w:rPr>
      </w:pPr>
    </w:p>
    <w:p>
      <w:pPr>
        <w:ind w:left="640"/>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3</w:t>
      </w:r>
      <w:r>
        <w:rPr>
          <w:rFonts w:hint="eastAsia" w:ascii="宋体" w:hAnsi="宋体" w:eastAsia="宋体" w:cs="宋体"/>
          <w:color w:val="000000"/>
          <w:sz w:val="32"/>
          <w:szCs w:val="32"/>
        </w:rPr>
        <w:t>、社会保障和就业（类）行政事业单位养老支出（款）</w:t>
      </w:r>
    </w:p>
    <w:p>
      <w:pPr>
        <w:spacing w:line="257" w:lineRule="exact"/>
        <w:rPr>
          <w:rFonts w:hint="eastAsia" w:ascii="宋体" w:hAnsi="宋体" w:eastAsia="宋体" w:cs="宋体"/>
          <w:color w:val="000000"/>
          <w:sz w:val="32"/>
          <w:szCs w:val="32"/>
        </w:rPr>
      </w:pPr>
    </w:p>
    <w:p>
      <w:pPr>
        <w:rPr>
          <w:rFonts w:hint="eastAsia" w:ascii="宋体" w:hAnsi="宋体" w:eastAsia="宋体" w:cs="宋体"/>
          <w:color w:val="000000"/>
          <w:sz w:val="32"/>
          <w:szCs w:val="32"/>
        </w:rPr>
      </w:pPr>
      <w:r>
        <w:rPr>
          <w:rFonts w:hint="eastAsia" w:ascii="宋体" w:hAnsi="宋体" w:eastAsia="宋体" w:cs="宋体"/>
          <w:color w:val="000000"/>
          <w:sz w:val="32"/>
          <w:szCs w:val="32"/>
        </w:rPr>
        <w:t>行政单位离退休（项）:指反映行政单位（包括实行公务员</w:t>
      </w:r>
    </w:p>
    <w:p>
      <w:pPr>
        <w:spacing w:line="259" w:lineRule="exact"/>
        <w:rPr>
          <w:rFonts w:hint="eastAsia" w:ascii="宋体" w:hAnsi="宋体" w:eastAsia="宋体" w:cs="宋体"/>
          <w:color w:val="000000"/>
          <w:sz w:val="32"/>
          <w:szCs w:val="32"/>
        </w:rPr>
      </w:pPr>
    </w:p>
    <w:p>
      <w:pPr>
        <w:rPr>
          <w:rFonts w:hint="eastAsia" w:ascii="宋体" w:hAnsi="宋体" w:eastAsia="宋体" w:cs="宋体"/>
          <w:color w:val="000000"/>
          <w:sz w:val="32"/>
          <w:szCs w:val="32"/>
        </w:rPr>
      </w:pPr>
      <w:r>
        <w:rPr>
          <w:rFonts w:hint="eastAsia" w:ascii="宋体" w:hAnsi="宋体" w:eastAsia="宋体" w:cs="宋体"/>
          <w:color w:val="000000"/>
          <w:sz w:val="32"/>
          <w:szCs w:val="32"/>
        </w:rPr>
        <w:t>管理的事业单位）开支的离退休经费。</w:t>
      </w:r>
    </w:p>
    <w:p>
      <w:pPr>
        <w:spacing w:line="270" w:lineRule="exact"/>
        <w:rPr>
          <w:rFonts w:hint="eastAsia" w:ascii="宋体" w:hAnsi="宋体" w:eastAsia="宋体" w:cs="宋体"/>
          <w:color w:val="000000"/>
          <w:sz w:val="32"/>
          <w:szCs w:val="32"/>
        </w:rPr>
      </w:pPr>
    </w:p>
    <w:p>
      <w:pPr>
        <w:ind w:left="640"/>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、社会保障和就业（类）行政事业单位养老支出（款）</w:t>
      </w:r>
    </w:p>
    <w:p>
      <w:pPr>
        <w:spacing w:line="259" w:lineRule="exact"/>
        <w:rPr>
          <w:rFonts w:hint="eastAsia" w:ascii="宋体" w:hAnsi="宋体" w:eastAsia="宋体" w:cs="宋体"/>
          <w:color w:val="000000"/>
          <w:sz w:val="32"/>
          <w:szCs w:val="32"/>
        </w:rPr>
      </w:pPr>
    </w:p>
    <w:p>
      <w:pPr>
        <w:rPr>
          <w:rFonts w:hint="eastAsia" w:ascii="宋体" w:hAnsi="宋体" w:eastAsia="宋体" w:cs="宋体"/>
          <w:color w:val="000000"/>
          <w:sz w:val="32"/>
          <w:szCs w:val="32"/>
        </w:rPr>
      </w:pPr>
      <w:r>
        <w:rPr>
          <w:rFonts w:hint="eastAsia" w:ascii="宋体" w:hAnsi="宋体" w:eastAsia="宋体" w:cs="宋体"/>
          <w:color w:val="000000"/>
          <w:sz w:val="32"/>
          <w:szCs w:val="32"/>
        </w:rPr>
        <w:t>机关事业单位基本养老保险缴费支出（项）: 指反映机关事</w:t>
      </w:r>
    </w:p>
    <w:p>
      <w:pPr>
        <w:spacing w:line="259" w:lineRule="exact"/>
        <w:rPr>
          <w:rFonts w:hint="eastAsia" w:ascii="宋体" w:hAnsi="宋体" w:eastAsia="宋体" w:cs="宋体"/>
          <w:color w:val="000000"/>
          <w:sz w:val="32"/>
          <w:szCs w:val="32"/>
        </w:rPr>
      </w:pPr>
    </w:p>
    <w:p>
      <w:pPr>
        <w:rPr>
          <w:rFonts w:hint="eastAsia" w:ascii="宋体" w:hAnsi="宋体" w:eastAsia="宋体" w:cs="宋体"/>
          <w:color w:val="000000"/>
          <w:sz w:val="32"/>
          <w:szCs w:val="32"/>
        </w:rPr>
      </w:pPr>
      <w:r>
        <w:rPr>
          <w:rFonts w:hint="eastAsia" w:ascii="宋体" w:hAnsi="宋体" w:eastAsia="宋体" w:cs="宋体"/>
          <w:color w:val="000000"/>
          <w:sz w:val="32"/>
          <w:szCs w:val="32"/>
        </w:rPr>
        <w:t>业单位实施养老保险制度由单位缴纳的基本养老保险费支出。</w:t>
      </w:r>
    </w:p>
    <w:p>
      <w:pPr>
        <w:numPr>
          <w:ilvl w:val="0"/>
          <w:numId w:val="0"/>
        </w:numPr>
        <w:spacing w:line="411" w:lineRule="auto"/>
        <w:ind w:right="320" w:rightChars="0"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 xml:space="preserve"> 15、 </w:t>
      </w:r>
      <w:r>
        <w:rPr>
          <w:rFonts w:hint="eastAsia" w:ascii="宋体" w:hAnsi="宋体" w:eastAsia="宋体" w:cs="宋体"/>
          <w:color w:val="000000"/>
          <w:sz w:val="32"/>
          <w:szCs w:val="32"/>
        </w:rPr>
        <w:t>社会保障和就业（类）行政事业单位养老支出（款）机关事业单位职业年金缴费支出（项）: 指反映机关事业单位实施养老保险制度由单位实际缴纳的职业年金支出。</w:t>
      </w:r>
    </w:p>
    <w:p>
      <w:pPr>
        <w:spacing w:line="402" w:lineRule="auto"/>
        <w:ind w:right="160" w:firstLine="641"/>
        <w:rPr>
          <w:rFonts w:hint="eastAsia" w:ascii="宋体" w:hAnsi="宋体" w:eastAsia="宋体" w:cs="宋体"/>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6</w:t>
      </w:r>
      <w:r>
        <w:rPr>
          <w:rFonts w:hint="eastAsia" w:ascii="宋体" w:hAnsi="宋体" w:eastAsia="宋体" w:cs="宋体"/>
          <w:color w:val="000000"/>
          <w:sz w:val="32"/>
          <w:szCs w:val="32"/>
        </w:rPr>
        <w:t>、社会保障和就业（类）抚恤（款）死亡抚恤（项）:指反映按规定用于烈士和牺牲、病故人员家属的一次性和定期抚恤金、丧葬补助费以及烈士褒扬金。</w:t>
      </w:r>
    </w:p>
    <w:p>
      <w:pPr>
        <w:spacing w:line="56" w:lineRule="exact"/>
        <w:rPr>
          <w:rFonts w:hint="eastAsia" w:ascii="宋体" w:hAnsi="宋体" w:eastAsia="宋体" w:cs="宋体"/>
          <w:color w:val="000000"/>
          <w:sz w:val="32"/>
          <w:szCs w:val="32"/>
        </w:rPr>
      </w:pPr>
    </w:p>
    <w:p>
      <w:pPr>
        <w:spacing w:line="402"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7</w:t>
      </w:r>
      <w:r>
        <w:rPr>
          <w:rFonts w:hint="eastAsia" w:ascii="宋体" w:hAnsi="宋体" w:eastAsia="宋体" w:cs="宋体"/>
          <w:color w:val="000000"/>
          <w:sz w:val="32"/>
          <w:szCs w:val="32"/>
        </w:rPr>
        <w:t>、卫生健康支出（类）行政事业单位医疗（款）行政单位医疗（项）:指反映财政部门安排的行政单位（包括实行公务员管理的事业单位，下同）基本医疗保险缴费经费，未参加养老保险的行政单位的公费医疗经费，按国家规定享受离休人员、红军老战士待遇人员的医疗经费。</w:t>
      </w:r>
    </w:p>
    <w:p>
      <w:pPr>
        <w:spacing w:line="63" w:lineRule="exact"/>
        <w:rPr>
          <w:rFonts w:hint="eastAsia" w:ascii="宋体" w:hAnsi="宋体" w:eastAsia="宋体" w:cs="宋体"/>
          <w:color w:val="000000"/>
          <w:sz w:val="32"/>
          <w:szCs w:val="32"/>
        </w:rPr>
      </w:pPr>
    </w:p>
    <w:p>
      <w:pPr>
        <w:spacing w:line="400" w:lineRule="auto"/>
        <w:ind w:firstLine="641"/>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、卫生健康支出（类）行政事业单位医疗（款）事业单位医疗（项）: 指反映财政部门安排的事业单位基本医疗保险缴费经费，未参加医疗保险的事业单位的公费医疗经费，按国家规定享受离休人员待遇的医疗经费。</w:t>
      </w:r>
    </w:p>
    <w:p>
      <w:pPr>
        <w:spacing w:line="63" w:lineRule="exact"/>
        <w:rPr>
          <w:rFonts w:hint="eastAsia" w:ascii="宋体" w:hAnsi="宋体" w:eastAsia="宋体" w:cs="宋体"/>
          <w:sz w:val="32"/>
          <w:szCs w:val="32"/>
        </w:rPr>
      </w:pPr>
    </w:p>
    <w:p>
      <w:pPr>
        <w:spacing w:line="394" w:lineRule="auto"/>
        <w:ind w:right="320" w:firstLine="641"/>
        <w:rPr>
          <w:rFonts w:hint="eastAsia" w:ascii="宋体" w:hAnsi="宋体" w:eastAsia="宋体" w:cs="宋体"/>
          <w:sz w:val="32"/>
          <w:szCs w:val="32"/>
        </w:rPr>
      </w:pPr>
      <w:r>
        <w:rPr>
          <w:rFonts w:hint="eastAsia" w:ascii="宋体" w:hAnsi="宋体" w:eastAsia="宋体" w:cs="宋体"/>
          <w:sz w:val="32"/>
          <w:szCs w:val="32"/>
          <w:lang w:val="en-US" w:eastAsia="zh-CN"/>
        </w:rPr>
        <w:t>19</w:t>
      </w:r>
      <w:r>
        <w:rPr>
          <w:rFonts w:hint="eastAsia" w:ascii="宋体" w:hAnsi="宋体" w:eastAsia="宋体" w:cs="宋体"/>
          <w:sz w:val="32"/>
          <w:szCs w:val="32"/>
        </w:rPr>
        <w:t>、卫生健康支出（类）行政事业单位医疗（款）公务员医疗补助（项）:指反映财政部门安排的公务员医疗补助经费。</w:t>
      </w:r>
    </w:p>
    <w:p>
      <w:pPr>
        <w:spacing w:line="208" w:lineRule="exact"/>
        <w:rPr>
          <w:rFonts w:hint="eastAsia" w:ascii="宋体" w:hAnsi="宋体" w:eastAsia="宋体" w:cs="宋体"/>
          <w:sz w:val="32"/>
          <w:szCs w:val="32"/>
        </w:rPr>
      </w:pPr>
    </w:p>
    <w:p>
      <w:pPr>
        <w:spacing w:line="360" w:lineRule="auto"/>
        <w:ind w:left="10" w:leftChars="5" w:firstLine="640" w:firstLineChars="20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0</w:t>
      </w:r>
      <w:r>
        <w:rPr>
          <w:rFonts w:hint="eastAsia" w:ascii="宋体" w:hAnsi="宋体" w:eastAsia="宋体" w:cs="宋体"/>
          <w:sz w:val="32"/>
          <w:szCs w:val="32"/>
        </w:rPr>
        <w:t>、住房保障支出（类）住房改革支出（款）住房公积金（项）:指反映行政事业单位按人力资源和社会保障部、财政部规定的基本工资和津贴补贴以及规定比例为职工缴纳的住房公积金。</w:t>
      </w:r>
    </w:p>
    <w:p>
      <w:pPr>
        <w:spacing w:line="360" w:lineRule="auto"/>
        <w:ind w:left="64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1</w:t>
      </w:r>
      <w:r>
        <w:rPr>
          <w:rFonts w:hint="eastAsia" w:ascii="宋体" w:hAnsi="宋体" w:eastAsia="宋体" w:cs="宋体"/>
          <w:sz w:val="32"/>
          <w:szCs w:val="32"/>
        </w:rPr>
        <w:t>.基本支出：指为保障机构正常运转、完成日常工作</w:t>
      </w:r>
    </w:p>
    <w:p>
      <w:pPr>
        <w:spacing w:line="360" w:lineRule="auto"/>
        <w:rPr>
          <w:rFonts w:hint="eastAsia" w:ascii="宋体" w:hAnsi="宋体" w:eastAsia="宋体" w:cs="宋体"/>
          <w:sz w:val="32"/>
          <w:szCs w:val="32"/>
        </w:rPr>
      </w:pPr>
      <w:r>
        <w:rPr>
          <w:rFonts w:hint="eastAsia" w:ascii="宋体" w:hAnsi="宋体" w:eastAsia="宋体" w:cs="宋体"/>
          <w:sz w:val="32"/>
          <w:szCs w:val="32"/>
        </w:rPr>
        <w:t>任务而发生的人员支出和公用支出。</w:t>
      </w:r>
    </w:p>
    <w:p>
      <w:pPr>
        <w:spacing w:line="360" w:lineRule="auto"/>
        <w:ind w:left="64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2</w:t>
      </w:r>
      <w:r>
        <w:rPr>
          <w:rFonts w:hint="eastAsia" w:ascii="宋体" w:hAnsi="宋体" w:eastAsia="宋体" w:cs="宋体"/>
          <w:sz w:val="32"/>
          <w:szCs w:val="32"/>
        </w:rPr>
        <w:t>.项目支出：指在基本支出之外为完成特定行政任务</w:t>
      </w:r>
    </w:p>
    <w:p>
      <w:pPr>
        <w:spacing w:line="360" w:lineRule="auto"/>
        <w:rPr>
          <w:rFonts w:hint="eastAsia" w:ascii="宋体" w:hAnsi="宋体" w:eastAsia="宋体" w:cs="宋体"/>
          <w:sz w:val="32"/>
          <w:szCs w:val="32"/>
        </w:rPr>
      </w:pPr>
      <w:r>
        <w:rPr>
          <w:rFonts w:hint="eastAsia" w:ascii="宋体" w:hAnsi="宋体" w:eastAsia="宋体" w:cs="宋体"/>
          <w:sz w:val="32"/>
          <w:szCs w:val="32"/>
        </w:rPr>
        <w:t>和事业发展目标所发生的支出。</w:t>
      </w:r>
    </w:p>
    <w:p>
      <w:pPr>
        <w:spacing w:line="360" w:lineRule="auto"/>
        <w:ind w:firstLine="707" w:firstLineChars="221"/>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3</w:t>
      </w:r>
      <w:r>
        <w:rPr>
          <w:rFonts w:hint="eastAsia" w:ascii="宋体" w:hAnsi="宋体" w:eastAsia="宋体" w:cs="宋体"/>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360" w:lineRule="auto"/>
        <w:ind w:firstLine="707" w:firstLineChars="221"/>
        <w:rPr>
          <w:rFonts w:hint="eastAsia" w:ascii="宋体" w:hAnsi="宋体" w:eastAsia="宋体" w:cs="宋体"/>
          <w:i/>
          <w:color w:val="000000"/>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4</w:t>
      </w:r>
      <w:r>
        <w:rPr>
          <w:rFonts w:hint="eastAsia" w:ascii="宋体" w:hAnsi="宋体" w:eastAsia="宋体" w:cs="宋体"/>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宋体" w:hAnsi="宋体" w:eastAsia="宋体" w:cs="宋体"/>
          <w:color w:val="auto"/>
          <w:sz w:val="32"/>
          <w:szCs w:val="32"/>
          <w:highlight w:val="none"/>
        </w:rPr>
      </w:pPr>
    </w:p>
    <w:p>
      <w:pPr>
        <w:spacing w:line="600" w:lineRule="exact"/>
        <w:jc w:val="center"/>
        <w:rPr>
          <w:rFonts w:hint="eastAsia" w:ascii="宋体" w:hAnsi="宋体" w:eastAsia="宋体" w:cs="宋体"/>
          <w:color w:val="auto"/>
          <w:sz w:val="32"/>
          <w:szCs w:val="32"/>
          <w:highlight w:val="none"/>
        </w:rPr>
      </w:pPr>
    </w:p>
    <w:p>
      <w:pPr>
        <w:spacing w:line="600" w:lineRule="exact"/>
        <w:jc w:val="cente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spacing w:line="600" w:lineRule="exact"/>
        <w:jc w:val="center"/>
        <w:rPr>
          <w:rFonts w:hint="eastAsia" w:ascii="宋体" w:hAnsi="宋体" w:eastAsia="宋体" w:cs="宋体"/>
          <w:color w:val="auto"/>
          <w:sz w:val="32"/>
          <w:szCs w:val="32"/>
          <w:highlight w:val="none"/>
        </w:rPr>
      </w:pPr>
    </w:p>
    <w:p>
      <w:pPr>
        <w:spacing w:line="600" w:lineRule="exact"/>
        <w:jc w:val="center"/>
        <w:rPr>
          <w:rFonts w:hint="eastAsia" w:ascii="宋体" w:hAnsi="宋体" w:eastAsia="宋体" w:cs="宋体"/>
          <w:b/>
          <w:bCs/>
          <w:color w:val="auto"/>
          <w:sz w:val="52"/>
          <w:szCs w:val="52"/>
          <w:highlight w:val="none"/>
        </w:rPr>
      </w:pPr>
    </w:p>
    <w:p>
      <w:pPr>
        <w:spacing w:line="600" w:lineRule="exact"/>
        <w:jc w:val="center"/>
        <w:rPr>
          <w:rFonts w:hint="eastAsia" w:ascii="宋体" w:hAnsi="宋体" w:eastAsia="宋体" w:cs="宋体"/>
          <w:b/>
          <w:bCs/>
          <w:color w:val="auto"/>
          <w:sz w:val="52"/>
          <w:szCs w:val="52"/>
          <w:highlight w:val="none"/>
        </w:rPr>
      </w:pPr>
    </w:p>
    <w:p>
      <w:pPr>
        <w:spacing w:line="600" w:lineRule="exact"/>
        <w:jc w:val="center"/>
        <w:rPr>
          <w:rStyle w:val="29"/>
          <w:rFonts w:hint="eastAsia" w:ascii="宋体" w:hAnsi="宋体" w:eastAsia="宋体" w:cs="宋体"/>
          <w:b/>
          <w:bCs/>
          <w:color w:val="auto"/>
          <w:sz w:val="52"/>
          <w:szCs w:val="52"/>
          <w:highlight w:val="none"/>
          <w:lang w:eastAsia="zh-CN"/>
        </w:rPr>
      </w:pPr>
      <w:bookmarkStart w:id="59" w:name="OLE_LINK14"/>
      <w:r>
        <w:rPr>
          <w:rFonts w:hint="eastAsia" w:ascii="宋体" w:hAnsi="宋体" w:eastAsia="宋体" w:cs="宋体"/>
          <w:b/>
          <w:bCs/>
          <w:color w:val="auto"/>
          <w:sz w:val="52"/>
          <w:szCs w:val="52"/>
          <w:highlight w:val="none"/>
        </w:rPr>
        <w:t>第四部分</w:t>
      </w:r>
      <w:r>
        <w:rPr>
          <w:rFonts w:hint="eastAsia" w:ascii="宋体" w:hAnsi="宋体" w:eastAsia="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rPr>
        <w:t xml:space="preserve"> 附件</w:t>
      </w:r>
      <w:bookmarkEnd w:id="57"/>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宋体" w:hAnsi="宋体" w:eastAsia="宋体" w:cs="宋体"/>
          <w:b/>
          <w:bCs/>
          <w:color w:val="FF0000"/>
          <w:sz w:val="44"/>
          <w:szCs w:val="44"/>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附件</w:t>
      </w:r>
      <w:r>
        <w:rPr>
          <w:rFonts w:hint="eastAsia" w:ascii="宋体" w:hAnsi="宋体" w:eastAsia="宋体" w:cs="宋体"/>
          <w:b/>
          <w:bCs/>
          <w:color w:val="auto"/>
          <w:sz w:val="44"/>
          <w:szCs w:val="44"/>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宋体" w:hAnsi="宋体" w:eastAsia="宋体" w:cs="宋体"/>
          <w:b/>
          <w:bCs w:val="0"/>
          <w:sz w:val="36"/>
          <w:szCs w:val="36"/>
          <w:highlight w:val="none"/>
          <w:shd w:val="clear" w:color="auto" w:fill="FFFFFF"/>
        </w:rPr>
      </w:pPr>
      <w:bookmarkStart w:id="60" w:name="OLE_LINK12"/>
      <w:r>
        <w:rPr>
          <w:rFonts w:hint="eastAsia" w:ascii="宋体" w:hAnsi="宋体" w:cs="宋体"/>
          <w:b/>
          <w:bCs w:val="0"/>
          <w:sz w:val="36"/>
          <w:szCs w:val="36"/>
          <w:highlight w:val="none"/>
          <w:shd w:val="clear" w:color="auto" w:fill="FFFFFF"/>
          <w:lang w:val="en-US" w:eastAsia="zh-CN"/>
        </w:rPr>
        <w:t>2024年东区财政局</w:t>
      </w:r>
      <w:r>
        <w:rPr>
          <w:rFonts w:hint="eastAsia" w:ascii="宋体" w:hAnsi="宋体" w:eastAsia="宋体" w:cs="宋体"/>
          <w:b/>
          <w:bCs w:val="0"/>
          <w:sz w:val="36"/>
          <w:szCs w:val="36"/>
          <w:highlight w:val="none"/>
          <w:shd w:val="clear" w:color="auto" w:fill="FFFFFF"/>
        </w:rPr>
        <w:t>部门</w:t>
      </w:r>
      <w:r>
        <w:rPr>
          <w:rFonts w:hint="eastAsia" w:ascii="宋体" w:hAnsi="宋体" w:cs="宋体"/>
          <w:b/>
          <w:bCs w:val="0"/>
          <w:sz w:val="36"/>
          <w:szCs w:val="36"/>
          <w:highlight w:val="none"/>
          <w:shd w:val="clear" w:color="auto" w:fill="FFFFFF"/>
          <w:lang w:val="en-US" w:eastAsia="zh-CN"/>
        </w:rPr>
        <w:t>整体</w:t>
      </w:r>
      <w:r>
        <w:rPr>
          <w:rFonts w:hint="eastAsia" w:ascii="宋体" w:hAnsi="宋体" w:eastAsia="宋体" w:cs="宋体"/>
          <w:b/>
          <w:bCs w:val="0"/>
          <w:sz w:val="36"/>
          <w:szCs w:val="36"/>
          <w:highlight w:val="none"/>
          <w:shd w:val="clear" w:color="auto" w:fill="FFFFFF"/>
        </w:rPr>
        <w:t>绩效</w:t>
      </w:r>
      <w:r>
        <w:rPr>
          <w:rFonts w:hint="eastAsia" w:ascii="宋体" w:hAnsi="宋体" w:cs="宋体"/>
          <w:b/>
          <w:bCs w:val="0"/>
          <w:sz w:val="36"/>
          <w:szCs w:val="36"/>
          <w:highlight w:val="none"/>
          <w:shd w:val="clear" w:color="auto" w:fill="FFFFFF"/>
          <w:lang w:val="en-US" w:eastAsia="zh-CN"/>
        </w:rPr>
        <w:t>自</w:t>
      </w:r>
      <w:r>
        <w:rPr>
          <w:rFonts w:hint="eastAsia" w:ascii="宋体" w:hAnsi="宋体" w:eastAsia="宋体" w:cs="宋体"/>
          <w:b/>
          <w:bCs w:val="0"/>
          <w:sz w:val="36"/>
          <w:szCs w:val="36"/>
          <w:highlight w:val="none"/>
          <w:shd w:val="clear" w:color="auto" w:fill="FFFFFF"/>
          <w:lang w:eastAsia="zh-CN"/>
        </w:rPr>
        <w:t>评</w:t>
      </w:r>
      <w:r>
        <w:rPr>
          <w:rFonts w:hint="eastAsia" w:ascii="宋体" w:hAnsi="宋体" w:eastAsia="宋体" w:cs="宋体"/>
          <w:b/>
          <w:bCs w:val="0"/>
          <w:sz w:val="36"/>
          <w:szCs w:val="36"/>
          <w:highlight w:val="none"/>
          <w:shd w:val="clear" w:color="auto" w:fill="FFFFFF"/>
        </w:rPr>
        <w:t>报告</w:t>
      </w:r>
    </w:p>
    <w:bookmarkEnd w:id="60"/>
    <w:p>
      <w:pPr>
        <w:pStyle w:val="2"/>
        <w:rPr>
          <w:rFonts w:hint="eastAsia"/>
          <w:b/>
          <w:bCs/>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宋体" w:hAnsi="宋体" w:eastAsia="宋体" w:cs="宋体"/>
          <w:b/>
          <w:bCs/>
          <w:color w:val="000000"/>
          <w:kern w:val="0"/>
          <w:sz w:val="32"/>
          <w:szCs w:val="32"/>
          <w:highlight w:val="none"/>
          <w:shd w:val="clear" w:color="auto" w:fill="FFFFFF"/>
          <w:lang w:val="zh-CN"/>
        </w:rPr>
      </w:pPr>
      <w:r>
        <w:rPr>
          <w:rFonts w:hint="eastAsia" w:ascii="宋体" w:hAnsi="宋体" w:eastAsia="宋体" w:cs="宋体"/>
          <w:b/>
          <w:bCs/>
          <w:color w:val="000000"/>
          <w:kern w:val="0"/>
          <w:sz w:val="32"/>
          <w:szCs w:val="32"/>
          <w:highlight w:val="none"/>
          <w:shd w:val="clear" w:color="auto" w:fill="FFFFFF"/>
          <w:lang w:val="zh-CN"/>
        </w:rPr>
        <w:t>一、部门（单位）基本情况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（一）机构组成。</w:t>
      </w:r>
    </w:p>
    <w:p>
      <w:pPr>
        <w:pStyle w:val="15"/>
        <w:shd w:val="clear" w:color="auto" w:fill="FFFFFF"/>
        <w:adjustRightInd w:val="0"/>
        <w:snapToGrid w:val="0"/>
        <w:spacing w:before="0" w:beforeAutospacing="0" w:after="0" w:afterAutospacing="0" w:line="353" w:lineRule="auto"/>
        <w:ind w:firstLine="630"/>
        <w:jc w:val="both"/>
        <w:rPr>
          <w:rFonts w:hint="eastAsia"/>
        </w:rPr>
      </w:pPr>
      <w:r>
        <w:rPr>
          <w:rFonts w:hint="eastAsia" w:ascii="宋体" w:hAnsi="宋体" w:eastAsia="宋体" w:cs="宋体"/>
          <w:b w:val="0"/>
          <w:bCs w:val="0"/>
          <w:color w:val="000000"/>
          <w:sz w:val="32"/>
          <w:szCs w:val="32"/>
          <w:lang w:val="en-US" w:eastAsia="zh-CN"/>
        </w:rPr>
        <w:t>东区财政局</w:t>
      </w:r>
      <w:r>
        <w:rPr>
          <w:rFonts w:hint="eastAsia" w:ascii="宋体" w:hAnsi="宋体" w:eastAsia="宋体" w:cs="宋体"/>
          <w:b w:val="0"/>
          <w:bCs w:val="0"/>
          <w:color w:val="000000"/>
          <w:sz w:val="32"/>
          <w:szCs w:val="32"/>
        </w:rPr>
        <w:t>编制人数24人，实有职工</w:t>
      </w:r>
      <w:r>
        <w:rPr>
          <w:rFonts w:hint="eastAsia" w:ascii="宋体" w:hAnsi="宋体" w:eastAsia="宋体" w:cs="宋体"/>
          <w:b w:val="0"/>
          <w:bCs w:val="0"/>
          <w:color w:val="000000"/>
          <w:sz w:val="32"/>
          <w:szCs w:val="32"/>
          <w:lang w:val="en-US" w:eastAsia="zh-CN"/>
        </w:rPr>
        <w:t>22</w:t>
      </w:r>
      <w:r>
        <w:rPr>
          <w:rFonts w:hint="eastAsia" w:ascii="宋体" w:hAnsi="宋体" w:eastAsia="宋体" w:cs="宋体"/>
          <w:b w:val="0"/>
          <w:bCs w:val="0"/>
          <w:color w:val="000000"/>
          <w:sz w:val="32"/>
          <w:szCs w:val="32"/>
        </w:rPr>
        <w:t>人，退休职工</w:t>
      </w:r>
      <w:r>
        <w:rPr>
          <w:rFonts w:hint="eastAsia" w:ascii="宋体" w:hAnsi="宋体" w:eastAsia="宋体" w:cs="宋体"/>
          <w:b w:val="0"/>
          <w:bCs w:val="0"/>
          <w:color w:val="000000"/>
          <w:sz w:val="32"/>
          <w:szCs w:val="32"/>
          <w:lang w:val="en-US" w:eastAsia="zh-CN"/>
        </w:rPr>
        <w:t>17</w:t>
      </w:r>
      <w:r>
        <w:rPr>
          <w:rFonts w:hint="eastAsia" w:ascii="宋体" w:hAnsi="宋体" w:eastAsia="宋体" w:cs="宋体"/>
          <w:b w:val="0"/>
          <w:bCs w:val="0"/>
          <w:color w:val="000000"/>
          <w:sz w:val="32"/>
          <w:szCs w:val="32"/>
        </w:rPr>
        <w:t>人，临聘人员3人，车辆编制0辆，实有车辆0辆</w:t>
      </w:r>
      <w:r>
        <w:rPr>
          <w:rFonts w:hint="eastAsia" w:ascii="宋体" w:hAnsi="宋体" w:eastAsia="宋体" w:cs="宋体"/>
          <w:b w:val="0"/>
          <w:bCs w:val="0"/>
          <w:color w:val="000000"/>
          <w:sz w:val="32"/>
          <w:szCs w:val="32"/>
          <w:lang w:val="en-US" w:eastAsia="zh-CN"/>
        </w:rPr>
        <w:t>,东区财政局下属国资国企服务中心、东区政府投资评审中心二个事业单位，内设办公室、预算国库股、国库金融债务股、财政监督与政采法规股、经济建设与投资管理股、社会事务保障股六个股室</w:t>
      </w:r>
      <w:r>
        <w:rPr>
          <w:rFonts w:hint="eastAsia" w:ascii="宋体" w:hAnsi="宋体" w:eastAsia="宋体" w:cs="宋体"/>
          <w:b w:val="0"/>
          <w:bCs w:val="0"/>
          <w:color w:val="000000"/>
          <w:sz w:val="32"/>
          <w:szCs w:val="32"/>
        </w:rPr>
        <w:t>。</w:t>
      </w:r>
    </w:p>
    <w:p>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left="-13" w:leftChars="0" w:firstLine="643" w:firstLineChars="0"/>
        <w:contextualSpacing/>
        <w:jc w:val="left"/>
        <w:textAlignment w:val="auto"/>
        <w:outlineLvl w:val="9"/>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机构职能。</w:t>
      </w:r>
    </w:p>
    <w:p>
      <w:pPr>
        <w:widowControl/>
        <w:adjustRightInd w:val="0"/>
        <w:snapToGrid w:val="0"/>
        <w:spacing w:line="353" w:lineRule="auto"/>
        <w:ind w:firstLine="640" w:firstLineChars="20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000000"/>
          <w:kern w:val="0"/>
          <w:sz w:val="32"/>
          <w:szCs w:val="32"/>
          <w:lang w:val="en-US" w:eastAsia="zh-CN"/>
        </w:rPr>
        <w:t>1</w:t>
      </w:r>
      <w:r>
        <w:rPr>
          <w:rFonts w:hint="eastAsia" w:asciiTheme="majorEastAsia" w:hAnsiTheme="majorEastAsia" w:eastAsiaTheme="majorEastAsia" w:cstheme="majorEastAsia"/>
          <w:color w:val="000000"/>
          <w:kern w:val="0"/>
          <w:sz w:val="32"/>
          <w:szCs w:val="32"/>
        </w:rPr>
        <w:t>）拟订全区财政发展战略、规划、政策和改革方案并组织实施，分析预测宏观经济形势，参与制定各项宏观经济政策，提出运用财税政策实施宏观调控和综合平衡社会财力的建议，拟订和执行财政分配政策；制定构建地方公共财政体系的政策、制度；指导镇财政工作。</w:t>
      </w:r>
    </w:p>
    <w:p>
      <w:pPr>
        <w:widowControl/>
        <w:adjustRightInd w:val="0"/>
        <w:snapToGrid w:val="0"/>
        <w:spacing w:line="353" w:lineRule="auto"/>
        <w:ind w:firstLine="480" w:firstLineChars="15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000000"/>
          <w:kern w:val="0"/>
          <w:sz w:val="32"/>
          <w:szCs w:val="32"/>
          <w:lang w:val="en-US" w:eastAsia="zh-CN"/>
        </w:rPr>
        <w:t>2</w:t>
      </w:r>
      <w:r>
        <w:rPr>
          <w:rFonts w:hint="eastAsia" w:asciiTheme="majorEastAsia" w:hAnsiTheme="majorEastAsia" w:eastAsiaTheme="majorEastAsia" w:cstheme="majorEastAsia"/>
          <w:color w:val="000000"/>
          <w:kern w:val="0"/>
          <w:sz w:val="32"/>
          <w:szCs w:val="32"/>
        </w:rPr>
        <w:t>）贯彻执行国家、省、市财税方面的法律、法规和方针、政策；按照管理权限管理全区税政事项。</w:t>
      </w:r>
    </w:p>
    <w:p>
      <w:pPr>
        <w:widowControl/>
        <w:adjustRightInd w:val="0"/>
        <w:snapToGrid w:val="0"/>
        <w:spacing w:line="353" w:lineRule="auto"/>
        <w:ind w:firstLine="480" w:firstLineChars="150"/>
        <w:jc w:val="left"/>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000000"/>
          <w:kern w:val="0"/>
          <w:sz w:val="32"/>
          <w:szCs w:val="32"/>
          <w:lang w:val="en-US" w:eastAsia="zh-CN"/>
        </w:rPr>
        <w:t>3</w:t>
      </w:r>
      <w:r>
        <w:rPr>
          <w:rFonts w:hint="eastAsia" w:asciiTheme="majorEastAsia" w:hAnsiTheme="majorEastAsia" w:eastAsiaTheme="majorEastAsia" w:cstheme="majorEastAsia"/>
          <w:color w:val="000000"/>
          <w:kern w:val="0"/>
          <w:sz w:val="32"/>
          <w:szCs w:val="32"/>
        </w:rPr>
        <w:t>）承担各项财政收支管理的责任。负责编制年度区级预决算草案并组织执行；受区政府委托，向区人民代表大会报告全区和区级预算及其执行情况，向区人大常委会报告决算；组织制定经费开支标准、定额，负责审核批复部门（单位）的年度预决算。</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4</w:t>
      </w:r>
      <w:r>
        <w:rPr>
          <w:rFonts w:hint="eastAsia" w:ascii="宋体" w:hAnsi="宋体" w:eastAsia="宋体" w:cs="宋体"/>
          <w:color w:val="000000"/>
          <w:kern w:val="0"/>
          <w:sz w:val="32"/>
          <w:szCs w:val="32"/>
        </w:rPr>
        <w:t>）负责联系、协调区财政与税务部门有关的业务工作；拟订和审议国家授权的地方税减免规定和各项税收优惠政策，监督、审核各类税收减免规定和有关税款退库及提退事项。负责联系、协调上级财政部门，争取政策、资金支持。</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5</w:t>
      </w:r>
      <w:r>
        <w:rPr>
          <w:rFonts w:hint="eastAsia" w:ascii="宋体" w:hAnsi="宋体" w:eastAsia="宋体" w:cs="宋体"/>
          <w:color w:val="000000"/>
          <w:kern w:val="0"/>
          <w:sz w:val="32"/>
          <w:szCs w:val="32"/>
        </w:rPr>
        <w:t>）负责联系、协调金融机构，参与研究地方金融管理政策，按照管理权限执行金融机构管理政策制度，推进金融生态区建设。</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6</w:t>
      </w:r>
      <w:r>
        <w:rPr>
          <w:rFonts w:hint="eastAsia" w:ascii="宋体" w:hAnsi="宋体" w:eastAsia="宋体" w:cs="宋体"/>
          <w:color w:val="000000"/>
          <w:kern w:val="0"/>
          <w:sz w:val="32"/>
          <w:szCs w:val="32"/>
        </w:rPr>
        <w:t xml:space="preserve">）负责政府非税收入管理；负责政府性基金管理，按规定管理行政事业性收费；管理财政票据；按规定管理彩票资金。  </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7</w:t>
      </w:r>
      <w:r>
        <w:rPr>
          <w:rFonts w:hint="eastAsia" w:ascii="宋体" w:hAnsi="宋体" w:eastAsia="宋体" w:cs="宋体"/>
          <w:color w:val="000000"/>
          <w:kern w:val="0"/>
          <w:sz w:val="32"/>
          <w:szCs w:val="32"/>
        </w:rPr>
        <w:t>）组织制定全区国库管理制度、国库集中收付制度，指导和监督国库业务，按规定开展国库资金管理工作。负责拟订政府采购制度，监督管理全区政府采购工作。</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8</w:t>
      </w:r>
      <w:r>
        <w:rPr>
          <w:rFonts w:hint="eastAsia" w:ascii="宋体" w:hAnsi="宋体" w:eastAsia="宋体" w:cs="宋体"/>
          <w:color w:val="000000"/>
          <w:kern w:val="0"/>
          <w:sz w:val="32"/>
          <w:szCs w:val="32"/>
        </w:rPr>
        <w:t xml:space="preserve">）负责制定全区行政事业单位国有资产管理规章制度及区级行政事业单位国有资产收益管理办法并组织实施及监督检查，负责全区国有资产经营收益财政专户管理工作。                </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9</w:t>
      </w:r>
      <w:r>
        <w:rPr>
          <w:rFonts w:hint="eastAsia" w:ascii="宋体" w:hAnsi="宋体" w:eastAsia="宋体" w:cs="宋体"/>
          <w:color w:val="000000"/>
          <w:kern w:val="0"/>
          <w:sz w:val="32"/>
          <w:szCs w:val="32"/>
        </w:rPr>
        <w:t>）负责审核和汇总编制全区国有资本经营预决算草案，制定国有资本经营预算的制度和办法。组织实施企业财务制度，拟订企业国有资产管理相关制度，管理区属企业国有资产，按规定管理资产评估工作。</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10</w:t>
      </w:r>
      <w:r>
        <w:rPr>
          <w:rFonts w:hint="eastAsia" w:ascii="宋体" w:hAnsi="宋体" w:eastAsia="宋体" w:cs="宋体"/>
          <w:color w:val="000000"/>
          <w:kern w:val="0"/>
          <w:sz w:val="32"/>
          <w:szCs w:val="32"/>
        </w:rPr>
        <w:t>）负责办理和监督财政性经济发展支出、政府性投资项目的财政拨款，负责财政投资评审管理工作，参与拟订政府性建设投资的有关政策，制定基本建设财务制度，负责有关政策性补贴和专项储备资金财政管理工作。负责全区农业综合开发管理工作。</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11</w:t>
      </w:r>
      <w:r>
        <w:rPr>
          <w:rFonts w:hint="eastAsia" w:ascii="宋体" w:hAnsi="宋体" w:eastAsia="宋体" w:cs="宋体"/>
          <w:color w:val="000000"/>
          <w:kern w:val="0"/>
          <w:sz w:val="32"/>
          <w:szCs w:val="32"/>
        </w:rPr>
        <w:t>）会同有关部门管理全区社会保障和就业及医疗卫生支出，会同有关部门拟订社会保障资金（基金）的财务管理制度，编制区级社会保障预决算草案。</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12</w:t>
      </w:r>
      <w:r>
        <w:rPr>
          <w:rFonts w:hint="eastAsia" w:ascii="宋体" w:hAnsi="宋体" w:eastAsia="宋体" w:cs="宋体"/>
          <w:color w:val="000000"/>
          <w:kern w:val="0"/>
          <w:sz w:val="32"/>
          <w:szCs w:val="32"/>
        </w:rPr>
        <w:t>）负责拟订政府融资政策，制定政府债务管理制度和办法，负责管理政府债务，防范地方财政风险。</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13</w:t>
      </w:r>
      <w:r>
        <w:rPr>
          <w:rFonts w:hint="eastAsia" w:ascii="宋体" w:hAnsi="宋体" w:eastAsia="宋体" w:cs="宋体"/>
          <w:color w:val="000000"/>
          <w:kern w:val="0"/>
          <w:sz w:val="32"/>
          <w:szCs w:val="32"/>
        </w:rPr>
        <w:t>）负责管理全区的会计工作，监督和规范会计行为，组织实施国家统一的会计制度。</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14</w:t>
      </w:r>
      <w:r>
        <w:rPr>
          <w:rFonts w:hint="eastAsia" w:ascii="宋体" w:hAnsi="宋体" w:eastAsia="宋体" w:cs="宋体"/>
          <w:color w:val="000000"/>
          <w:kern w:val="0"/>
          <w:sz w:val="32"/>
          <w:szCs w:val="32"/>
        </w:rPr>
        <w:t>）负责财政资金绩效评价。监督检查财税法规、政策的执行情况，反映财政收支管理中的重大问题。依法查处违反财经法纪的行为。</w:t>
      </w: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15</w:t>
      </w:r>
      <w:r>
        <w:rPr>
          <w:rFonts w:hint="eastAsia" w:ascii="宋体" w:hAnsi="宋体" w:eastAsia="宋体" w:cs="宋体"/>
          <w:color w:val="000000"/>
          <w:kern w:val="0"/>
          <w:sz w:val="32"/>
          <w:szCs w:val="32"/>
        </w:rPr>
        <w:t>）负责财政宣传和财政信息管理系统工作，制定财政科学研究和教育规划，组织和管理全区财政业务培训；负责财政金融基础数据的统计、分析和上报。</w:t>
      </w:r>
    </w:p>
    <w:p>
      <w:pPr>
        <w:pStyle w:val="15"/>
        <w:shd w:val="clear" w:color="auto" w:fill="FFFFFF"/>
        <w:adjustRightInd w:val="0"/>
        <w:snapToGrid w:val="0"/>
        <w:spacing w:before="0" w:beforeAutospacing="0" w:after="0" w:afterAutospacing="0" w:line="353" w:lineRule="auto"/>
        <w:ind w:firstLine="630"/>
        <w:jc w:val="both"/>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16</w:t>
      </w:r>
      <w:r>
        <w:rPr>
          <w:rFonts w:hint="eastAsia" w:ascii="宋体" w:hAnsi="宋体" w:eastAsia="宋体" w:cs="宋体"/>
          <w:color w:val="000000"/>
          <w:kern w:val="0"/>
          <w:sz w:val="32"/>
          <w:szCs w:val="32"/>
        </w:rPr>
        <w:t>）承担权限内行政审批事项。</w:t>
      </w:r>
    </w:p>
    <w:p>
      <w:pPr>
        <w:pStyle w:val="15"/>
        <w:shd w:val="clear" w:color="auto" w:fill="FFFFFF"/>
        <w:adjustRightInd w:val="0"/>
        <w:snapToGrid w:val="0"/>
        <w:spacing w:before="0" w:beforeAutospacing="0" w:after="0" w:afterAutospacing="0" w:line="353" w:lineRule="auto"/>
        <w:ind w:firstLine="630"/>
        <w:jc w:val="both"/>
        <w:rPr>
          <w:rFonts w:hint="eastAsia" w:ascii="宋体" w:hAnsi="宋体" w:eastAsia="宋体" w:cs="宋体"/>
          <w:color w:val="000000"/>
          <w:sz w:val="32"/>
          <w:szCs w:val="32"/>
        </w:rPr>
      </w:pP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17</w:t>
      </w:r>
      <w:r>
        <w:rPr>
          <w:rFonts w:hint="eastAsia" w:ascii="宋体" w:hAnsi="宋体" w:eastAsia="宋体" w:cs="宋体"/>
          <w:color w:val="000000"/>
          <w:sz w:val="32"/>
          <w:szCs w:val="32"/>
        </w:rPr>
        <w:t>）定期与业务科室、代理银行、预算单位核对账务，提供财政资金支付和清算信息，报告财政资金支付情况。</w:t>
      </w:r>
    </w:p>
    <w:p>
      <w:pPr>
        <w:pStyle w:val="15"/>
        <w:shd w:val="clear" w:color="auto" w:fill="FFFFFF"/>
        <w:adjustRightInd w:val="0"/>
        <w:snapToGrid w:val="0"/>
        <w:spacing w:before="0" w:beforeAutospacing="0" w:after="0" w:afterAutospacing="0" w:line="353" w:lineRule="auto"/>
        <w:ind w:firstLine="630"/>
        <w:jc w:val="both"/>
        <w:rPr>
          <w:rFonts w:hint="eastAsia" w:ascii="宋体" w:hAnsi="宋体" w:eastAsia="宋体" w:cs="宋体"/>
          <w:color w:val="000000"/>
          <w:sz w:val="32"/>
          <w:szCs w:val="32"/>
        </w:rPr>
      </w:pP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18</w:t>
      </w:r>
      <w:r>
        <w:rPr>
          <w:rFonts w:hint="eastAsia" w:ascii="宋体" w:hAnsi="宋体" w:eastAsia="宋体" w:cs="宋体"/>
          <w:color w:val="000000"/>
          <w:sz w:val="32"/>
          <w:szCs w:val="32"/>
        </w:rPr>
        <w:t>）审核、汇总区本级部门决算。</w:t>
      </w:r>
    </w:p>
    <w:p>
      <w:pPr>
        <w:pStyle w:val="15"/>
        <w:shd w:val="clear" w:color="auto" w:fill="FFFFFF"/>
        <w:adjustRightInd w:val="0"/>
        <w:snapToGrid w:val="0"/>
        <w:spacing w:before="0" w:beforeAutospacing="0" w:after="0" w:afterAutospacing="0" w:line="353" w:lineRule="auto"/>
        <w:ind w:firstLine="630"/>
        <w:jc w:val="both"/>
        <w:rPr>
          <w:rFonts w:hint="eastAsia" w:ascii="宋体" w:hAnsi="宋体" w:eastAsia="宋体" w:cs="宋体"/>
          <w:color w:val="000000"/>
          <w:sz w:val="32"/>
          <w:szCs w:val="32"/>
        </w:rPr>
      </w:pP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19</w:t>
      </w:r>
      <w:r>
        <w:rPr>
          <w:rFonts w:hint="eastAsia" w:ascii="宋体" w:hAnsi="宋体" w:eastAsia="宋体" w:cs="宋体"/>
          <w:color w:val="000000"/>
          <w:sz w:val="32"/>
          <w:szCs w:val="32"/>
        </w:rPr>
        <w:t>）受理预算单位、商品或劳务供应商的查询事宜</w:t>
      </w:r>
    </w:p>
    <w:p>
      <w:pPr>
        <w:pStyle w:val="15"/>
        <w:shd w:val="clear" w:color="auto" w:fill="FFFFFF"/>
        <w:adjustRightInd w:val="0"/>
        <w:snapToGrid w:val="0"/>
        <w:spacing w:before="0" w:beforeAutospacing="0" w:after="0" w:afterAutospacing="0" w:line="353" w:lineRule="auto"/>
        <w:ind w:firstLine="630"/>
        <w:jc w:val="both"/>
        <w:rPr>
          <w:rFonts w:hint="eastAsia" w:ascii="宋体" w:hAnsi="宋体" w:eastAsia="宋体" w:cs="宋体"/>
          <w:color w:val="000000"/>
          <w:sz w:val="32"/>
          <w:szCs w:val="32"/>
        </w:rPr>
      </w:pP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20</w:t>
      </w:r>
      <w:r>
        <w:rPr>
          <w:rFonts w:hint="eastAsia" w:ascii="宋体" w:hAnsi="宋体" w:eastAsia="宋体" w:cs="宋体"/>
          <w:color w:val="000000"/>
          <w:sz w:val="32"/>
          <w:szCs w:val="32"/>
        </w:rPr>
        <w:t>）逐步建立全方位、多层次的财政国库资金支付动态监控体系，实现从资金支付申请、审核、审批、支付令下达、代理银行支付、银行清算全过程的动态监控。</w:t>
      </w:r>
    </w:p>
    <w:p>
      <w:pPr>
        <w:widowControl/>
        <w:snapToGrid w:val="0"/>
        <w:spacing w:line="56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21</w:t>
      </w:r>
      <w:r>
        <w:rPr>
          <w:rFonts w:hint="eastAsia" w:ascii="宋体" w:hAnsi="宋体" w:eastAsia="宋体" w:cs="宋体"/>
          <w:color w:val="000000"/>
          <w:sz w:val="32"/>
          <w:szCs w:val="32"/>
        </w:rPr>
        <w:t>）承担预算单位会计人员业务知识和技能培训工作，促进预算单位会计核算能力的提高</w:t>
      </w:r>
    </w:p>
    <w:p>
      <w:pPr>
        <w:pStyle w:val="2"/>
        <w:rPr>
          <w:rFonts w:hint="eastAsia"/>
        </w:rPr>
      </w:pPr>
    </w:p>
    <w:p>
      <w:pPr>
        <w:widowControl/>
        <w:adjustRightInd w:val="0"/>
        <w:snapToGrid w:val="0"/>
        <w:spacing w:line="353" w:lineRule="auto"/>
        <w:ind w:firstLine="480" w:firstLineChars="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w:t>
      </w:r>
      <w:r>
        <w:rPr>
          <w:rFonts w:hint="eastAsia" w:ascii="宋体" w:hAnsi="宋体" w:cs="宋体"/>
          <w:color w:val="000000"/>
          <w:kern w:val="0"/>
          <w:sz w:val="32"/>
          <w:szCs w:val="32"/>
          <w:lang w:val="en-US" w:eastAsia="zh-CN"/>
        </w:rPr>
        <w:t>22</w:t>
      </w:r>
      <w:r>
        <w:rPr>
          <w:rFonts w:hint="eastAsia" w:ascii="宋体" w:hAnsi="宋体" w:eastAsia="宋体" w:cs="宋体"/>
          <w:color w:val="000000"/>
          <w:kern w:val="0"/>
          <w:sz w:val="32"/>
          <w:szCs w:val="32"/>
        </w:rPr>
        <w:t>）承办区政府交办的其他事项。</w:t>
      </w:r>
    </w:p>
    <w:p>
      <w:pPr>
        <w:pStyle w:val="2"/>
        <w:rPr>
          <w:rFonts w:hint="eastAsia" w:ascii="宋体" w:hAnsi="宋体" w:eastAsia="宋体" w:cs="宋体"/>
          <w:lang w:val="zh-CN"/>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3" w:leftChars="0" w:firstLine="643" w:firstLineChars="0"/>
        <w:textAlignment w:val="auto"/>
        <w:rPr>
          <w:rFonts w:hint="eastAsia" w:ascii="宋体" w:hAnsi="宋体" w:eastAsia="宋体" w:cs="宋体"/>
          <w:b/>
          <w:bCs/>
          <w:color w:val="000000"/>
          <w:kern w:val="0"/>
          <w:sz w:val="32"/>
          <w:szCs w:val="32"/>
          <w:highlight w:val="none"/>
          <w:shd w:val="clear" w:color="auto" w:fill="FFFFFF"/>
          <w:lang w:val="zh-CN"/>
        </w:rPr>
      </w:pPr>
      <w:r>
        <w:rPr>
          <w:rFonts w:hint="eastAsia" w:ascii="宋体" w:hAnsi="宋体" w:eastAsia="宋体" w:cs="宋体"/>
          <w:b/>
          <w:bCs/>
          <w:color w:val="000000"/>
          <w:kern w:val="0"/>
          <w:sz w:val="32"/>
          <w:szCs w:val="32"/>
          <w:highlight w:val="none"/>
          <w:shd w:val="clear" w:color="auto" w:fill="FFFFFF"/>
          <w:lang w:val="zh-CN"/>
        </w:rPr>
        <w:t>人员概况。</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630" w:lef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截至2024年末，东区财政局部门</w:t>
      </w:r>
      <w:r>
        <w:rPr>
          <w:rFonts w:hint="eastAsia" w:ascii="宋体" w:hAnsi="宋体" w:eastAsia="宋体" w:cs="宋体"/>
          <w:color w:val="000000"/>
          <w:sz w:val="32"/>
          <w:szCs w:val="32"/>
        </w:rPr>
        <w:t>编制人数</w:t>
      </w:r>
      <w:r>
        <w:rPr>
          <w:rFonts w:hint="eastAsia" w:ascii="宋体" w:hAnsi="宋体" w:eastAsia="宋体" w:cs="宋体"/>
          <w:color w:val="000000"/>
          <w:sz w:val="32"/>
          <w:szCs w:val="32"/>
          <w:lang w:val="en-US" w:eastAsia="zh-CN"/>
        </w:rPr>
        <w:t>39</w:t>
      </w:r>
      <w:r>
        <w:rPr>
          <w:rFonts w:hint="eastAsia" w:ascii="宋体" w:hAnsi="宋体" w:eastAsia="宋体" w:cs="宋体"/>
          <w:color w:val="000000"/>
          <w:sz w:val="32"/>
          <w:szCs w:val="32"/>
        </w:rPr>
        <w:t>人，实有职</w:t>
      </w:r>
      <w:bookmarkStart w:id="61" w:name="OLE_LINK8"/>
      <w:r>
        <w:rPr>
          <w:rFonts w:hint="eastAsia" w:ascii="宋体" w:hAnsi="宋体" w:eastAsia="宋体" w:cs="宋体"/>
          <w:color w:val="000000"/>
          <w:sz w:val="32"/>
          <w:szCs w:val="32"/>
        </w:rPr>
        <w:t>工</w:t>
      </w:r>
      <w:bookmarkEnd w:id="61"/>
      <w:r>
        <w:rPr>
          <w:rFonts w:hint="eastAsia" w:ascii="宋体" w:hAnsi="宋体" w:eastAsia="宋体" w:cs="宋体"/>
          <w:color w:val="000000"/>
          <w:sz w:val="32"/>
          <w:szCs w:val="32"/>
          <w:lang w:val="en-US" w:eastAsia="zh-CN"/>
        </w:rPr>
        <w:t>35</w:t>
      </w:r>
      <w:r>
        <w:rPr>
          <w:rFonts w:hint="eastAsia" w:ascii="宋体" w:hAnsi="宋体" w:eastAsia="宋体" w:cs="宋体"/>
          <w:color w:val="000000"/>
          <w:sz w:val="32"/>
          <w:szCs w:val="32"/>
        </w:rPr>
        <w:t>人，退休职工</w:t>
      </w:r>
      <w:r>
        <w:rPr>
          <w:rFonts w:hint="eastAsia" w:ascii="宋体" w:hAnsi="宋体" w:eastAsia="宋体" w:cs="宋体"/>
          <w:color w:val="000000"/>
          <w:sz w:val="32"/>
          <w:szCs w:val="32"/>
          <w:lang w:val="en-US" w:eastAsia="zh-CN"/>
        </w:rPr>
        <w:t>22</w:t>
      </w:r>
      <w:r>
        <w:rPr>
          <w:rFonts w:hint="eastAsia" w:ascii="宋体" w:hAnsi="宋体" w:eastAsia="宋体" w:cs="宋体"/>
          <w:color w:val="000000"/>
          <w:sz w:val="32"/>
          <w:szCs w:val="32"/>
        </w:rPr>
        <w:t>人，临聘人员3人，</w:t>
      </w:r>
      <w:r>
        <w:rPr>
          <w:rFonts w:hint="eastAsia" w:ascii="宋体" w:hAnsi="宋体" w:eastAsia="宋体" w:cs="宋体"/>
          <w:color w:val="000000"/>
          <w:sz w:val="32"/>
          <w:szCs w:val="32"/>
          <w:lang w:val="en-US" w:eastAsia="zh-CN"/>
        </w:rPr>
        <w:t>其中东区财政局</w:t>
      </w:r>
      <w:r>
        <w:rPr>
          <w:rFonts w:hint="eastAsia" w:ascii="宋体" w:hAnsi="宋体" w:eastAsia="宋体" w:cs="宋体"/>
          <w:color w:val="000000"/>
          <w:sz w:val="32"/>
          <w:szCs w:val="32"/>
        </w:rPr>
        <w:t>编制人数24人，实有职工</w:t>
      </w:r>
      <w:r>
        <w:rPr>
          <w:rFonts w:hint="eastAsia" w:ascii="宋体" w:hAnsi="宋体" w:eastAsia="宋体" w:cs="宋体"/>
          <w:color w:val="000000"/>
          <w:sz w:val="32"/>
          <w:szCs w:val="32"/>
          <w:lang w:val="en-US" w:eastAsia="zh-CN"/>
        </w:rPr>
        <w:t>22</w:t>
      </w:r>
      <w:r>
        <w:rPr>
          <w:rFonts w:hint="eastAsia" w:ascii="宋体" w:hAnsi="宋体" w:eastAsia="宋体" w:cs="宋体"/>
          <w:color w:val="000000"/>
          <w:sz w:val="32"/>
          <w:szCs w:val="32"/>
        </w:rPr>
        <w:t>人，退休职工</w:t>
      </w:r>
      <w:r>
        <w:rPr>
          <w:rFonts w:hint="eastAsia" w:ascii="宋体" w:hAnsi="宋体" w:eastAsia="宋体" w:cs="宋体"/>
          <w:color w:val="000000"/>
          <w:sz w:val="32"/>
          <w:szCs w:val="32"/>
          <w:lang w:val="en-US" w:eastAsia="zh-CN"/>
        </w:rPr>
        <w:t>17</w:t>
      </w:r>
      <w:r>
        <w:rPr>
          <w:rFonts w:hint="eastAsia" w:ascii="宋体" w:hAnsi="宋体" w:eastAsia="宋体" w:cs="宋体"/>
          <w:color w:val="000000"/>
          <w:sz w:val="32"/>
          <w:szCs w:val="32"/>
        </w:rPr>
        <w:t>人，临聘人员3人</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lang w:eastAsia="zh-CN"/>
        </w:rPr>
        <w:t>东区财政国库支付中心人员编制数</w:t>
      </w:r>
      <w:r>
        <w:rPr>
          <w:rFonts w:hint="eastAsia" w:ascii="宋体" w:hAnsi="宋体" w:eastAsia="宋体" w:cs="宋体"/>
          <w:color w:val="000000"/>
          <w:sz w:val="32"/>
          <w:szCs w:val="32"/>
          <w:lang w:val="en-US" w:eastAsia="zh-CN"/>
        </w:rPr>
        <w:t>15人，现有在职人员13名，退休人员5名。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723" w:firstLineChars="200"/>
        <w:contextualSpacing/>
        <w:jc w:val="left"/>
        <w:textAlignment w:val="auto"/>
        <w:outlineLvl w:val="9"/>
        <w:rPr>
          <w:rFonts w:hint="eastAsia" w:ascii="宋体" w:hAnsi="宋体" w:eastAsia="宋体" w:cs="宋体"/>
          <w:b/>
          <w:bCs/>
          <w:i w:val="0"/>
          <w:iCs w:val="0"/>
          <w:color w:val="000000"/>
          <w:kern w:val="0"/>
          <w:sz w:val="36"/>
          <w:szCs w:val="36"/>
          <w:highlight w:val="none"/>
          <w:shd w:val="clear" w:color="auto" w:fill="FFFFFF"/>
          <w:lang w:val="zh-CN" w:eastAsia="zh-CN"/>
        </w:rPr>
      </w:pPr>
      <w:r>
        <w:rPr>
          <w:rFonts w:hint="eastAsia" w:ascii="宋体" w:hAnsi="宋体" w:eastAsia="宋体" w:cs="宋体"/>
          <w:b/>
          <w:bCs/>
          <w:i w:val="0"/>
          <w:iCs w:val="0"/>
          <w:color w:val="000000"/>
          <w:kern w:val="0"/>
          <w:sz w:val="36"/>
          <w:szCs w:val="36"/>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宋体" w:hAnsi="宋体" w:eastAsia="宋体" w:cs="宋体"/>
          <w:b/>
          <w:bCs/>
          <w:color w:val="000000"/>
          <w:kern w:val="0"/>
          <w:sz w:val="32"/>
          <w:szCs w:val="32"/>
          <w:highlight w:val="none"/>
          <w:shd w:val="clear" w:color="auto" w:fill="FFFFFF"/>
          <w:lang w:val="zh-CN"/>
        </w:rPr>
      </w:pPr>
      <w:r>
        <w:rPr>
          <w:rFonts w:hint="eastAsia" w:ascii="宋体" w:hAnsi="宋体" w:eastAsia="宋体" w:cs="宋体"/>
          <w:b/>
          <w:bCs/>
          <w:color w:val="000000"/>
          <w:kern w:val="0"/>
          <w:sz w:val="32"/>
          <w:szCs w:val="32"/>
          <w:highlight w:val="none"/>
          <w:shd w:val="clear" w:color="auto" w:fill="FFFFFF"/>
          <w:lang w:val="zh-CN"/>
        </w:rPr>
        <w:t>（一）收入情况。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宋体" w:hAnsi="宋体" w:eastAsia="宋体" w:cs="宋体"/>
          <w:b/>
          <w:bCs/>
          <w:color w:val="000000"/>
          <w:kern w:val="0"/>
          <w:sz w:val="32"/>
          <w:szCs w:val="32"/>
          <w:highlight w:val="none"/>
          <w:shd w:val="clear" w:color="auto" w:fill="FFFFFF"/>
          <w:lang w:val="en-US"/>
        </w:rPr>
      </w:pPr>
      <w:r>
        <w:rPr>
          <w:rFonts w:hint="eastAsia" w:ascii="宋体" w:hAnsi="宋体" w:eastAsia="宋体" w:cs="宋体"/>
          <w:color w:val="auto"/>
          <w:kern w:val="2"/>
          <w:sz w:val="32"/>
          <w:szCs w:val="32"/>
          <w:highlight w:val="none"/>
          <w:lang w:val="en-US" w:eastAsia="zh-CN" w:bidi="ar-SA"/>
        </w:rPr>
        <w:t>东区财政局</w:t>
      </w:r>
      <w:r>
        <w:rPr>
          <w:rFonts w:hint="eastAsia" w:ascii="宋体" w:hAnsi="宋体" w:eastAsia="宋体" w:cs="宋体"/>
          <w:sz w:val="32"/>
          <w:szCs w:val="32"/>
          <w:lang w:val="en-US" w:eastAsia="zh-CN"/>
        </w:rPr>
        <w:t>2024年年初预算收入</w:t>
      </w:r>
      <w:bookmarkStart w:id="62" w:name="OLE_LINK9"/>
      <w:r>
        <w:rPr>
          <w:rFonts w:hint="eastAsia" w:ascii="宋体" w:hAnsi="宋体" w:eastAsia="宋体" w:cs="宋体"/>
          <w:sz w:val="32"/>
          <w:szCs w:val="32"/>
          <w:lang w:val="en-US" w:eastAsia="zh-CN"/>
        </w:rPr>
        <w:t>1385.82万元，较去年增加108.94万元，同比增加8.53%，全年决算收入1078.92万元。</w:t>
      </w:r>
    </w:p>
    <w:bookmarkEnd w:id="62"/>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宋体" w:hAnsi="宋体" w:eastAsia="宋体" w:cs="宋体"/>
          <w:b/>
          <w:bCs/>
          <w:color w:val="000000"/>
          <w:kern w:val="0"/>
          <w:sz w:val="32"/>
          <w:szCs w:val="32"/>
          <w:highlight w:val="none"/>
          <w:shd w:val="clear" w:color="auto" w:fill="FFFFFF"/>
          <w:lang w:val="zh-CN"/>
        </w:rPr>
      </w:pPr>
      <w:r>
        <w:rPr>
          <w:rFonts w:hint="eastAsia" w:ascii="宋体" w:hAnsi="宋体" w:eastAsia="宋体" w:cs="宋体"/>
          <w:b/>
          <w:bCs/>
          <w:color w:val="000000"/>
          <w:kern w:val="0"/>
          <w:sz w:val="32"/>
          <w:szCs w:val="32"/>
          <w:highlight w:val="none"/>
          <w:shd w:val="clear" w:color="auto" w:fill="FFFFFF"/>
          <w:lang w:val="zh-CN"/>
        </w:rPr>
        <w:t>（二）支出情况。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宋体" w:hAnsi="宋体" w:eastAsia="宋体" w:cs="宋体"/>
          <w:sz w:val="32"/>
          <w:szCs w:val="32"/>
          <w:lang w:val="en-US" w:eastAsia="zh-CN"/>
        </w:rPr>
      </w:pPr>
      <w:r>
        <w:rPr>
          <w:rFonts w:hint="eastAsia" w:ascii="宋体" w:hAnsi="宋体" w:eastAsia="宋体" w:cs="宋体"/>
          <w:color w:val="auto"/>
          <w:kern w:val="2"/>
          <w:sz w:val="32"/>
          <w:szCs w:val="32"/>
          <w:highlight w:val="none"/>
          <w:lang w:val="en-US" w:eastAsia="zh-CN" w:bidi="ar-SA"/>
        </w:rPr>
        <w:t>东区财政局</w:t>
      </w:r>
      <w:r>
        <w:rPr>
          <w:rFonts w:hint="eastAsia" w:ascii="宋体" w:hAnsi="宋体" w:eastAsia="宋体" w:cs="宋体"/>
          <w:sz w:val="32"/>
          <w:szCs w:val="32"/>
          <w:lang w:val="en-US" w:eastAsia="zh-CN"/>
        </w:rPr>
        <w:t>2024年年初预算支出1385.82万元，较去年增加108.94万元，同比增加8.53%，全年决算支出1185.06万元。</w:t>
      </w:r>
    </w:p>
    <w:p>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left="-146" w:leftChars="0" w:hanging="64" w:firstLineChars="0"/>
        <w:contextualSpacing/>
        <w:jc w:val="left"/>
        <w:textAlignment w:val="auto"/>
        <w:outlineLvl w:val="9"/>
        <w:rPr>
          <w:rFonts w:hint="eastAsia" w:ascii="宋体" w:hAnsi="宋体" w:eastAsia="宋体" w:cs="宋体"/>
          <w:b/>
          <w:bCs/>
          <w:color w:val="000000"/>
          <w:kern w:val="0"/>
          <w:sz w:val="32"/>
          <w:szCs w:val="32"/>
          <w:highlight w:val="none"/>
          <w:shd w:val="clear" w:color="auto" w:fill="FFFFFF"/>
          <w:lang w:val="zh-CN" w:eastAsia="zh-CN"/>
        </w:rPr>
      </w:pPr>
      <w:r>
        <w:rPr>
          <w:rFonts w:hint="eastAsia" w:ascii="宋体" w:hAnsi="宋体" w:eastAsia="宋体" w:cs="宋体"/>
          <w:b/>
          <w:bCs/>
          <w:color w:val="000000"/>
          <w:kern w:val="0"/>
          <w:sz w:val="32"/>
          <w:szCs w:val="32"/>
          <w:highlight w:val="none"/>
          <w:shd w:val="clear" w:color="auto" w:fill="FFFFFF"/>
          <w:lang w:val="en-US" w:eastAsia="zh-CN"/>
        </w:rPr>
        <w:t xml:space="preserve"> </w:t>
      </w:r>
      <w:r>
        <w:rPr>
          <w:rFonts w:hint="eastAsia" w:ascii="宋体" w:hAnsi="宋体" w:eastAsia="宋体" w:cs="宋体"/>
          <w:b/>
          <w:bCs/>
          <w:color w:val="000000"/>
          <w:kern w:val="0"/>
          <w:sz w:val="32"/>
          <w:szCs w:val="32"/>
          <w:highlight w:val="none"/>
          <w:shd w:val="clear" w:color="auto" w:fill="FFFFFF"/>
          <w:lang w:val="zh-CN"/>
        </w:rPr>
        <w:t>结余分配和结转结余情况</w:t>
      </w:r>
      <w:r>
        <w:rPr>
          <w:rFonts w:hint="eastAsia" w:ascii="宋体" w:hAnsi="宋体" w:eastAsia="宋体" w:cs="宋体"/>
          <w:b/>
          <w:bCs/>
          <w:color w:val="000000"/>
          <w:kern w:val="0"/>
          <w:sz w:val="32"/>
          <w:szCs w:val="32"/>
          <w:highlight w:val="none"/>
          <w:shd w:val="clear" w:color="auto" w:fill="FFFFFF"/>
          <w:lang w:val="zh-CN" w:eastAsia="zh-CN"/>
        </w:rPr>
        <w:t>。</w:t>
      </w:r>
      <w:r>
        <w:rPr>
          <w:rFonts w:hint="eastAsia" w:ascii="宋体" w:hAnsi="宋体" w:eastAsia="宋体" w:cs="宋体"/>
          <w:b/>
          <w:bCs/>
          <w:color w:val="000000"/>
          <w:kern w:val="0"/>
          <w:sz w:val="32"/>
          <w:szCs w:val="32"/>
          <w:highlight w:val="none"/>
          <w:shd w:val="clear" w:color="auto" w:fill="FFFFFF"/>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640" w:firstLineChars="200"/>
        <w:contextualSpacing/>
        <w:jc w:val="left"/>
        <w:textAlignment w:val="auto"/>
        <w:outlineLvl w:val="9"/>
        <w:rPr>
          <w:rFonts w:hint="eastAsia" w:ascii="宋体" w:hAnsi="宋体" w:eastAsia="宋体" w:cs="宋体"/>
          <w:b w:val="0"/>
          <w:bCs w:val="0"/>
          <w:color w:val="000000"/>
          <w:kern w:val="0"/>
          <w:sz w:val="32"/>
          <w:szCs w:val="32"/>
          <w:highlight w:val="none"/>
          <w:shd w:val="clear" w:color="auto" w:fill="FFFFFF"/>
          <w:lang w:val="zh-CN" w:eastAsia="zh-CN"/>
        </w:rPr>
      </w:pPr>
      <w:r>
        <w:rPr>
          <w:rFonts w:hint="eastAsia" w:ascii="宋体" w:hAnsi="宋体" w:eastAsia="宋体" w:cs="宋体"/>
          <w:color w:val="auto"/>
          <w:kern w:val="2"/>
          <w:sz w:val="32"/>
          <w:szCs w:val="32"/>
          <w:highlight w:val="none"/>
          <w:lang w:val="en-US" w:eastAsia="zh-CN" w:bidi="ar-SA"/>
        </w:rPr>
        <w:t>东区财政局</w:t>
      </w:r>
      <w:r>
        <w:rPr>
          <w:rFonts w:hint="eastAsia" w:ascii="宋体" w:hAnsi="宋体" w:eastAsia="宋体" w:cs="宋体"/>
          <w:sz w:val="32"/>
          <w:szCs w:val="32"/>
          <w:lang w:val="en-US" w:eastAsia="zh-CN"/>
        </w:rPr>
        <w:t>2024年决算报表年初预算无结转结余，全年决算2024年年初结余为110.09万元，年末结余为3.96万元。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723" w:firstLineChars="200"/>
        <w:contextualSpacing/>
        <w:jc w:val="left"/>
        <w:textAlignment w:val="auto"/>
        <w:outlineLvl w:val="9"/>
        <w:rPr>
          <w:rFonts w:hint="eastAsia" w:ascii="宋体" w:hAnsi="宋体" w:eastAsia="宋体" w:cs="宋体"/>
          <w:b/>
          <w:bCs/>
          <w:color w:val="000000"/>
          <w:kern w:val="0"/>
          <w:sz w:val="36"/>
          <w:szCs w:val="36"/>
          <w:highlight w:val="none"/>
          <w:shd w:val="clear" w:color="auto" w:fill="FFFFFF"/>
          <w:lang w:val="zh-CN" w:eastAsia="zh-CN"/>
        </w:rPr>
      </w:pPr>
      <w:r>
        <w:rPr>
          <w:rFonts w:hint="eastAsia" w:ascii="宋体" w:hAnsi="宋体" w:eastAsia="宋体" w:cs="宋体"/>
          <w:b/>
          <w:bCs/>
          <w:color w:val="000000"/>
          <w:kern w:val="0"/>
          <w:sz w:val="36"/>
          <w:szCs w:val="36"/>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宋体" w:hAnsi="宋体" w:eastAsia="宋体" w:cs="宋体"/>
          <w:color w:val="auto"/>
          <w:kern w:val="2"/>
          <w:sz w:val="32"/>
          <w:szCs w:val="32"/>
          <w:highlight w:val="none"/>
          <w:lang w:val="zh-CN" w:eastAsia="zh-CN" w:bidi="ar-SA"/>
        </w:rPr>
      </w:pPr>
      <w:r>
        <w:rPr>
          <w:rFonts w:hint="eastAsia" w:ascii="宋体" w:hAnsi="宋体" w:eastAsia="宋体" w:cs="宋体"/>
          <w:b/>
          <w:bCs/>
          <w:color w:val="000000"/>
          <w:kern w:val="0"/>
          <w:sz w:val="32"/>
          <w:szCs w:val="32"/>
          <w:highlight w:val="none"/>
          <w:shd w:val="clear" w:color="auto" w:fill="FFFFFF"/>
          <w:lang w:val="zh-CN"/>
        </w:rPr>
        <w:t>（一）部门预算总体绩效分析。</w:t>
      </w:r>
      <w:r>
        <w:rPr>
          <w:rFonts w:hint="eastAsia" w:ascii="宋体" w:hAnsi="宋体" w:eastAsia="宋体" w:cs="宋体"/>
          <w:color w:val="auto"/>
          <w:kern w:val="2"/>
          <w:sz w:val="32"/>
          <w:szCs w:val="32"/>
          <w:highlight w:val="none"/>
          <w:lang w:val="zh-CN" w:eastAsia="zh-CN" w:bidi="ar-SA"/>
        </w:rPr>
        <w:t>根据部门预算绩效评价指标体系“总体绩效”涉及二、三级指标进行逐项绩效分析并评分，依次包括履职效能、预算管理、财务管理、资产管理、采购管理等情况。</w:t>
      </w:r>
    </w:p>
    <w:p>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1.</w:t>
      </w:r>
      <w:r>
        <w:rPr>
          <w:rFonts w:hint="eastAsia" w:ascii="宋体" w:hAnsi="宋体" w:eastAsia="宋体" w:cs="宋体"/>
          <w:color w:val="auto"/>
          <w:kern w:val="2"/>
          <w:sz w:val="32"/>
          <w:szCs w:val="32"/>
          <w:highlight w:val="none"/>
          <w:lang w:val="zh-CN" w:eastAsia="zh-CN" w:bidi="ar-SA"/>
        </w:rPr>
        <w:t>履职效能。</w:t>
      </w:r>
    </w:p>
    <w:p>
      <w:pPr>
        <w:keepNext w:val="0"/>
        <w:keepLines w:val="0"/>
        <w:pageBreakBefore w:val="0"/>
        <w:widowControl w:val="0"/>
        <w:numPr>
          <w:ilvl w:val="0"/>
          <w:numId w:val="5"/>
        </w:numPr>
        <w:kinsoku/>
        <w:wordWrap/>
        <w:overflowPunct w:val="0"/>
        <w:topLinePunct w:val="0"/>
        <w:autoSpaceDE/>
        <w:autoSpaceDN/>
        <w:bidi w:val="0"/>
        <w:adjustRightInd/>
        <w:snapToGrid/>
        <w:spacing w:line="240" w:lineRule="auto"/>
        <w:ind w:left="0" w:leftChars="0" w:firstLine="400" w:firstLineChars="0"/>
        <w:jc w:val="both"/>
        <w:textAlignment w:val="auto"/>
        <w:rPr>
          <w:rFonts w:hint="eastAsia" w:ascii="宋体" w:hAnsi="宋体" w:eastAsia="宋体" w:cs="宋体"/>
          <w:sz w:val="32"/>
          <w:szCs w:val="32"/>
        </w:rPr>
      </w:pPr>
      <w:r>
        <w:rPr>
          <w:rFonts w:hint="eastAsia" w:ascii="宋体" w:hAnsi="宋体" w:eastAsia="宋体" w:cs="宋体"/>
          <w:b/>
          <w:bCs/>
          <w:sz w:val="32"/>
          <w:szCs w:val="32"/>
        </w:rPr>
        <w:t>狠抓财源建设，增强共同富裕保障。</w:t>
      </w:r>
      <w:r>
        <w:rPr>
          <w:rFonts w:hint="eastAsia" w:ascii="宋体" w:hAnsi="宋体" w:eastAsia="宋体" w:cs="宋体"/>
          <w:sz w:val="32"/>
          <w:szCs w:val="32"/>
        </w:rPr>
        <w:t>紧紧围绕做大综合财力目标任务，通过抓收入、争资金、盘存量等方式千方百计做大财力规模，全年综合财力首次突破30亿元大关，为共同富裕实验区建设奠定财政基础。全年落实新增减税降费及退税49,035万元，切实减轻经营主体负担。加强对重点税源、重点项目跟踪服务，实行清单化管理，清缴各项欠税25,093万元。持续推进国有资源（资产）盘活，实现水库经营权出让收入6,980万元、棚改腾空地出让分成1,099万元，全年一般公共预算收入规模创历史新高。树立“抓争取就是强财政”理念，全年争取各类上级资金323,145万元、同比增长86.2%，完成全年确保目标的162.2%，争取总额创历史新高</w:t>
      </w:r>
      <w:r>
        <w:rPr>
          <w:rFonts w:hint="eastAsia" w:ascii="宋体" w:hAnsi="宋体" w:eastAsia="宋体" w:cs="宋体"/>
          <w:sz w:val="32"/>
          <w:szCs w:val="32"/>
          <w:lang w:eastAsia="zh-CN"/>
        </w:rPr>
        <w:t>，</w:t>
      </w:r>
      <w:r>
        <w:rPr>
          <w:rFonts w:hint="eastAsia" w:ascii="宋体" w:hAnsi="宋体" w:eastAsia="宋体" w:cs="宋体"/>
          <w:sz w:val="32"/>
          <w:szCs w:val="32"/>
        </w:rPr>
        <w:t>位列全市第1位。</w:t>
      </w:r>
    </w:p>
    <w:p>
      <w:pPr>
        <w:keepNext w:val="0"/>
        <w:keepLines w:val="0"/>
        <w:pageBreakBefore w:val="0"/>
        <w:widowControl w:val="0"/>
        <w:numPr>
          <w:ilvl w:val="0"/>
          <w:numId w:val="5"/>
        </w:numPr>
        <w:kinsoku/>
        <w:wordWrap/>
        <w:overflowPunct w:val="0"/>
        <w:topLinePunct w:val="0"/>
        <w:autoSpaceDE/>
        <w:autoSpaceDN/>
        <w:bidi w:val="0"/>
        <w:adjustRightInd/>
        <w:snapToGrid/>
        <w:spacing w:line="240" w:lineRule="auto"/>
        <w:ind w:left="0" w:leftChars="0" w:firstLine="400" w:firstLineChars="0"/>
        <w:jc w:val="both"/>
        <w:textAlignment w:val="auto"/>
        <w:rPr>
          <w:rFonts w:hint="eastAsia" w:ascii="宋体" w:hAnsi="宋体" w:eastAsia="宋体" w:cs="宋体"/>
          <w:sz w:val="32"/>
          <w:szCs w:val="32"/>
        </w:rPr>
      </w:pPr>
      <w:r>
        <w:rPr>
          <w:rFonts w:hint="eastAsia" w:ascii="宋体" w:hAnsi="宋体" w:eastAsia="宋体" w:cs="宋体"/>
          <w:b/>
          <w:bCs/>
          <w:sz w:val="32"/>
          <w:szCs w:val="32"/>
        </w:rPr>
        <w:t>强化支出管理，着力办好民生实事。</w:t>
      </w:r>
      <w:r>
        <w:rPr>
          <w:rFonts w:hint="eastAsia" w:ascii="宋体" w:hAnsi="宋体" w:eastAsia="宋体" w:cs="宋体"/>
          <w:sz w:val="32"/>
          <w:szCs w:val="32"/>
        </w:rPr>
        <w:t>贯彻落实过紧日子要求，从严从紧安排非刚性、非重点项目支出，坚持严管控、保重点，全年一般性支出压减10%，挤出更多资金用于民生保障。安排教育、卫生健康、社会保障和就业等资金86,788万元，支持教育事业优质均衡发展、提高医疗健康保障能力、扎实推动“消底、提低、扩中”行动。秉持以人民为中心的发展理念，坚定不移地优先保障民生领域，不断增进民生福祉、夯实共同富裕根基，</w:t>
      </w:r>
      <w:r>
        <w:rPr>
          <w:rFonts w:hint="eastAsia" w:ascii="宋体" w:hAnsi="宋体" w:eastAsia="宋体" w:cs="宋体"/>
          <w:bCs/>
          <w:sz w:val="32"/>
          <w:szCs w:val="32"/>
        </w:rPr>
        <w:t>全年民生支出投入159,305万元，占一般公共预算支出的比重达到73.15%、较上年提升2.81个百分点，高于全市平均水平4.54个百分点。</w:t>
      </w:r>
    </w:p>
    <w:p>
      <w:pPr>
        <w:keepNext w:val="0"/>
        <w:keepLines w:val="0"/>
        <w:pageBreakBefore w:val="0"/>
        <w:widowControl w:val="0"/>
        <w:numPr>
          <w:ilvl w:val="0"/>
          <w:numId w:val="5"/>
        </w:numPr>
        <w:kinsoku/>
        <w:wordWrap/>
        <w:overflowPunct w:val="0"/>
        <w:topLinePunct w:val="0"/>
        <w:autoSpaceDE/>
        <w:autoSpaceDN/>
        <w:bidi w:val="0"/>
        <w:adjustRightInd/>
        <w:snapToGrid/>
        <w:spacing w:line="240" w:lineRule="auto"/>
        <w:ind w:left="0" w:leftChars="0" w:firstLine="400" w:firstLineChars="0"/>
        <w:jc w:val="both"/>
        <w:textAlignment w:val="auto"/>
        <w:rPr>
          <w:rFonts w:hint="eastAsia" w:ascii="宋体" w:hAnsi="宋体" w:eastAsia="宋体" w:cs="宋体"/>
          <w:sz w:val="32"/>
          <w:szCs w:val="32"/>
        </w:rPr>
      </w:pPr>
      <w:r>
        <w:rPr>
          <w:rFonts w:hint="eastAsia" w:ascii="宋体" w:hAnsi="宋体" w:eastAsia="宋体" w:cs="宋体"/>
          <w:b/>
          <w:bCs/>
          <w:sz w:val="32"/>
          <w:szCs w:val="32"/>
        </w:rPr>
        <w:t>坚守底线思维，防范化解财政风险</w:t>
      </w:r>
      <w:r>
        <w:rPr>
          <w:rFonts w:hint="eastAsia" w:ascii="宋体" w:hAnsi="宋体" w:eastAsia="宋体" w:cs="宋体"/>
          <w:sz w:val="32"/>
          <w:szCs w:val="32"/>
        </w:rPr>
        <w:t>。积极抢抓中央推出一揽子化债政策契机，全年争取化债专项债券115,100万元用于化解存量隐性债务，有效减轻了地方政府还本付息压力。通过安排预算资金、争取再融资债券等方式及时偿付到期政府债务本息26,196万元；严格落实隐性债务化解计划，全年化解隐性债务125,899万元、年度化解完成率107.78%。不遗余力加强地方政府债务风险管控，千方百计降低政府债务风险，全年</w:t>
      </w:r>
      <w:r>
        <w:rPr>
          <w:rFonts w:hint="eastAsia" w:ascii="宋体" w:hAnsi="宋体" w:eastAsia="宋体" w:cs="宋体"/>
          <w:bCs/>
          <w:sz w:val="32"/>
          <w:szCs w:val="32"/>
        </w:rPr>
        <w:t>政府隐性债务率降至236%，成功实现“四连降”。大力推进拖欠中小企业账款化解，全年偿还拖欠账款161笔、12,913万元，清偿率100%。</w:t>
      </w:r>
      <w:r>
        <w:rPr>
          <w:rFonts w:hint="eastAsia" w:ascii="宋体" w:hAnsi="宋体" w:eastAsia="宋体" w:cs="宋体"/>
          <w:sz w:val="32"/>
          <w:szCs w:val="32"/>
        </w:rPr>
        <w:t>牢牢兜住“三保”支出底线，坚持把“三保”支出纳入区级财政保障的优先序列，全年完成国省标准“三保”支出77,457万元，占一般公共预算支出的35.57%，未出现系统性、区域性“三保”风险。财政各项风险均在可控范围内。</w:t>
      </w:r>
    </w:p>
    <w:p>
      <w:pPr>
        <w:keepNext w:val="0"/>
        <w:keepLines w:val="0"/>
        <w:pageBreakBefore w:val="0"/>
        <w:widowControl w:val="0"/>
        <w:numPr>
          <w:ilvl w:val="0"/>
          <w:numId w:val="5"/>
        </w:numPr>
        <w:kinsoku/>
        <w:wordWrap/>
        <w:overflowPunct w:val="0"/>
        <w:topLinePunct w:val="0"/>
        <w:autoSpaceDE/>
        <w:autoSpaceDN/>
        <w:bidi w:val="0"/>
        <w:adjustRightInd/>
        <w:snapToGrid/>
        <w:spacing w:line="240" w:lineRule="auto"/>
        <w:ind w:left="0" w:leftChars="0" w:firstLine="400" w:firstLineChars="0"/>
        <w:jc w:val="both"/>
        <w:textAlignment w:val="auto"/>
        <w:rPr>
          <w:rFonts w:hint="eastAsia" w:ascii="宋体" w:hAnsi="宋体" w:eastAsia="宋体" w:cs="宋体"/>
          <w:sz w:val="32"/>
          <w:szCs w:val="32"/>
        </w:rPr>
      </w:pPr>
      <w:bookmarkStart w:id="78" w:name="_GoBack"/>
      <w:bookmarkEnd w:id="78"/>
      <w:r>
        <w:rPr>
          <w:rFonts w:hint="eastAsia" w:ascii="宋体" w:hAnsi="宋体" w:eastAsia="宋体" w:cs="宋体"/>
          <w:b/>
          <w:bCs/>
          <w:sz w:val="32"/>
          <w:szCs w:val="32"/>
        </w:rPr>
        <w:t>完善财政管理，提升财政治理效能。</w:t>
      </w:r>
      <w:r>
        <w:rPr>
          <w:rFonts w:hint="eastAsia" w:ascii="宋体" w:hAnsi="宋体" w:eastAsia="宋体" w:cs="宋体"/>
          <w:sz w:val="32"/>
          <w:szCs w:val="32"/>
        </w:rPr>
        <w:t>修订差旅费、会议费、培训费等管理制度，编印《财政应知应会读本》，从制度机制上规范全区财政财务管理。进一步加强库款管理与预算执行、债券资金、账户规范等统筹协调，建立库款运行动态监测机制，不断提升库款监测水平和保障能力。深化预算绩效管理改革，实现绩效目标编制、运行监控、绩效自评全覆盖，对8个预算单位和16个项目开展重点评价，涉及财政资金2.15亿元。严格规范政府采购管理，全年完成计划审批103项（次）、金额13,584万元；政府采购项目备案97项（次）、金额12,460万元。紧盯“三公”经费、惠民惠农财政补贴、津贴补贴规范等重点领域开展专项监督检查20余次，完成问题整改100余个，持续规范财经纪律。深入推进</w:t>
      </w:r>
      <w:r>
        <w:rPr>
          <w:rFonts w:hint="eastAsia" w:ascii="宋体" w:hAnsi="宋体" w:eastAsia="宋体" w:cs="宋体"/>
          <w:sz w:val="32"/>
          <w:szCs w:val="32"/>
          <w:lang w:eastAsia="zh-CN"/>
        </w:rPr>
        <w:t>群众身边不正之风和腐败问题集中整治</w:t>
      </w:r>
      <w:r>
        <w:rPr>
          <w:rFonts w:hint="eastAsia" w:ascii="宋体" w:hAnsi="宋体" w:eastAsia="宋体" w:cs="宋体"/>
          <w:sz w:val="32"/>
          <w:szCs w:val="32"/>
        </w:rPr>
        <w:t>工作，确保财政资金规范性和安全性。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723" w:firstLineChars="200"/>
        <w:contextualSpacing/>
        <w:jc w:val="left"/>
        <w:textAlignment w:val="auto"/>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2.</w:t>
      </w:r>
      <w:r>
        <w:rPr>
          <w:rFonts w:hint="eastAsia" w:ascii="宋体" w:hAnsi="宋体" w:eastAsia="宋体" w:cs="宋体"/>
          <w:b/>
          <w:bCs/>
          <w:color w:val="auto"/>
          <w:kern w:val="2"/>
          <w:sz w:val="36"/>
          <w:szCs w:val="36"/>
          <w:highlight w:val="none"/>
          <w:lang w:val="zh-CN" w:eastAsia="zh-CN" w:bidi="ar-SA"/>
        </w:rPr>
        <w:t>预算管理。</w:t>
      </w:r>
    </w:p>
    <w:p>
      <w:pPr>
        <w:widowControl/>
        <w:suppressAutoHyphens w:val="0"/>
        <w:kinsoku w:val="0"/>
        <w:autoSpaceDE w:val="0"/>
        <w:autoSpaceDN w:val="0"/>
        <w:adjustRightInd w:val="0"/>
        <w:snapToGrid w:val="0"/>
        <w:spacing w:before="203" w:line="340" w:lineRule="auto"/>
        <w:ind w:right="7" w:firstLine="640"/>
        <w:jc w:val="left"/>
        <w:textAlignment w:val="baseline"/>
        <w:rPr>
          <w:rFonts w:hint="eastAsia" w:ascii="宋体" w:hAnsi="宋体" w:eastAsia="宋体" w:cs="宋体"/>
          <w:snapToGrid w:val="0"/>
          <w:color w:val="000000"/>
          <w:kern w:val="0"/>
          <w:sz w:val="31"/>
          <w:szCs w:val="31"/>
        </w:rPr>
      </w:pPr>
      <w:r>
        <w:rPr>
          <w:rFonts w:hint="eastAsia" w:ascii="宋体" w:hAnsi="宋体" w:eastAsia="宋体" w:cs="宋体"/>
          <w:snapToGrid w:val="0"/>
          <w:color w:val="000000"/>
          <w:spacing w:val="5"/>
          <w:kern w:val="0"/>
          <w:sz w:val="31"/>
          <w:szCs w:val="31"/>
        </w:rPr>
        <w:t>严格按照年初预算安排，加强预算执行管理，严格执行中央</w:t>
      </w:r>
      <w:r>
        <w:rPr>
          <w:rFonts w:hint="eastAsia" w:ascii="宋体" w:hAnsi="宋体" w:eastAsia="宋体" w:cs="宋体"/>
          <w:snapToGrid w:val="0"/>
          <w:color w:val="000000"/>
          <w:spacing w:val="7"/>
          <w:kern w:val="0"/>
          <w:sz w:val="31"/>
          <w:szCs w:val="31"/>
        </w:rPr>
        <w:t xml:space="preserve"> 八项规定和省十项规定，厉行节约规范使用预算资金。收入</w:t>
      </w:r>
      <w:r>
        <w:rPr>
          <w:rFonts w:hint="eastAsia" w:ascii="宋体" w:hAnsi="宋体" w:eastAsia="宋体" w:cs="宋体"/>
          <w:snapToGrid w:val="0"/>
          <w:color w:val="000000"/>
          <w:spacing w:val="6"/>
          <w:kern w:val="0"/>
          <w:sz w:val="31"/>
          <w:szCs w:val="31"/>
        </w:rPr>
        <w:t>上缴，</w:t>
      </w:r>
      <w:r>
        <w:rPr>
          <w:rFonts w:hint="eastAsia" w:ascii="宋体" w:hAnsi="宋体" w:eastAsia="宋体" w:cs="宋体"/>
          <w:snapToGrid w:val="0"/>
          <w:color w:val="000000"/>
          <w:kern w:val="0"/>
          <w:sz w:val="31"/>
          <w:szCs w:val="31"/>
        </w:rPr>
        <w:t xml:space="preserve"> </w:t>
      </w:r>
      <w:r>
        <w:rPr>
          <w:rFonts w:hint="eastAsia" w:ascii="宋体" w:hAnsi="宋体" w:eastAsia="宋体" w:cs="宋体"/>
          <w:snapToGrid w:val="0"/>
          <w:color w:val="000000"/>
          <w:spacing w:val="4"/>
          <w:kern w:val="0"/>
          <w:sz w:val="31"/>
          <w:szCs w:val="31"/>
        </w:rPr>
        <w:t>严格执行“</w:t>
      </w:r>
      <w:r>
        <w:rPr>
          <w:rFonts w:hint="eastAsia" w:ascii="宋体" w:hAnsi="宋体" w:eastAsia="宋体" w:cs="宋体"/>
          <w:snapToGrid w:val="0"/>
          <w:color w:val="000000"/>
          <w:spacing w:val="-109"/>
          <w:kern w:val="0"/>
          <w:sz w:val="31"/>
          <w:szCs w:val="31"/>
        </w:rPr>
        <w:t xml:space="preserve"> </w:t>
      </w:r>
      <w:r>
        <w:rPr>
          <w:rFonts w:hint="eastAsia" w:ascii="宋体" w:hAnsi="宋体" w:eastAsia="宋体" w:cs="宋体"/>
          <w:snapToGrid w:val="0"/>
          <w:color w:val="000000"/>
          <w:spacing w:val="4"/>
          <w:kern w:val="0"/>
          <w:sz w:val="31"/>
          <w:szCs w:val="31"/>
        </w:rPr>
        <w:t>收支两条线”管理制度，按规定使用罚没票据并直接</w:t>
      </w:r>
      <w:r>
        <w:rPr>
          <w:rFonts w:hint="eastAsia" w:ascii="宋体" w:hAnsi="宋体" w:eastAsia="宋体" w:cs="宋体"/>
          <w:snapToGrid w:val="0"/>
          <w:color w:val="000000"/>
          <w:spacing w:val="5"/>
          <w:kern w:val="0"/>
          <w:sz w:val="31"/>
          <w:szCs w:val="31"/>
        </w:rPr>
        <w:t>缴入国库，无隐瞒收入和其他违反国家收费管理规定的行为。支出管理中，认真执行国库集中支付、政府采购、公务卡报销、重点工作和大额支付上会集体决策等相关财务管理制度。进一步完</w:t>
      </w:r>
      <w:r>
        <w:rPr>
          <w:rFonts w:hint="eastAsia" w:ascii="宋体" w:hAnsi="宋体" w:eastAsia="宋体" w:cs="宋体"/>
          <w:snapToGrid w:val="0"/>
          <w:color w:val="000000"/>
          <w:spacing w:val="3"/>
          <w:kern w:val="0"/>
          <w:sz w:val="31"/>
          <w:szCs w:val="31"/>
        </w:rPr>
        <w:t>善“</w:t>
      </w:r>
      <w:r>
        <w:rPr>
          <w:rFonts w:hint="eastAsia" w:ascii="宋体" w:hAnsi="宋体" w:eastAsia="宋体" w:cs="宋体"/>
          <w:snapToGrid w:val="0"/>
          <w:color w:val="000000"/>
          <w:spacing w:val="-119"/>
          <w:kern w:val="0"/>
          <w:sz w:val="31"/>
          <w:szCs w:val="31"/>
        </w:rPr>
        <w:t xml:space="preserve"> </w:t>
      </w:r>
      <w:r>
        <w:rPr>
          <w:rFonts w:hint="eastAsia" w:ascii="宋体" w:hAnsi="宋体" w:eastAsia="宋体" w:cs="宋体"/>
          <w:snapToGrid w:val="0"/>
          <w:color w:val="000000"/>
          <w:spacing w:val="3"/>
          <w:kern w:val="0"/>
          <w:sz w:val="31"/>
          <w:szCs w:val="31"/>
        </w:rPr>
        <w:t>三公”经费管理制度和审核程序，严格控制“</w:t>
      </w:r>
      <w:r>
        <w:rPr>
          <w:rFonts w:hint="eastAsia" w:ascii="宋体" w:hAnsi="宋体" w:eastAsia="宋体" w:cs="宋体"/>
          <w:snapToGrid w:val="0"/>
          <w:color w:val="000000"/>
          <w:spacing w:val="-117"/>
          <w:kern w:val="0"/>
          <w:sz w:val="31"/>
          <w:szCs w:val="31"/>
        </w:rPr>
        <w:t xml:space="preserve"> </w:t>
      </w:r>
      <w:r>
        <w:rPr>
          <w:rFonts w:hint="eastAsia" w:ascii="宋体" w:hAnsi="宋体" w:eastAsia="宋体" w:cs="宋体"/>
          <w:snapToGrid w:val="0"/>
          <w:color w:val="000000"/>
          <w:spacing w:val="3"/>
          <w:kern w:val="0"/>
          <w:sz w:val="31"/>
          <w:szCs w:val="31"/>
        </w:rPr>
        <w:t>三公”经费支</w:t>
      </w:r>
      <w:r>
        <w:rPr>
          <w:rFonts w:hint="eastAsia" w:ascii="宋体" w:hAnsi="宋体" w:eastAsia="宋体" w:cs="宋体"/>
          <w:snapToGrid w:val="0"/>
          <w:color w:val="000000"/>
          <w:spacing w:val="5"/>
          <w:kern w:val="0"/>
          <w:sz w:val="31"/>
          <w:szCs w:val="31"/>
        </w:rPr>
        <w:t>出。根据执行进度对基本支出按照月度均衡原则、项目支出按实际需要及时申报，确保足额支出安排，保证了部门的正常运行和</w:t>
      </w:r>
      <w:r>
        <w:rPr>
          <w:rFonts w:hint="eastAsia" w:ascii="宋体" w:hAnsi="宋体" w:eastAsia="宋体" w:cs="宋体"/>
          <w:snapToGrid w:val="0"/>
          <w:color w:val="000000"/>
          <w:spacing w:val="8"/>
          <w:kern w:val="0"/>
          <w:sz w:val="31"/>
          <w:szCs w:val="31"/>
        </w:rPr>
        <w:t>专项工作任务的顺利开展。</w:t>
      </w:r>
    </w:p>
    <w:p>
      <w:pPr>
        <w:widowControl/>
        <w:numPr>
          <w:ilvl w:val="0"/>
          <w:numId w:val="2"/>
        </w:numPr>
        <w:suppressAutoHyphens w:val="0"/>
        <w:kinsoku w:val="0"/>
        <w:autoSpaceDE w:val="0"/>
        <w:autoSpaceDN w:val="0"/>
        <w:adjustRightInd w:val="0"/>
        <w:snapToGrid w:val="0"/>
        <w:spacing w:before="212" w:line="337" w:lineRule="auto"/>
        <w:ind w:left="1050" w:leftChars="0" w:firstLine="0" w:firstLineChars="0"/>
        <w:jc w:val="left"/>
        <w:textAlignment w:val="baseline"/>
        <w:rPr>
          <w:rFonts w:hint="eastAsia" w:ascii="宋体" w:hAnsi="宋体" w:eastAsia="宋体" w:cs="宋体"/>
          <w:b/>
          <w:bCs/>
          <w:color w:val="auto"/>
          <w:kern w:val="2"/>
          <w:sz w:val="36"/>
          <w:szCs w:val="36"/>
          <w:highlight w:val="none"/>
          <w:lang w:val="zh-CN" w:eastAsia="zh-CN" w:bidi="ar-SA"/>
        </w:rPr>
      </w:pPr>
      <w:r>
        <w:rPr>
          <w:rFonts w:hint="eastAsia" w:ascii="宋体" w:hAnsi="宋体" w:eastAsia="宋体" w:cs="宋体"/>
          <w:b/>
          <w:bCs/>
          <w:color w:val="auto"/>
          <w:kern w:val="2"/>
          <w:sz w:val="36"/>
          <w:szCs w:val="36"/>
          <w:highlight w:val="none"/>
          <w:lang w:val="zh-CN" w:eastAsia="zh-CN" w:bidi="ar-SA"/>
        </w:rPr>
        <w:t>财务管理。</w:t>
      </w:r>
    </w:p>
    <w:p>
      <w:pPr>
        <w:spacing w:before="183" w:line="311" w:lineRule="auto"/>
        <w:ind w:left="20" w:firstLine="706"/>
        <w:rPr>
          <w:rFonts w:hint="eastAsia" w:ascii="宋体" w:hAnsi="宋体" w:eastAsia="宋体" w:cs="宋体"/>
          <w:snapToGrid w:val="0"/>
          <w:color w:val="000000"/>
          <w:kern w:val="0"/>
          <w:sz w:val="31"/>
          <w:szCs w:val="31"/>
        </w:rPr>
      </w:pPr>
      <w:r>
        <w:rPr>
          <w:rFonts w:hint="eastAsia" w:ascii="宋体" w:hAnsi="宋体" w:eastAsia="宋体" w:cs="宋体"/>
          <w:sz w:val="32"/>
          <w:szCs w:val="32"/>
        </w:rPr>
        <w:t>为全面提升预算管理效能，我局始终将规范预算执行作为财务管理的核心环节。</w:t>
      </w:r>
      <w:r>
        <w:rPr>
          <w:rFonts w:hint="eastAsia" w:ascii="宋体" w:hAnsi="宋体" w:eastAsia="宋体" w:cs="宋体"/>
          <w:spacing w:val="-4"/>
          <w:sz w:val="31"/>
          <w:szCs w:val="31"/>
        </w:rPr>
        <w:t>结合当前政策，进一步补充修订《内部控制制度》，完</w:t>
      </w:r>
      <w:r>
        <w:rPr>
          <w:rFonts w:hint="eastAsia" w:ascii="宋体" w:hAnsi="宋体" w:eastAsia="宋体" w:cs="宋体"/>
          <w:spacing w:val="9"/>
          <w:sz w:val="31"/>
          <w:szCs w:val="31"/>
        </w:rPr>
        <w:t>善绩效管理制度，对本部门预决算管理、收支管理、政府采</w:t>
      </w:r>
      <w:r>
        <w:rPr>
          <w:rFonts w:hint="eastAsia" w:ascii="宋体" w:hAnsi="宋体" w:eastAsia="宋体" w:cs="宋体"/>
          <w:spacing w:val="15"/>
          <w:sz w:val="31"/>
          <w:szCs w:val="31"/>
        </w:rPr>
        <w:t>购、资产管理等方面作出相关规定并督促科室（下属</w:t>
      </w:r>
      <w:r>
        <w:rPr>
          <w:rFonts w:hint="eastAsia" w:ascii="宋体" w:hAnsi="宋体" w:eastAsia="宋体" w:cs="宋体"/>
          <w:spacing w:val="14"/>
          <w:sz w:val="31"/>
          <w:szCs w:val="31"/>
        </w:rPr>
        <w:t>单位）</w:t>
      </w:r>
      <w:r>
        <w:rPr>
          <w:rFonts w:hint="eastAsia" w:ascii="宋体" w:hAnsi="宋体" w:eastAsia="宋体" w:cs="宋体"/>
          <w:sz w:val="31"/>
          <w:szCs w:val="31"/>
        </w:rPr>
        <w:t xml:space="preserve"> </w:t>
      </w:r>
      <w:r>
        <w:rPr>
          <w:rFonts w:hint="eastAsia" w:ascii="宋体" w:hAnsi="宋体" w:eastAsia="宋体" w:cs="宋体"/>
          <w:spacing w:val="6"/>
          <w:sz w:val="31"/>
          <w:szCs w:val="31"/>
        </w:rPr>
        <w:t>严格执行。</w:t>
      </w:r>
      <w:r>
        <w:rPr>
          <w:rFonts w:hint="eastAsia" w:ascii="宋体" w:hAnsi="宋体" w:eastAsia="宋体" w:cs="宋体"/>
          <w:sz w:val="32"/>
          <w:szCs w:val="32"/>
        </w:rPr>
        <w:t>在组织架构建设方面，设置会计、出纳等财务工作岗位，通过职责分工明确各岗位职责边界，严格执行不相容岗位分离制度，形成预算编制与审核、资金支付与复核、会计核算与监督的相互制约机制。同时，定期开展岗位轮换与交叉检查，有效防范财务风险。</w:t>
      </w:r>
      <w:r>
        <w:rPr>
          <w:rFonts w:hint="eastAsia" w:ascii="宋体" w:hAnsi="宋体" w:eastAsia="宋体" w:cs="宋体"/>
          <w:snapToGrid w:val="0"/>
          <w:color w:val="000000"/>
          <w:spacing w:val="2"/>
          <w:kern w:val="0"/>
          <w:sz w:val="31"/>
          <w:szCs w:val="31"/>
        </w:rPr>
        <w:t>严控“</w:t>
      </w:r>
      <w:r>
        <w:rPr>
          <w:rFonts w:hint="eastAsia" w:ascii="宋体" w:hAnsi="宋体" w:eastAsia="宋体" w:cs="宋体"/>
          <w:snapToGrid w:val="0"/>
          <w:color w:val="000000"/>
          <w:spacing w:val="-101"/>
          <w:kern w:val="0"/>
          <w:sz w:val="31"/>
          <w:szCs w:val="31"/>
        </w:rPr>
        <w:t xml:space="preserve"> </w:t>
      </w:r>
      <w:r>
        <w:rPr>
          <w:rFonts w:hint="eastAsia" w:ascii="宋体" w:hAnsi="宋体" w:eastAsia="宋体" w:cs="宋体"/>
          <w:snapToGrid w:val="0"/>
          <w:color w:val="000000"/>
          <w:spacing w:val="2"/>
          <w:kern w:val="0"/>
          <w:sz w:val="31"/>
          <w:szCs w:val="31"/>
        </w:rPr>
        <w:t>三公</w:t>
      </w:r>
      <w:r>
        <w:rPr>
          <w:rFonts w:hint="eastAsia" w:ascii="宋体" w:hAnsi="宋体" w:eastAsia="宋体" w:cs="宋体"/>
          <w:snapToGrid w:val="0"/>
          <w:color w:val="000000"/>
          <w:spacing w:val="2"/>
          <w:kern w:val="0"/>
          <w:sz w:val="31"/>
          <w:szCs w:val="31"/>
          <w:lang w:eastAsia="zh-CN"/>
        </w:rPr>
        <w:t>”</w:t>
      </w:r>
      <w:r>
        <w:rPr>
          <w:rFonts w:hint="eastAsia" w:ascii="宋体" w:hAnsi="宋体" w:eastAsia="宋体" w:cs="宋体"/>
          <w:snapToGrid w:val="0"/>
          <w:color w:val="000000"/>
          <w:spacing w:val="2"/>
          <w:kern w:val="0"/>
          <w:sz w:val="31"/>
          <w:szCs w:val="31"/>
        </w:rPr>
        <w:t>经费、会议费、培训费、差旅费等支</w:t>
      </w:r>
      <w:r>
        <w:rPr>
          <w:rFonts w:hint="eastAsia" w:ascii="宋体" w:hAnsi="宋体" w:eastAsia="宋体" w:cs="宋体"/>
          <w:snapToGrid w:val="0"/>
          <w:color w:val="000000"/>
          <w:spacing w:val="4"/>
          <w:kern w:val="0"/>
          <w:sz w:val="31"/>
          <w:szCs w:val="31"/>
        </w:rPr>
        <w:t>出。严格报账程序，严把票据审核关，规范资金收支管理</w:t>
      </w:r>
      <w:r>
        <w:rPr>
          <w:rFonts w:hint="eastAsia" w:ascii="宋体" w:hAnsi="宋体" w:eastAsia="宋体" w:cs="宋体"/>
          <w:snapToGrid w:val="0"/>
          <w:color w:val="000000"/>
          <w:spacing w:val="3"/>
          <w:kern w:val="0"/>
          <w:sz w:val="31"/>
          <w:szCs w:val="31"/>
        </w:rPr>
        <w:t>及会计</w:t>
      </w:r>
      <w:r>
        <w:rPr>
          <w:rFonts w:hint="eastAsia" w:ascii="宋体" w:hAnsi="宋体" w:eastAsia="宋体" w:cs="宋体"/>
          <w:snapToGrid w:val="0"/>
          <w:color w:val="000000"/>
          <w:spacing w:val="8"/>
          <w:kern w:val="0"/>
          <w:sz w:val="31"/>
          <w:szCs w:val="31"/>
        </w:rPr>
        <w:t>核算，做到账账相符、账实相符。</w:t>
      </w:r>
    </w:p>
    <w:p>
      <w:pPr>
        <w:widowControl/>
        <w:numPr>
          <w:ilvl w:val="0"/>
          <w:numId w:val="2"/>
        </w:numPr>
        <w:suppressAutoHyphens w:val="0"/>
        <w:kinsoku w:val="0"/>
        <w:autoSpaceDE w:val="0"/>
        <w:autoSpaceDN w:val="0"/>
        <w:adjustRightInd w:val="0"/>
        <w:snapToGrid w:val="0"/>
        <w:spacing w:before="210" w:line="335" w:lineRule="auto"/>
        <w:ind w:left="1050" w:leftChars="0" w:right="104" w:firstLine="0" w:firstLineChars="0"/>
        <w:jc w:val="left"/>
        <w:textAlignment w:val="baseline"/>
        <w:rPr>
          <w:rFonts w:hint="eastAsia" w:ascii="宋体" w:hAnsi="宋体" w:eastAsia="宋体" w:cs="宋体"/>
          <w:b/>
          <w:bCs/>
          <w:color w:val="auto"/>
          <w:kern w:val="2"/>
          <w:sz w:val="36"/>
          <w:szCs w:val="36"/>
          <w:highlight w:val="none"/>
          <w:lang w:val="zh-CN" w:eastAsia="zh-CN" w:bidi="ar-SA"/>
        </w:rPr>
      </w:pPr>
      <w:r>
        <w:rPr>
          <w:rFonts w:hint="eastAsia" w:ascii="宋体" w:hAnsi="宋体" w:eastAsia="宋体" w:cs="宋体"/>
          <w:b/>
          <w:bCs/>
          <w:color w:val="auto"/>
          <w:kern w:val="2"/>
          <w:sz w:val="36"/>
          <w:szCs w:val="36"/>
          <w:highlight w:val="none"/>
          <w:lang w:val="zh-CN" w:eastAsia="zh-CN" w:bidi="ar-SA"/>
        </w:rPr>
        <w:t>资产管理。</w:t>
      </w:r>
    </w:p>
    <w:p>
      <w:pPr>
        <w:widowControl/>
        <w:numPr>
          <w:ilvl w:val="0"/>
          <w:numId w:val="0"/>
        </w:numPr>
        <w:suppressAutoHyphens w:val="0"/>
        <w:kinsoku w:val="0"/>
        <w:autoSpaceDE w:val="0"/>
        <w:autoSpaceDN w:val="0"/>
        <w:adjustRightInd w:val="0"/>
        <w:snapToGrid w:val="0"/>
        <w:spacing w:before="210" w:line="335" w:lineRule="auto"/>
        <w:ind w:left="617" w:leftChars="0" w:right="104" w:rightChars="0" w:firstLine="640" w:firstLineChars="200"/>
        <w:jc w:val="left"/>
        <w:textAlignment w:val="baseline"/>
        <w:rPr>
          <w:rFonts w:hint="eastAsia" w:ascii="宋体" w:hAnsi="宋体" w:eastAsia="宋体" w:cs="宋体"/>
          <w:snapToGrid w:val="0"/>
          <w:color w:val="000000"/>
          <w:kern w:val="0"/>
          <w:sz w:val="31"/>
          <w:szCs w:val="31"/>
        </w:rPr>
      </w:pPr>
      <w:r>
        <w:rPr>
          <w:rFonts w:hint="eastAsia" w:ascii="宋体" w:hAnsi="宋体" w:eastAsia="宋体" w:cs="宋体"/>
          <w:snapToGrid w:val="0"/>
          <w:color w:val="000000"/>
          <w:spacing w:val="5"/>
          <w:kern w:val="0"/>
          <w:sz w:val="31"/>
          <w:szCs w:val="31"/>
        </w:rPr>
        <w:t>加强固定资产管理。严格执行《行政单位国有资产管理暂行</w:t>
      </w:r>
      <w:r>
        <w:rPr>
          <w:rFonts w:hint="eastAsia" w:ascii="宋体" w:hAnsi="宋体" w:eastAsia="宋体" w:cs="宋体"/>
          <w:snapToGrid w:val="0"/>
          <w:color w:val="000000"/>
          <w:spacing w:val="1"/>
          <w:kern w:val="0"/>
          <w:sz w:val="31"/>
          <w:szCs w:val="31"/>
        </w:rPr>
        <w:t xml:space="preserve"> </w:t>
      </w:r>
      <w:r>
        <w:rPr>
          <w:rFonts w:hint="eastAsia" w:ascii="宋体" w:hAnsi="宋体" w:eastAsia="宋体" w:cs="宋体"/>
          <w:snapToGrid w:val="0"/>
          <w:color w:val="000000"/>
          <w:spacing w:val="5"/>
          <w:kern w:val="0"/>
          <w:sz w:val="31"/>
          <w:szCs w:val="31"/>
        </w:rPr>
        <w:t>办法》等制度，实行固定资产统一管理，专人负责固定资产信息</w:t>
      </w:r>
      <w:r>
        <w:rPr>
          <w:rFonts w:hint="eastAsia" w:ascii="宋体" w:hAnsi="宋体" w:eastAsia="宋体" w:cs="宋体"/>
          <w:snapToGrid w:val="0"/>
          <w:color w:val="000000"/>
          <w:kern w:val="0"/>
          <w:sz w:val="31"/>
          <w:szCs w:val="31"/>
        </w:rPr>
        <w:t xml:space="preserve"> </w:t>
      </w:r>
      <w:r>
        <w:rPr>
          <w:rFonts w:hint="eastAsia" w:ascii="宋体" w:hAnsi="宋体" w:eastAsia="宋体" w:cs="宋体"/>
          <w:snapToGrid w:val="0"/>
          <w:color w:val="000000"/>
          <w:spacing w:val="7"/>
          <w:kern w:val="0"/>
          <w:sz w:val="31"/>
          <w:szCs w:val="31"/>
        </w:rPr>
        <w:t>化管理，依规做好资产购置、报废、调剂等工作，确保</w:t>
      </w:r>
      <w:r>
        <w:rPr>
          <w:rFonts w:hint="eastAsia" w:ascii="宋体" w:hAnsi="宋体" w:eastAsia="宋体" w:cs="宋体"/>
          <w:snapToGrid w:val="0"/>
          <w:color w:val="000000"/>
          <w:spacing w:val="6"/>
          <w:kern w:val="0"/>
          <w:sz w:val="31"/>
          <w:szCs w:val="31"/>
        </w:rPr>
        <w:t>账、卡、</w:t>
      </w:r>
      <w:r>
        <w:rPr>
          <w:rFonts w:hint="eastAsia" w:ascii="宋体" w:hAnsi="宋体" w:eastAsia="宋体" w:cs="宋体"/>
          <w:snapToGrid w:val="0"/>
          <w:color w:val="000000"/>
          <w:kern w:val="0"/>
          <w:sz w:val="31"/>
          <w:szCs w:val="31"/>
        </w:rPr>
        <w:t xml:space="preserve"> </w:t>
      </w:r>
      <w:r>
        <w:rPr>
          <w:rFonts w:hint="eastAsia" w:ascii="宋体" w:hAnsi="宋体" w:eastAsia="宋体" w:cs="宋体"/>
          <w:snapToGrid w:val="0"/>
          <w:color w:val="000000"/>
          <w:spacing w:val="1"/>
          <w:kern w:val="0"/>
          <w:sz w:val="31"/>
          <w:szCs w:val="31"/>
        </w:rPr>
        <w:t>物相符。</w:t>
      </w:r>
    </w:p>
    <w:p>
      <w:pPr>
        <w:widowControl/>
        <w:numPr>
          <w:ilvl w:val="0"/>
          <w:numId w:val="2"/>
        </w:numPr>
        <w:suppressAutoHyphens w:val="0"/>
        <w:kinsoku w:val="0"/>
        <w:autoSpaceDE w:val="0"/>
        <w:autoSpaceDN w:val="0"/>
        <w:adjustRightInd w:val="0"/>
        <w:snapToGrid w:val="0"/>
        <w:spacing w:before="210" w:line="338" w:lineRule="auto"/>
        <w:ind w:left="1050" w:leftChars="0" w:firstLine="0" w:firstLineChars="0"/>
        <w:jc w:val="left"/>
        <w:textAlignment w:val="baseline"/>
        <w:rPr>
          <w:rFonts w:hint="eastAsia" w:ascii="宋体" w:hAnsi="宋体" w:eastAsia="宋体" w:cs="宋体"/>
          <w:b/>
          <w:bCs/>
          <w:color w:val="auto"/>
          <w:kern w:val="2"/>
          <w:sz w:val="36"/>
          <w:szCs w:val="36"/>
          <w:highlight w:val="none"/>
          <w:lang w:val="zh-CN" w:eastAsia="zh-CN" w:bidi="ar-SA"/>
        </w:rPr>
      </w:pPr>
      <w:r>
        <w:rPr>
          <w:rFonts w:hint="eastAsia" w:ascii="宋体" w:hAnsi="宋体" w:eastAsia="宋体" w:cs="宋体"/>
          <w:b/>
          <w:bCs/>
          <w:color w:val="auto"/>
          <w:kern w:val="2"/>
          <w:sz w:val="36"/>
          <w:szCs w:val="36"/>
          <w:highlight w:val="none"/>
          <w:lang w:val="zh-CN" w:eastAsia="zh-CN" w:bidi="ar-SA"/>
        </w:rPr>
        <w:t>采购管理。</w:t>
      </w:r>
    </w:p>
    <w:p>
      <w:pPr>
        <w:widowControl/>
        <w:numPr>
          <w:ilvl w:val="0"/>
          <w:numId w:val="0"/>
        </w:numPr>
        <w:suppressAutoHyphens w:val="0"/>
        <w:kinsoku w:val="0"/>
        <w:autoSpaceDE w:val="0"/>
        <w:autoSpaceDN w:val="0"/>
        <w:adjustRightInd w:val="0"/>
        <w:snapToGrid w:val="0"/>
        <w:spacing w:before="210" w:line="338" w:lineRule="auto"/>
        <w:ind w:left="617" w:leftChars="0" w:firstLine="640" w:firstLineChars="200"/>
        <w:jc w:val="left"/>
        <w:textAlignment w:val="baseline"/>
        <w:rPr>
          <w:rFonts w:hint="eastAsia" w:ascii="宋体" w:hAnsi="宋体" w:eastAsia="宋体" w:cs="宋体"/>
          <w:color w:val="auto"/>
          <w:kern w:val="2"/>
          <w:sz w:val="32"/>
          <w:szCs w:val="32"/>
          <w:highlight w:val="none"/>
          <w:lang w:val="zh-CN" w:eastAsia="zh-CN" w:bidi="ar-SA"/>
        </w:rPr>
      </w:pPr>
      <w:r>
        <w:rPr>
          <w:rFonts w:hint="eastAsia" w:ascii="宋体" w:hAnsi="宋体" w:eastAsia="宋体" w:cs="宋体"/>
          <w:color w:val="auto"/>
          <w:kern w:val="2"/>
          <w:sz w:val="32"/>
          <w:szCs w:val="32"/>
          <w:highlight w:val="none"/>
          <w:lang w:val="en-US" w:eastAsia="zh-CN" w:bidi="ar-SA"/>
        </w:rPr>
        <w:t>2024年我局严格</w:t>
      </w:r>
      <w:r>
        <w:rPr>
          <w:rFonts w:hint="eastAsia" w:ascii="宋体" w:hAnsi="宋体" w:eastAsia="宋体" w:cs="宋体"/>
          <w:color w:val="auto"/>
          <w:kern w:val="2"/>
          <w:sz w:val="32"/>
          <w:szCs w:val="32"/>
          <w:highlight w:val="none"/>
          <w:lang w:val="zh-CN" w:eastAsia="zh-CN" w:bidi="ar-SA"/>
        </w:rPr>
        <w:t>围绕支持中小企业发展、采购执行率进行绩效分析。</w:t>
      </w:r>
      <w:r>
        <w:rPr>
          <w:rFonts w:hint="eastAsia" w:ascii="宋体" w:hAnsi="宋体" w:eastAsia="宋体" w:cs="宋体"/>
          <w:snapToGrid w:val="0"/>
          <w:color w:val="000000"/>
          <w:spacing w:val="5"/>
          <w:kern w:val="0"/>
          <w:sz w:val="31"/>
          <w:szCs w:val="31"/>
        </w:rPr>
        <w:t>加强政府采购管理。严格执行《政府采购法》，</w:t>
      </w:r>
      <w:r>
        <w:rPr>
          <w:rFonts w:hint="eastAsia" w:ascii="宋体" w:hAnsi="宋体" w:eastAsia="宋体" w:cs="宋体"/>
          <w:snapToGrid w:val="0"/>
          <w:color w:val="000000"/>
          <w:spacing w:val="10"/>
          <w:kern w:val="0"/>
          <w:sz w:val="31"/>
          <w:szCs w:val="31"/>
        </w:rPr>
        <w:t>编制</w:t>
      </w:r>
      <w:r>
        <w:rPr>
          <w:rFonts w:hint="eastAsia" w:ascii="宋体" w:hAnsi="宋体" w:eastAsia="宋体" w:cs="宋体"/>
          <w:snapToGrid w:val="0"/>
          <w:color w:val="000000"/>
          <w:spacing w:val="5"/>
          <w:kern w:val="0"/>
          <w:sz w:val="31"/>
          <w:szCs w:val="31"/>
        </w:rPr>
        <w:t>政府采购计划，将采购项目全部纳入部门预算管理。严格按政府采购预算实施采购计划，确保采购流程合理合规，采购信息公示</w:t>
      </w:r>
      <w:r>
        <w:rPr>
          <w:rFonts w:hint="eastAsia" w:ascii="宋体" w:hAnsi="宋体" w:eastAsia="宋体" w:cs="宋体"/>
          <w:snapToGrid w:val="0"/>
          <w:color w:val="000000"/>
          <w:kern w:val="0"/>
          <w:sz w:val="31"/>
          <w:szCs w:val="31"/>
        </w:rPr>
        <w:t>公开，严把质量关力求实效。严格按照《政府采购业务管理</w:t>
      </w:r>
      <w:r>
        <w:rPr>
          <w:rFonts w:hint="eastAsia" w:ascii="宋体" w:hAnsi="宋体" w:eastAsia="宋体" w:cs="宋体"/>
          <w:snapToGrid w:val="0"/>
          <w:color w:val="000000"/>
          <w:spacing w:val="-1"/>
          <w:kern w:val="0"/>
          <w:sz w:val="31"/>
          <w:szCs w:val="31"/>
        </w:rPr>
        <w:t>制度》开</w:t>
      </w:r>
      <w:r>
        <w:rPr>
          <w:rFonts w:hint="eastAsia" w:ascii="宋体" w:hAnsi="宋体" w:eastAsia="宋体" w:cs="宋体"/>
          <w:snapToGrid w:val="0"/>
          <w:color w:val="000000"/>
          <w:spacing w:val="8"/>
          <w:kern w:val="0"/>
          <w:sz w:val="31"/>
          <w:szCs w:val="31"/>
        </w:rPr>
        <w:t>展采购工作，支持中小企业发展。</w:t>
      </w:r>
    </w:p>
    <w:p>
      <w:pPr>
        <w:widowControl/>
        <w:numPr>
          <w:ilvl w:val="0"/>
          <w:numId w:val="6"/>
        </w:numPr>
        <w:suppressAutoHyphens w:val="0"/>
        <w:kinsoku w:val="0"/>
        <w:autoSpaceDE w:val="0"/>
        <w:autoSpaceDN w:val="0"/>
        <w:adjustRightInd w:val="0"/>
        <w:snapToGrid w:val="0"/>
        <w:spacing w:before="208" w:line="332" w:lineRule="auto"/>
        <w:ind w:left="11" w:right="156" w:firstLine="657"/>
        <w:textAlignment w:val="baseline"/>
        <w:rPr>
          <w:rFonts w:hint="eastAsia" w:ascii="宋体" w:hAnsi="宋体" w:eastAsia="宋体" w:cs="宋体"/>
          <w:b/>
          <w:bCs/>
          <w:color w:val="000000"/>
          <w:kern w:val="0"/>
          <w:sz w:val="36"/>
          <w:szCs w:val="36"/>
          <w:highlight w:val="none"/>
          <w:shd w:val="clear" w:color="auto" w:fill="FFFFFF"/>
          <w:lang w:val="zh-CN"/>
        </w:rPr>
      </w:pPr>
      <w:r>
        <w:rPr>
          <w:rFonts w:hint="eastAsia" w:ascii="宋体" w:hAnsi="宋体" w:eastAsia="宋体" w:cs="宋体"/>
          <w:b/>
          <w:bCs/>
          <w:color w:val="000000"/>
          <w:kern w:val="0"/>
          <w:sz w:val="36"/>
          <w:szCs w:val="36"/>
          <w:highlight w:val="none"/>
          <w:shd w:val="clear" w:color="auto" w:fill="FFFFFF"/>
          <w:lang w:val="zh-CN"/>
        </w:rPr>
        <w:t>部门预算项目绩效分析。</w:t>
      </w:r>
    </w:p>
    <w:p>
      <w:pPr>
        <w:widowControl/>
        <w:numPr>
          <w:ilvl w:val="0"/>
          <w:numId w:val="0"/>
        </w:numPr>
        <w:suppressAutoHyphens w:val="0"/>
        <w:kinsoku w:val="0"/>
        <w:autoSpaceDE w:val="0"/>
        <w:autoSpaceDN w:val="0"/>
        <w:adjustRightInd w:val="0"/>
        <w:snapToGrid w:val="0"/>
        <w:spacing w:before="208" w:line="332" w:lineRule="auto"/>
        <w:ind w:left="668" w:leftChars="0" w:right="156" w:rightChars="0"/>
        <w:textAlignment w:val="baseline"/>
        <w:rPr>
          <w:rFonts w:hint="eastAsia" w:ascii="宋体" w:hAnsi="宋体" w:eastAsia="宋体" w:cs="宋体"/>
          <w:snapToGrid w:val="0"/>
          <w:color w:val="000000"/>
          <w:kern w:val="0"/>
          <w:sz w:val="31"/>
          <w:szCs w:val="31"/>
        </w:rPr>
      </w:pPr>
      <w:r>
        <w:rPr>
          <w:rFonts w:hint="eastAsia" w:ascii="宋体" w:hAnsi="宋体" w:eastAsia="宋体" w:cs="宋体"/>
          <w:snapToGrid w:val="0"/>
          <w:color w:val="000000"/>
          <w:spacing w:val="6"/>
          <w:kern w:val="0"/>
          <w:sz w:val="31"/>
          <w:szCs w:val="31"/>
        </w:rPr>
        <w:t>常年项目绩效分析。该类项目总数</w:t>
      </w:r>
      <w:r>
        <w:rPr>
          <w:rFonts w:hint="eastAsia" w:ascii="宋体" w:hAnsi="宋体" w:cs="宋体"/>
          <w:snapToGrid w:val="0"/>
          <w:color w:val="000000"/>
          <w:spacing w:val="-37"/>
          <w:kern w:val="0"/>
          <w:sz w:val="31"/>
          <w:szCs w:val="31"/>
          <w:lang w:val="en-US" w:eastAsia="zh-CN"/>
        </w:rPr>
        <w:t>8</w:t>
      </w:r>
      <w:r>
        <w:rPr>
          <w:rFonts w:hint="eastAsia" w:ascii="宋体" w:hAnsi="宋体" w:eastAsia="宋体" w:cs="宋体"/>
          <w:snapToGrid w:val="0"/>
          <w:color w:val="000000"/>
          <w:spacing w:val="6"/>
          <w:kern w:val="0"/>
          <w:sz w:val="31"/>
          <w:szCs w:val="31"/>
        </w:rPr>
        <w:t>个，涉及预算总金额</w:t>
      </w:r>
      <w:r>
        <w:rPr>
          <w:rFonts w:hint="eastAsia" w:ascii="宋体" w:hAnsi="宋体" w:eastAsia="宋体" w:cs="宋体"/>
          <w:snapToGrid w:val="0"/>
          <w:color w:val="000000"/>
          <w:kern w:val="0"/>
          <w:sz w:val="31"/>
          <w:szCs w:val="31"/>
        </w:rPr>
        <w:t xml:space="preserve"> </w:t>
      </w:r>
      <w:r>
        <w:rPr>
          <w:rFonts w:hint="eastAsia" w:ascii="宋体" w:hAnsi="宋体" w:cs="宋体"/>
          <w:snapToGrid w:val="0"/>
          <w:color w:val="000000"/>
          <w:spacing w:val="4"/>
          <w:kern w:val="0"/>
          <w:sz w:val="31"/>
          <w:szCs w:val="31"/>
          <w:lang w:val="en-US" w:eastAsia="zh-CN"/>
        </w:rPr>
        <w:t>408.98</w:t>
      </w:r>
      <w:r>
        <w:rPr>
          <w:rFonts w:hint="eastAsia" w:ascii="宋体" w:hAnsi="宋体" w:eastAsia="宋体" w:cs="宋体"/>
          <w:snapToGrid w:val="0"/>
          <w:color w:val="000000"/>
          <w:spacing w:val="4"/>
          <w:kern w:val="0"/>
          <w:sz w:val="31"/>
          <w:szCs w:val="31"/>
        </w:rPr>
        <w:t>万元，1—12</w:t>
      </w:r>
      <w:r>
        <w:rPr>
          <w:rFonts w:hint="eastAsia" w:ascii="宋体" w:hAnsi="宋体" w:eastAsia="宋体" w:cs="宋体"/>
          <w:snapToGrid w:val="0"/>
          <w:color w:val="000000"/>
          <w:spacing w:val="-48"/>
          <w:kern w:val="0"/>
          <w:sz w:val="31"/>
          <w:szCs w:val="31"/>
        </w:rPr>
        <w:t xml:space="preserve"> </w:t>
      </w:r>
      <w:r>
        <w:rPr>
          <w:rFonts w:hint="eastAsia" w:ascii="宋体" w:hAnsi="宋体" w:eastAsia="宋体" w:cs="宋体"/>
          <w:snapToGrid w:val="0"/>
          <w:color w:val="000000"/>
          <w:spacing w:val="4"/>
          <w:kern w:val="0"/>
          <w:sz w:val="31"/>
          <w:szCs w:val="31"/>
        </w:rPr>
        <w:t>月预算执行总体进度为</w:t>
      </w:r>
      <w:r>
        <w:rPr>
          <w:rFonts w:hint="eastAsia" w:ascii="宋体" w:hAnsi="宋体" w:cs="宋体"/>
          <w:snapToGrid w:val="0"/>
          <w:color w:val="000000"/>
          <w:spacing w:val="4"/>
          <w:kern w:val="0"/>
          <w:sz w:val="31"/>
          <w:szCs w:val="31"/>
          <w:lang w:val="en-US" w:eastAsia="zh-CN"/>
        </w:rPr>
        <w:t>75.73</w:t>
      </w:r>
      <w:r>
        <w:rPr>
          <w:rFonts w:hint="eastAsia" w:ascii="宋体" w:hAnsi="宋体" w:eastAsia="宋体" w:cs="宋体"/>
          <w:snapToGrid w:val="0"/>
          <w:color w:val="000000"/>
          <w:spacing w:val="3"/>
          <w:kern w:val="0"/>
          <w:sz w:val="31"/>
          <w:szCs w:val="31"/>
        </w:rPr>
        <w:t>%，其中：预算</w:t>
      </w:r>
      <w:r>
        <w:rPr>
          <w:rFonts w:hint="eastAsia" w:ascii="宋体" w:hAnsi="宋体" w:eastAsia="宋体" w:cs="宋体"/>
          <w:snapToGrid w:val="0"/>
          <w:color w:val="000000"/>
          <w:spacing w:val="1"/>
          <w:kern w:val="0"/>
          <w:sz w:val="31"/>
          <w:szCs w:val="31"/>
        </w:rPr>
        <w:t>结余率大于</w:t>
      </w:r>
      <w:r>
        <w:rPr>
          <w:rFonts w:hint="eastAsia" w:ascii="宋体" w:hAnsi="宋体" w:eastAsia="宋体" w:cs="宋体"/>
          <w:snapToGrid w:val="0"/>
          <w:color w:val="000000"/>
          <w:spacing w:val="-27"/>
          <w:kern w:val="0"/>
          <w:sz w:val="31"/>
          <w:szCs w:val="31"/>
        </w:rPr>
        <w:t xml:space="preserve"> </w:t>
      </w:r>
      <w:r>
        <w:rPr>
          <w:rFonts w:hint="eastAsia" w:ascii="宋体" w:hAnsi="宋体" w:eastAsia="宋体" w:cs="宋体"/>
          <w:snapToGrid w:val="0"/>
          <w:color w:val="000000"/>
          <w:spacing w:val="1"/>
          <w:kern w:val="0"/>
          <w:sz w:val="31"/>
          <w:szCs w:val="31"/>
        </w:rPr>
        <w:t>10%的项目共计</w:t>
      </w:r>
      <w:r>
        <w:rPr>
          <w:rFonts w:hint="eastAsia" w:ascii="宋体" w:hAnsi="宋体" w:eastAsia="宋体" w:cs="宋体"/>
          <w:snapToGrid w:val="0"/>
          <w:color w:val="000000"/>
          <w:spacing w:val="-49"/>
          <w:kern w:val="0"/>
          <w:sz w:val="31"/>
          <w:szCs w:val="31"/>
        </w:rPr>
        <w:t xml:space="preserve"> </w:t>
      </w:r>
      <w:r>
        <w:rPr>
          <w:rFonts w:hint="eastAsia" w:ascii="宋体" w:hAnsi="宋体" w:eastAsia="宋体" w:cs="宋体"/>
          <w:snapToGrid w:val="0"/>
          <w:color w:val="000000"/>
          <w:spacing w:val="1"/>
          <w:kern w:val="0"/>
          <w:sz w:val="31"/>
          <w:szCs w:val="31"/>
        </w:rPr>
        <w:t>5个。</w:t>
      </w:r>
    </w:p>
    <w:p>
      <w:pPr>
        <w:widowControl/>
        <w:suppressAutoHyphens w:val="0"/>
        <w:kinsoku w:val="0"/>
        <w:autoSpaceDE w:val="0"/>
        <w:autoSpaceDN w:val="0"/>
        <w:adjustRightInd w:val="0"/>
        <w:snapToGrid w:val="0"/>
        <w:spacing w:before="56" w:line="332" w:lineRule="auto"/>
        <w:ind w:left="13" w:right="84" w:firstLine="663"/>
        <w:textAlignment w:val="baseline"/>
        <w:rPr>
          <w:rFonts w:hint="eastAsia" w:ascii="宋体" w:hAnsi="宋体" w:eastAsia="宋体" w:cs="宋体"/>
          <w:snapToGrid w:val="0"/>
          <w:color w:val="000000"/>
          <w:kern w:val="0"/>
          <w:szCs w:val="21"/>
        </w:rPr>
      </w:pPr>
      <w:r>
        <w:rPr>
          <w:rFonts w:hint="eastAsia" w:ascii="宋体" w:hAnsi="宋体" w:eastAsia="宋体" w:cs="宋体"/>
          <w:snapToGrid w:val="0"/>
          <w:color w:val="000000"/>
          <w:spacing w:val="7"/>
          <w:kern w:val="0"/>
          <w:sz w:val="31"/>
          <w:szCs w:val="31"/>
        </w:rPr>
        <w:t>阶段（一次性）项目绩效分析。该类项目总数</w:t>
      </w:r>
      <w:r>
        <w:rPr>
          <w:rFonts w:hint="eastAsia" w:ascii="宋体" w:hAnsi="宋体" w:cs="宋体"/>
          <w:snapToGrid w:val="0"/>
          <w:color w:val="000000"/>
          <w:spacing w:val="7"/>
          <w:kern w:val="0"/>
          <w:sz w:val="31"/>
          <w:szCs w:val="31"/>
          <w:lang w:val="en-US" w:eastAsia="zh-CN"/>
        </w:rPr>
        <w:t>2</w:t>
      </w:r>
      <w:r>
        <w:rPr>
          <w:rFonts w:hint="eastAsia" w:ascii="宋体" w:hAnsi="宋体" w:eastAsia="宋体" w:cs="宋体"/>
          <w:snapToGrid w:val="0"/>
          <w:color w:val="000000"/>
          <w:spacing w:val="7"/>
          <w:kern w:val="0"/>
          <w:sz w:val="31"/>
          <w:szCs w:val="31"/>
        </w:rPr>
        <w:t>个，涉及</w:t>
      </w:r>
      <w:r>
        <w:rPr>
          <w:rFonts w:hint="eastAsia" w:ascii="宋体" w:hAnsi="宋体" w:eastAsia="宋体" w:cs="宋体"/>
          <w:snapToGrid w:val="0"/>
          <w:color w:val="000000"/>
          <w:kern w:val="0"/>
          <w:sz w:val="31"/>
          <w:szCs w:val="31"/>
        </w:rPr>
        <w:t xml:space="preserve"> </w:t>
      </w:r>
      <w:r>
        <w:rPr>
          <w:rFonts w:hint="eastAsia" w:ascii="宋体" w:hAnsi="宋体" w:eastAsia="宋体" w:cs="宋体"/>
          <w:snapToGrid w:val="0"/>
          <w:color w:val="000000"/>
          <w:spacing w:val="-7"/>
          <w:kern w:val="0"/>
          <w:sz w:val="31"/>
          <w:szCs w:val="31"/>
        </w:rPr>
        <w:t>预算总金额</w:t>
      </w:r>
      <w:r>
        <w:rPr>
          <w:rFonts w:hint="eastAsia" w:ascii="宋体" w:hAnsi="宋体" w:eastAsia="宋体" w:cs="宋体"/>
          <w:snapToGrid w:val="0"/>
          <w:color w:val="000000"/>
          <w:spacing w:val="-41"/>
          <w:kern w:val="0"/>
          <w:sz w:val="31"/>
          <w:szCs w:val="31"/>
        </w:rPr>
        <w:t xml:space="preserve"> </w:t>
      </w:r>
      <w:r>
        <w:rPr>
          <w:rFonts w:hint="eastAsia" w:ascii="宋体" w:hAnsi="宋体" w:cs="宋体"/>
          <w:snapToGrid w:val="0"/>
          <w:color w:val="000000"/>
          <w:spacing w:val="-7"/>
          <w:kern w:val="0"/>
          <w:sz w:val="31"/>
          <w:szCs w:val="31"/>
          <w:lang w:val="en-US" w:eastAsia="zh-CN"/>
        </w:rPr>
        <w:t>25.05</w:t>
      </w:r>
      <w:r>
        <w:rPr>
          <w:rFonts w:hint="eastAsia" w:ascii="宋体" w:hAnsi="宋体" w:eastAsia="宋体" w:cs="宋体"/>
          <w:snapToGrid w:val="0"/>
          <w:color w:val="000000"/>
          <w:spacing w:val="-7"/>
          <w:kern w:val="0"/>
          <w:sz w:val="31"/>
          <w:szCs w:val="31"/>
        </w:rPr>
        <w:t>万元，1—12</w:t>
      </w:r>
      <w:r>
        <w:rPr>
          <w:rFonts w:hint="eastAsia" w:ascii="宋体" w:hAnsi="宋体" w:eastAsia="宋体" w:cs="宋体"/>
          <w:snapToGrid w:val="0"/>
          <w:color w:val="000000"/>
          <w:spacing w:val="-48"/>
          <w:kern w:val="0"/>
          <w:sz w:val="31"/>
          <w:szCs w:val="31"/>
        </w:rPr>
        <w:t xml:space="preserve"> </w:t>
      </w:r>
      <w:r>
        <w:rPr>
          <w:rFonts w:hint="eastAsia" w:ascii="宋体" w:hAnsi="宋体" w:eastAsia="宋体" w:cs="宋体"/>
          <w:snapToGrid w:val="0"/>
          <w:color w:val="000000"/>
          <w:spacing w:val="-7"/>
          <w:kern w:val="0"/>
          <w:sz w:val="31"/>
          <w:szCs w:val="31"/>
        </w:rPr>
        <w:t>月预算执行总体进度为</w:t>
      </w:r>
      <w:r>
        <w:rPr>
          <w:rFonts w:hint="eastAsia" w:ascii="宋体" w:hAnsi="宋体" w:eastAsia="宋体" w:cs="宋体"/>
          <w:snapToGrid w:val="0"/>
          <w:color w:val="000000"/>
          <w:spacing w:val="-46"/>
          <w:kern w:val="0"/>
          <w:sz w:val="31"/>
          <w:szCs w:val="31"/>
        </w:rPr>
        <w:t xml:space="preserve"> </w:t>
      </w:r>
      <w:r>
        <w:rPr>
          <w:rFonts w:hint="eastAsia" w:ascii="宋体" w:hAnsi="宋体" w:eastAsia="宋体" w:cs="宋体"/>
          <w:snapToGrid w:val="0"/>
          <w:color w:val="000000"/>
          <w:spacing w:val="-7"/>
          <w:kern w:val="0"/>
          <w:sz w:val="31"/>
          <w:szCs w:val="31"/>
        </w:rPr>
        <w:t>100%，其中：</w:t>
      </w:r>
      <w:r>
        <w:rPr>
          <w:rFonts w:hint="eastAsia" w:ascii="宋体" w:hAnsi="宋体" w:eastAsia="宋体" w:cs="宋体"/>
          <w:snapToGrid w:val="0"/>
          <w:color w:val="000000"/>
          <w:kern w:val="0"/>
          <w:sz w:val="31"/>
          <w:szCs w:val="31"/>
        </w:rPr>
        <w:t xml:space="preserve"> </w:t>
      </w:r>
      <w:r>
        <w:rPr>
          <w:rFonts w:hint="eastAsia" w:ascii="宋体" w:hAnsi="宋体" w:eastAsia="宋体" w:cs="宋体"/>
          <w:snapToGrid w:val="0"/>
          <w:color w:val="000000"/>
          <w:spacing w:val="2"/>
          <w:kern w:val="0"/>
          <w:sz w:val="31"/>
          <w:szCs w:val="31"/>
        </w:rPr>
        <w:t>预算结余率大于</w:t>
      </w:r>
      <w:r>
        <w:rPr>
          <w:rFonts w:hint="eastAsia" w:ascii="宋体" w:hAnsi="宋体" w:eastAsia="宋体" w:cs="宋体"/>
          <w:snapToGrid w:val="0"/>
          <w:color w:val="000000"/>
          <w:spacing w:val="-37"/>
          <w:kern w:val="0"/>
          <w:sz w:val="31"/>
          <w:szCs w:val="31"/>
        </w:rPr>
        <w:t xml:space="preserve"> </w:t>
      </w:r>
      <w:r>
        <w:rPr>
          <w:rFonts w:hint="eastAsia" w:ascii="宋体" w:hAnsi="宋体" w:eastAsia="宋体" w:cs="宋体"/>
          <w:snapToGrid w:val="0"/>
          <w:color w:val="000000"/>
          <w:spacing w:val="2"/>
          <w:kern w:val="0"/>
          <w:sz w:val="31"/>
          <w:szCs w:val="31"/>
        </w:rPr>
        <w:t>10%的项目共计0个。</w:t>
      </w:r>
    </w:p>
    <w:p>
      <w:pPr>
        <w:widowControl/>
        <w:suppressAutoHyphens w:val="0"/>
        <w:kinsoku w:val="0"/>
        <w:autoSpaceDE w:val="0"/>
        <w:autoSpaceDN w:val="0"/>
        <w:adjustRightInd w:val="0"/>
        <w:snapToGrid w:val="0"/>
        <w:spacing w:before="101" w:line="220" w:lineRule="auto"/>
        <w:ind w:left="663"/>
        <w:jc w:val="left"/>
        <w:textAlignment w:val="baseline"/>
        <w:rPr>
          <w:rFonts w:hint="eastAsia" w:ascii="宋体" w:hAnsi="宋体" w:eastAsia="宋体" w:cs="宋体"/>
          <w:b/>
          <w:bCs/>
          <w:snapToGrid w:val="0"/>
          <w:color w:val="000000"/>
          <w:kern w:val="0"/>
          <w:sz w:val="36"/>
          <w:szCs w:val="36"/>
        </w:rPr>
      </w:pPr>
      <w:r>
        <w:rPr>
          <w:rFonts w:hint="eastAsia" w:ascii="宋体" w:hAnsi="宋体" w:eastAsia="宋体" w:cs="宋体"/>
          <w:b/>
          <w:bCs/>
          <w:snapToGrid w:val="0"/>
          <w:color w:val="000000"/>
          <w:spacing w:val="2"/>
          <w:kern w:val="0"/>
          <w:sz w:val="36"/>
          <w:szCs w:val="36"/>
        </w:rPr>
        <w:t>1.项目决策。</w:t>
      </w:r>
    </w:p>
    <w:p>
      <w:pPr>
        <w:widowControl/>
        <w:suppressAutoHyphens w:val="0"/>
        <w:kinsoku w:val="0"/>
        <w:autoSpaceDE w:val="0"/>
        <w:autoSpaceDN w:val="0"/>
        <w:adjustRightInd w:val="0"/>
        <w:snapToGrid w:val="0"/>
        <w:spacing w:before="203" w:line="337" w:lineRule="auto"/>
        <w:ind w:firstLine="653"/>
        <w:jc w:val="left"/>
        <w:textAlignment w:val="baseline"/>
        <w:rPr>
          <w:rFonts w:ascii="宋体" w:hAnsi="宋体" w:cs="仿宋_GB2312"/>
          <w:snapToGrid w:val="0"/>
          <w:color w:val="000000"/>
          <w:spacing w:val="8"/>
          <w:kern w:val="0"/>
          <w:sz w:val="31"/>
          <w:szCs w:val="31"/>
        </w:rPr>
      </w:pPr>
      <w:r>
        <w:rPr>
          <w:rFonts w:ascii="宋体" w:hAnsi="宋体" w:cs="仿宋_GB2312"/>
          <w:snapToGrid w:val="0"/>
          <w:color w:val="000000"/>
          <w:spacing w:val="4"/>
          <w:kern w:val="0"/>
          <w:sz w:val="31"/>
          <w:szCs w:val="31"/>
        </w:rPr>
        <w:t>为了有效的进行部门绩效评价，保证部门绩效目标的要素完</w:t>
      </w:r>
      <w:r>
        <w:rPr>
          <w:rFonts w:ascii="宋体" w:hAnsi="宋体" w:cs="仿宋_GB2312"/>
          <w:snapToGrid w:val="0"/>
          <w:color w:val="000000"/>
          <w:spacing w:val="5"/>
          <w:kern w:val="0"/>
          <w:sz w:val="31"/>
          <w:szCs w:val="31"/>
        </w:rPr>
        <w:t>整、细化量化，对绩效目标制定了一级指标和二级指标。一级指标分为成本指标、产出指标、效益指标、满意度指标。二级指标又为一级指标的细化指标，其中产出指标分为数量指标、质量指</w:t>
      </w:r>
      <w:r>
        <w:rPr>
          <w:rFonts w:ascii="宋体" w:hAnsi="宋体" w:cs="仿宋_GB2312"/>
          <w:snapToGrid w:val="0"/>
          <w:color w:val="000000"/>
          <w:spacing w:val="8"/>
          <w:kern w:val="0"/>
          <w:sz w:val="31"/>
          <w:szCs w:val="31"/>
        </w:rPr>
        <w:t>标、时效指标、成本指标。</w:t>
      </w:r>
    </w:p>
    <w:p>
      <w:pPr>
        <w:pStyle w:val="2"/>
      </w:pPr>
    </w:p>
    <w:p>
      <w:pPr>
        <w:widowControl/>
        <w:numPr>
          <w:ilvl w:val="0"/>
          <w:numId w:val="7"/>
        </w:numPr>
        <w:suppressAutoHyphens w:val="0"/>
        <w:kinsoku w:val="0"/>
        <w:autoSpaceDE w:val="0"/>
        <w:autoSpaceDN w:val="0"/>
        <w:adjustRightInd w:val="0"/>
        <w:snapToGrid w:val="0"/>
        <w:spacing w:before="53" w:line="226" w:lineRule="auto"/>
        <w:ind w:left="655"/>
        <w:jc w:val="left"/>
        <w:textAlignment w:val="baseline"/>
        <w:rPr>
          <w:rFonts w:ascii="宋体" w:hAnsi="宋体" w:cs="楷体_GB2312"/>
          <w:b/>
          <w:bCs/>
          <w:snapToGrid w:val="0"/>
          <w:color w:val="000000"/>
          <w:spacing w:val="3"/>
          <w:kern w:val="0"/>
          <w:sz w:val="36"/>
          <w:szCs w:val="36"/>
        </w:rPr>
      </w:pPr>
      <w:r>
        <w:rPr>
          <w:rFonts w:ascii="宋体" w:hAnsi="宋体" w:cs="楷体_GB2312"/>
          <w:b/>
          <w:bCs/>
          <w:snapToGrid w:val="0"/>
          <w:color w:val="000000"/>
          <w:spacing w:val="3"/>
          <w:kern w:val="0"/>
          <w:sz w:val="36"/>
          <w:szCs w:val="36"/>
        </w:rPr>
        <w:t>项目执行。</w:t>
      </w:r>
    </w:p>
    <w:p>
      <w:pPr>
        <w:widowControl/>
        <w:numPr>
          <w:ilvl w:val="0"/>
          <w:numId w:val="0"/>
        </w:numPr>
        <w:suppressAutoHyphens w:val="0"/>
        <w:kinsoku w:val="0"/>
        <w:autoSpaceDE w:val="0"/>
        <w:autoSpaceDN w:val="0"/>
        <w:adjustRightInd w:val="0"/>
        <w:snapToGrid w:val="0"/>
        <w:spacing w:before="53" w:line="226" w:lineRule="auto"/>
        <w:ind w:firstLine="668" w:firstLineChars="200"/>
        <w:jc w:val="left"/>
        <w:textAlignment w:val="baseline"/>
        <w:rPr>
          <w:rFonts w:ascii="宋体" w:hAnsi="宋体" w:cs="仿宋_GB2312"/>
          <w:snapToGrid w:val="0"/>
          <w:color w:val="000000"/>
          <w:spacing w:val="8"/>
          <w:kern w:val="0"/>
          <w:sz w:val="31"/>
          <w:szCs w:val="31"/>
        </w:rPr>
      </w:pPr>
      <w:r>
        <w:rPr>
          <w:rFonts w:ascii="宋体" w:hAnsi="宋体" w:cs="仿宋_GB2312"/>
          <w:snapToGrid w:val="0"/>
          <w:color w:val="000000"/>
          <w:spacing w:val="12"/>
          <w:kern w:val="0"/>
          <w:sz w:val="31"/>
          <w:szCs w:val="31"/>
        </w:rPr>
        <w:t>及时报送，202</w:t>
      </w:r>
      <w:r>
        <w:rPr>
          <w:rFonts w:hint="eastAsia" w:ascii="宋体" w:hAnsi="宋体" w:cs="仿宋_GB2312"/>
          <w:snapToGrid w:val="0"/>
          <w:color w:val="000000"/>
          <w:spacing w:val="12"/>
          <w:kern w:val="0"/>
          <w:sz w:val="31"/>
          <w:szCs w:val="31"/>
          <w:lang w:val="en-US" w:eastAsia="zh-CN"/>
        </w:rPr>
        <w:t>4</w:t>
      </w:r>
      <w:r>
        <w:rPr>
          <w:rFonts w:ascii="宋体" w:hAnsi="宋体" w:cs="仿宋_GB2312"/>
          <w:snapToGrid w:val="0"/>
          <w:color w:val="000000"/>
          <w:spacing w:val="12"/>
          <w:kern w:val="0"/>
          <w:sz w:val="31"/>
          <w:szCs w:val="31"/>
        </w:rPr>
        <w:t>年严格按照</w:t>
      </w:r>
      <w:r>
        <w:rPr>
          <w:rFonts w:hint="eastAsia" w:ascii="宋体" w:hAnsi="宋体" w:cs="仿宋_GB2312"/>
          <w:snapToGrid w:val="0"/>
          <w:color w:val="000000"/>
          <w:spacing w:val="12"/>
          <w:kern w:val="0"/>
          <w:sz w:val="31"/>
          <w:szCs w:val="31"/>
        </w:rPr>
        <w:t>区</w:t>
      </w:r>
      <w:r>
        <w:rPr>
          <w:rFonts w:ascii="宋体" w:hAnsi="宋体" w:cs="仿宋_GB2312"/>
          <w:snapToGrid w:val="0"/>
          <w:color w:val="000000"/>
          <w:spacing w:val="12"/>
          <w:kern w:val="0"/>
          <w:sz w:val="31"/>
          <w:szCs w:val="31"/>
        </w:rPr>
        <w:t>级部门预算编制通知和有关</w:t>
      </w:r>
      <w:r>
        <w:rPr>
          <w:rFonts w:ascii="宋体" w:hAnsi="宋体" w:cs="仿宋_GB2312"/>
          <w:snapToGrid w:val="0"/>
          <w:color w:val="000000"/>
          <w:kern w:val="0"/>
          <w:sz w:val="31"/>
          <w:szCs w:val="31"/>
        </w:rPr>
        <w:t xml:space="preserve"> </w:t>
      </w:r>
      <w:r>
        <w:rPr>
          <w:rFonts w:ascii="宋体" w:hAnsi="宋体" w:cs="仿宋_GB2312"/>
          <w:snapToGrid w:val="0"/>
          <w:color w:val="000000"/>
          <w:spacing w:val="5"/>
          <w:kern w:val="0"/>
          <w:sz w:val="31"/>
          <w:szCs w:val="31"/>
        </w:rPr>
        <w:t>要求，按时完成年初预算基础库、项目库的报送工作，及时向财</w:t>
      </w:r>
      <w:r>
        <w:rPr>
          <w:rFonts w:ascii="宋体" w:hAnsi="宋体" w:cs="仿宋_GB2312"/>
          <w:snapToGrid w:val="0"/>
          <w:color w:val="000000"/>
          <w:spacing w:val="8"/>
          <w:kern w:val="0"/>
          <w:sz w:val="31"/>
          <w:szCs w:val="31"/>
        </w:rPr>
        <w:t>政提交部门</w:t>
      </w:r>
    </w:p>
    <w:p>
      <w:pPr>
        <w:widowControl/>
        <w:numPr>
          <w:ilvl w:val="0"/>
          <w:numId w:val="0"/>
        </w:numPr>
        <w:suppressAutoHyphens w:val="0"/>
        <w:kinsoku w:val="0"/>
        <w:autoSpaceDE w:val="0"/>
        <w:autoSpaceDN w:val="0"/>
        <w:adjustRightInd w:val="0"/>
        <w:snapToGrid w:val="0"/>
        <w:spacing w:before="53" w:line="226" w:lineRule="auto"/>
        <w:ind w:firstLine="652" w:firstLineChars="200"/>
        <w:jc w:val="left"/>
        <w:textAlignment w:val="baseline"/>
        <w:rPr>
          <w:rFonts w:ascii="宋体" w:hAnsi="宋体" w:cs="仿宋_GB2312"/>
          <w:snapToGrid w:val="0"/>
          <w:color w:val="000000"/>
          <w:spacing w:val="8"/>
          <w:kern w:val="0"/>
          <w:sz w:val="31"/>
          <w:szCs w:val="31"/>
        </w:rPr>
      </w:pPr>
    </w:p>
    <w:p>
      <w:pPr>
        <w:widowControl/>
        <w:numPr>
          <w:ilvl w:val="0"/>
          <w:numId w:val="0"/>
        </w:numPr>
        <w:suppressAutoHyphens w:val="0"/>
        <w:kinsoku w:val="0"/>
        <w:autoSpaceDE w:val="0"/>
        <w:autoSpaceDN w:val="0"/>
        <w:adjustRightInd w:val="0"/>
        <w:snapToGrid w:val="0"/>
        <w:spacing w:before="53" w:line="226" w:lineRule="auto"/>
        <w:ind w:firstLine="652" w:firstLineChars="200"/>
        <w:jc w:val="left"/>
        <w:textAlignment w:val="baseline"/>
        <w:rPr>
          <w:rFonts w:ascii="宋体" w:hAnsi="宋体" w:cs="仿宋_GB2312"/>
          <w:snapToGrid w:val="0"/>
          <w:color w:val="000000"/>
          <w:spacing w:val="8"/>
          <w:kern w:val="0"/>
          <w:sz w:val="31"/>
          <w:szCs w:val="31"/>
        </w:rPr>
      </w:pPr>
    </w:p>
    <w:p>
      <w:pPr>
        <w:widowControl/>
        <w:numPr>
          <w:ilvl w:val="0"/>
          <w:numId w:val="0"/>
        </w:numPr>
        <w:suppressAutoHyphens w:val="0"/>
        <w:kinsoku w:val="0"/>
        <w:autoSpaceDE w:val="0"/>
        <w:autoSpaceDN w:val="0"/>
        <w:adjustRightInd w:val="0"/>
        <w:snapToGrid w:val="0"/>
        <w:spacing w:before="53" w:line="226" w:lineRule="auto"/>
        <w:ind w:left="617" w:leftChars="294" w:firstLine="0" w:firstLineChars="0"/>
        <w:jc w:val="left"/>
        <w:textAlignment w:val="baseline"/>
        <w:rPr>
          <w:rFonts w:hint="eastAsia" w:ascii="宋体" w:hAnsi="宋体" w:cs="仿宋_GB2312"/>
          <w:snapToGrid w:val="0"/>
          <w:color w:val="000000"/>
          <w:kern w:val="0"/>
          <w:sz w:val="31"/>
          <w:szCs w:val="31"/>
        </w:rPr>
      </w:pPr>
      <w:r>
        <w:rPr>
          <w:rFonts w:ascii="宋体" w:hAnsi="宋体" w:cs="仿宋_GB2312"/>
          <w:snapToGrid w:val="0"/>
          <w:color w:val="000000"/>
          <w:spacing w:val="8"/>
          <w:kern w:val="0"/>
          <w:sz w:val="31"/>
          <w:szCs w:val="31"/>
        </w:rPr>
        <w:t>预算草案。注重编制质量。在</w:t>
      </w:r>
      <w:r>
        <w:rPr>
          <w:rFonts w:ascii="宋体" w:hAnsi="宋体" w:cs="仿宋_GB2312"/>
          <w:snapToGrid w:val="0"/>
          <w:color w:val="000000"/>
          <w:spacing w:val="-33"/>
          <w:kern w:val="0"/>
          <w:sz w:val="31"/>
          <w:szCs w:val="31"/>
        </w:rPr>
        <w:t xml:space="preserve"> </w:t>
      </w:r>
      <w:r>
        <w:rPr>
          <w:rFonts w:ascii="宋体" w:hAnsi="宋体" w:cs="仿宋_GB2312"/>
          <w:snapToGrid w:val="0"/>
          <w:color w:val="000000"/>
          <w:spacing w:val="8"/>
          <w:kern w:val="0"/>
          <w:sz w:val="31"/>
          <w:szCs w:val="31"/>
        </w:rPr>
        <w:t>202</w:t>
      </w:r>
      <w:r>
        <w:rPr>
          <w:rFonts w:hint="eastAsia" w:ascii="宋体" w:hAnsi="宋体" w:cs="仿宋_GB2312"/>
          <w:snapToGrid w:val="0"/>
          <w:color w:val="000000"/>
          <w:spacing w:val="8"/>
          <w:kern w:val="0"/>
          <w:sz w:val="31"/>
          <w:szCs w:val="31"/>
          <w:lang w:val="en-US" w:eastAsia="zh-CN"/>
        </w:rPr>
        <w:t>4</w:t>
      </w:r>
      <w:r>
        <w:rPr>
          <w:rFonts w:ascii="宋体" w:hAnsi="宋体" w:cs="仿宋_GB2312"/>
          <w:snapToGrid w:val="0"/>
          <w:color w:val="000000"/>
          <w:spacing w:val="8"/>
          <w:kern w:val="0"/>
          <w:sz w:val="31"/>
          <w:szCs w:val="31"/>
        </w:rPr>
        <w:t>年预算编制方面</w:t>
      </w:r>
      <w:r>
        <w:rPr>
          <w:rFonts w:ascii="宋体" w:hAnsi="宋体" w:cs="仿宋_GB2312"/>
          <w:snapToGrid w:val="0"/>
          <w:color w:val="000000"/>
          <w:spacing w:val="5"/>
          <w:kern w:val="0"/>
          <w:sz w:val="31"/>
          <w:szCs w:val="31"/>
        </w:rPr>
        <w:t>强化预算编制的准确性，年度执行过程中无绩效监控调整取消和预算结余注销。</w:t>
      </w:r>
    </w:p>
    <w:p>
      <w:pPr>
        <w:widowControl/>
        <w:suppressAutoHyphens w:val="0"/>
        <w:kinsoku w:val="0"/>
        <w:autoSpaceDE w:val="0"/>
        <w:autoSpaceDN w:val="0"/>
        <w:adjustRightInd w:val="0"/>
        <w:snapToGrid w:val="0"/>
        <w:spacing w:before="57" w:line="224" w:lineRule="auto"/>
        <w:ind w:left="668"/>
        <w:jc w:val="left"/>
        <w:textAlignment w:val="baseline"/>
        <w:rPr>
          <w:rFonts w:ascii="宋体" w:hAnsi="宋体" w:cs="楷体_GB2312"/>
          <w:b/>
          <w:bCs/>
          <w:snapToGrid w:val="0"/>
          <w:color w:val="000000"/>
          <w:kern w:val="0"/>
          <w:sz w:val="36"/>
          <w:szCs w:val="36"/>
        </w:rPr>
      </w:pPr>
      <w:r>
        <w:rPr>
          <w:rFonts w:ascii="宋体" w:hAnsi="宋体" w:cs="楷体_GB2312"/>
          <w:b/>
          <w:bCs/>
          <w:snapToGrid w:val="0"/>
          <w:color w:val="000000"/>
          <w:spacing w:val="-9"/>
          <w:kern w:val="0"/>
          <w:sz w:val="36"/>
          <w:szCs w:val="36"/>
        </w:rPr>
        <w:t>3.</w:t>
      </w:r>
      <w:r>
        <w:rPr>
          <w:rFonts w:ascii="宋体" w:hAnsi="宋体" w:cs="楷体_GB2312"/>
          <w:b/>
          <w:bCs/>
          <w:snapToGrid w:val="0"/>
          <w:color w:val="000000"/>
          <w:spacing w:val="-83"/>
          <w:kern w:val="0"/>
          <w:sz w:val="36"/>
          <w:szCs w:val="36"/>
        </w:rPr>
        <w:t xml:space="preserve"> </w:t>
      </w:r>
      <w:r>
        <w:rPr>
          <w:rFonts w:ascii="宋体" w:hAnsi="宋体" w:cs="楷体_GB2312"/>
          <w:b/>
          <w:bCs/>
          <w:snapToGrid w:val="0"/>
          <w:color w:val="000000"/>
          <w:spacing w:val="-9"/>
          <w:kern w:val="0"/>
          <w:sz w:val="36"/>
          <w:szCs w:val="36"/>
        </w:rPr>
        <w:t>目标实现。</w:t>
      </w:r>
    </w:p>
    <w:p>
      <w:pPr>
        <w:widowControl/>
        <w:suppressAutoHyphens w:val="0"/>
        <w:kinsoku w:val="0"/>
        <w:autoSpaceDE w:val="0"/>
        <w:autoSpaceDN w:val="0"/>
        <w:adjustRightInd w:val="0"/>
        <w:snapToGrid w:val="0"/>
        <w:spacing w:before="198" w:line="335" w:lineRule="auto"/>
        <w:ind w:left="2" w:firstLine="653"/>
        <w:jc w:val="left"/>
        <w:textAlignment w:val="baseline"/>
        <w:rPr>
          <w:rFonts w:hint="eastAsia" w:ascii="宋体" w:hAnsi="宋体" w:cs="仿宋_GB2312"/>
          <w:snapToGrid w:val="0"/>
          <w:color w:val="000000"/>
          <w:kern w:val="0"/>
          <w:sz w:val="31"/>
          <w:szCs w:val="31"/>
        </w:rPr>
      </w:pPr>
      <w:r>
        <w:rPr>
          <w:rFonts w:ascii="宋体" w:hAnsi="宋体" w:cs="仿宋_GB2312"/>
          <w:snapToGrid w:val="0"/>
          <w:color w:val="000000"/>
          <w:spacing w:val="12"/>
          <w:kern w:val="0"/>
          <w:sz w:val="31"/>
          <w:szCs w:val="31"/>
        </w:rPr>
        <w:t>202</w:t>
      </w:r>
      <w:r>
        <w:rPr>
          <w:rFonts w:hint="eastAsia" w:ascii="宋体" w:hAnsi="宋体" w:cs="仿宋_GB2312"/>
          <w:snapToGrid w:val="0"/>
          <w:color w:val="000000"/>
          <w:spacing w:val="12"/>
          <w:kern w:val="0"/>
          <w:sz w:val="31"/>
          <w:szCs w:val="31"/>
          <w:lang w:val="en-US" w:eastAsia="zh-CN"/>
        </w:rPr>
        <w:t>4</w:t>
      </w:r>
      <w:r>
        <w:rPr>
          <w:rFonts w:ascii="宋体" w:hAnsi="宋体" w:cs="仿宋_GB2312"/>
          <w:snapToGrid w:val="0"/>
          <w:color w:val="000000"/>
          <w:spacing w:val="-52"/>
          <w:kern w:val="0"/>
          <w:sz w:val="31"/>
          <w:szCs w:val="31"/>
        </w:rPr>
        <w:t xml:space="preserve"> </w:t>
      </w:r>
      <w:r>
        <w:rPr>
          <w:rFonts w:ascii="宋体" w:hAnsi="宋体" w:cs="仿宋_GB2312"/>
          <w:snapToGrid w:val="0"/>
          <w:color w:val="000000"/>
          <w:spacing w:val="12"/>
          <w:kern w:val="0"/>
          <w:sz w:val="31"/>
          <w:szCs w:val="31"/>
        </w:rPr>
        <w:t>年，我局对部门预算编制情况、执行管理情况、支出</w:t>
      </w:r>
      <w:r>
        <w:rPr>
          <w:rFonts w:ascii="宋体" w:hAnsi="宋体" w:cs="仿宋_GB2312"/>
          <w:snapToGrid w:val="0"/>
          <w:color w:val="000000"/>
          <w:spacing w:val="5"/>
          <w:kern w:val="0"/>
          <w:sz w:val="31"/>
          <w:szCs w:val="31"/>
        </w:rPr>
        <w:t>绩效情况、财务管理情况、绩效管理工作开展情况认真进行了自查自评。绩效评价自查及重点支出，将评价结果作为预算安排的</w:t>
      </w:r>
      <w:r>
        <w:rPr>
          <w:rFonts w:ascii="宋体" w:hAnsi="宋体" w:cs="仿宋_GB2312"/>
          <w:snapToGrid w:val="0"/>
          <w:color w:val="000000"/>
          <w:spacing w:val="9"/>
          <w:kern w:val="0"/>
          <w:sz w:val="31"/>
          <w:szCs w:val="31"/>
        </w:rPr>
        <w:t>重要依据，不断强化绩效理念，推动部门绩效管理水平提升。</w:t>
      </w:r>
    </w:p>
    <w:p>
      <w:pPr>
        <w:widowControl/>
        <w:suppressAutoHyphens w:val="0"/>
        <w:kinsoku w:val="0"/>
        <w:autoSpaceDE w:val="0"/>
        <w:autoSpaceDN w:val="0"/>
        <w:adjustRightInd w:val="0"/>
        <w:snapToGrid w:val="0"/>
        <w:spacing w:before="56" w:line="221" w:lineRule="auto"/>
        <w:ind w:left="635"/>
        <w:jc w:val="left"/>
        <w:textAlignment w:val="baseline"/>
        <w:rPr>
          <w:rFonts w:ascii="宋体" w:hAnsi="宋体" w:cs="楷体_GB2312"/>
          <w:snapToGrid w:val="0"/>
          <w:color w:val="000000"/>
          <w:kern w:val="0"/>
          <w:sz w:val="36"/>
          <w:szCs w:val="36"/>
        </w:rPr>
      </w:pPr>
      <w:r>
        <w:rPr>
          <w:rFonts w:ascii="宋体" w:hAnsi="宋体" w:cs="楷体_GB2312"/>
          <w:b/>
          <w:bCs/>
          <w:snapToGrid w:val="0"/>
          <w:color w:val="000000"/>
          <w:spacing w:val="6"/>
          <w:kern w:val="0"/>
          <w:sz w:val="36"/>
          <w:szCs w:val="36"/>
        </w:rPr>
        <w:t>（三）重点领域绩效分析。</w:t>
      </w:r>
    </w:p>
    <w:p>
      <w:pPr>
        <w:widowControl/>
        <w:suppressAutoHyphens w:val="0"/>
        <w:kinsoku w:val="0"/>
        <w:autoSpaceDE w:val="0"/>
        <w:autoSpaceDN w:val="0"/>
        <w:adjustRightInd w:val="0"/>
        <w:snapToGrid w:val="0"/>
        <w:spacing w:before="205" w:line="326" w:lineRule="auto"/>
        <w:ind w:left="12" w:right="2" w:firstLine="643"/>
        <w:jc w:val="left"/>
        <w:textAlignment w:val="baseline"/>
        <w:rPr>
          <w:rFonts w:hint="eastAsia" w:ascii="宋体" w:hAnsi="宋体" w:cs="仿宋_GB2312"/>
          <w:snapToGrid w:val="0"/>
          <w:color w:val="000000"/>
          <w:kern w:val="0"/>
          <w:sz w:val="31"/>
          <w:szCs w:val="31"/>
        </w:rPr>
      </w:pPr>
      <w:r>
        <w:rPr>
          <w:rFonts w:ascii="宋体" w:hAnsi="宋体" w:cs="仿宋_GB2312"/>
          <w:snapToGrid w:val="0"/>
          <w:color w:val="000000"/>
          <w:spacing w:val="12"/>
          <w:kern w:val="0"/>
          <w:sz w:val="31"/>
          <w:szCs w:val="31"/>
        </w:rPr>
        <w:t>202</w:t>
      </w:r>
      <w:r>
        <w:rPr>
          <w:rFonts w:hint="eastAsia" w:ascii="宋体" w:hAnsi="宋体" w:cs="仿宋_GB2312"/>
          <w:snapToGrid w:val="0"/>
          <w:color w:val="000000"/>
          <w:spacing w:val="12"/>
          <w:kern w:val="0"/>
          <w:sz w:val="31"/>
          <w:szCs w:val="31"/>
          <w:lang w:val="en-US" w:eastAsia="zh-CN"/>
        </w:rPr>
        <w:t>4</w:t>
      </w:r>
      <w:r>
        <w:rPr>
          <w:rFonts w:ascii="宋体" w:hAnsi="宋体" w:cs="仿宋_GB2312"/>
          <w:snapToGrid w:val="0"/>
          <w:color w:val="000000"/>
          <w:spacing w:val="-52"/>
          <w:kern w:val="0"/>
          <w:sz w:val="31"/>
          <w:szCs w:val="31"/>
        </w:rPr>
        <w:t xml:space="preserve"> </w:t>
      </w:r>
      <w:r>
        <w:rPr>
          <w:rFonts w:ascii="宋体" w:hAnsi="宋体" w:cs="仿宋_GB2312"/>
          <w:snapToGrid w:val="0"/>
          <w:color w:val="000000"/>
          <w:spacing w:val="12"/>
          <w:kern w:val="0"/>
          <w:sz w:val="31"/>
          <w:szCs w:val="31"/>
        </w:rPr>
        <w:t>年人员类项目、运转类项目、特定目标类项目预算编</w:t>
      </w:r>
      <w:r>
        <w:rPr>
          <w:rFonts w:ascii="宋体" w:hAnsi="宋体" w:cs="仿宋_GB2312"/>
          <w:snapToGrid w:val="0"/>
          <w:color w:val="000000"/>
          <w:kern w:val="0"/>
          <w:sz w:val="31"/>
          <w:szCs w:val="31"/>
        </w:rPr>
        <w:t xml:space="preserve"> </w:t>
      </w:r>
      <w:r>
        <w:rPr>
          <w:rFonts w:ascii="宋体" w:hAnsi="宋体" w:cs="仿宋_GB2312"/>
          <w:snapToGrid w:val="0"/>
          <w:color w:val="000000"/>
          <w:spacing w:val="6"/>
          <w:kern w:val="0"/>
          <w:sz w:val="31"/>
          <w:szCs w:val="31"/>
        </w:rPr>
        <w:t>制合理，执行进度合规，严格支出控制，</w:t>
      </w:r>
      <w:r>
        <w:rPr>
          <w:rFonts w:ascii="宋体" w:hAnsi="宋体" w:cs="仿宋_GB2312"/>
          <w:snapToGrid w:val="0"/>
          <w:color w:val="000000"/>
          <w:spacing w:val="-78"/>
          <w:kern w:val="0"/>
          <w:sz w:val="31"/>
          <w:szCs w:val="31"/>
        </w:rPr>
        <w:t xml:space="preserve"> </w:t>
      </w:r>
      <w:r>
        <w:rPr>
          <w:rFonts w:ascii="宋体" w:hAnsi="宋体" w:cs="仿宋_GB2312"/>
          <w:snapToGrid w:val="0"/>
          <w:color w:val="000000"/>
          <w:spacing w:val="6"/>
          <w:kern w:val="0"/>
          <w:sz w:val="31"/>
          <w:szCs w:val="31"/>
        </w:rPr>
        <w:t>目标任务</w:t>
      </w:r>
      <w:r>
        <w:rPr>
          <w:rFonts w:ascii="宋体" w:hAnsi="宋体" w:cs="仿宋_GB2312"/>
          <w:snapToGrid w:val="0"/>
          <w:color w:val="000000"/>
          <w:spacing w:val="5"/>
          <w:kern w:val="0"/>
          <w:sz w:val="31"/>
          <w:szCs w:val="31"/>
        </w:rPr>
        <w:t>均已完成。</w:t>
      </w:r>
    </w:p>
    <w:p>
      <w:pPr>
        <w:widowControl/>
        <w:suppressAutoHyphens w:val="0"/>
        <w:kinsoku w:val="0"/>
        <w:autoSpaceDE w:val="0"/>
        <w:autoSpaceDN w:val="0"/>
        <w:adjustRightInd w:val="0"/>
        <w:snapToGrid w:val="0"/>
        <w:spacing w:before="57" w:line="221" w:lineRule="auto"/>
        <w:ind w:left="635"/>
        <w:jc w:val="left"/>
        <w:textAlignment w:val="baseline"/>
        <w:rPr>
          <w:rFonts w:ascii="宋体" w:hAnsi="宋体" w:cs="楷体_GB2312"/>
          <w:snapToGrid w:val="0"/>
          <w:color w:val="000000"/>
          <w:kern w:val="0"/>
          <w:sz w:val="31"/>
          <w:szCs w:val="31"/>
        </w:rPr>
      </w:pPr>
      <w:r>
        <w:rPr>
          <w:rFonts w:ascii="宋体" w:hAnsi="宋体" w:cs="楷体_GB2312"/>
          <w:b/>
          <w:bCs/>
          <w:snapToGrid w:val="0"/>
          <w:color w:val="000000"/>
          <w:spacing w:val="6"/>
          <w:kern w:val="0"/>
          <w:sz w:val="31"/>
          <w:szCs w:val="31"/>
        </w:rPr>
        <w:t>（四）绩效结果应用情况。</w:t>
      </w:r>
    </w:p>
    <w:p>
      <w:pPr>
        <w:overflowPunct w:val="0"/>
        <w:adjustRightInd w:val="0"/>
        <w:snapToGrid w:val="0"/>
        <w:spacing w:line="600" w:lineRule="exact"/>
        <w:ind w:firstLine="640" w:firstLineChars="200"/>
        <w:contextualSpacing/>
        <w:jc w:val="left"/>
        <w:rPr>
          <w:rFonts w:hint="eastAsia" w:ascii="宋体" w:hAnsi="宋体" w:eastAsia="宋体" w:cs="宋体"/>
          <w:sz w:val="32"/>
          <w:szCs w:val="32"/>
        </w:rPr>
      </w:pPr>
      <w:r>
        <w:rPr>
          <w:rFonts w:hint="eastAsia" w:ascii="宋体" w:hAnsi="宋体" w:eastAsia="宋体" w:cs="宋体"/>
          <w:sz w:val="32"/>
          <w:szCs w:val="32"/>
        </w:rPr>
        <w:t>1. 内部应用情况。将绩效结果用于优化内部运作流程，依据绩效表现，评估各项业务活动的有效性，识别效率低下的环节，针对性地调整工作程序与方法。同时，在资源配置上，根据绩效结果确定不同业务板块、项目的资源分配权重，优先保障绩效良好、对单位核心目标贡献大的领域，促进资源的高效利用，提升单位整体运行效能。</w:t>
      </w:r>
    </w:p>
    <w:p>
      <w:pPr>
        <w:overflowPunct w:val="0"/>
        <w:adjustRightInd w:val="0"/>
        <w:snapToGrid w:val="0"/>
        <w:spacing w:line="600" w:lineRule="exact"/>
        <w:ind w:firstLine="640" w:firstLineChars="200"/>
        <w:contextualSpacing/>
        <w:jc w:val="left"/>
        <w:rPr>
          <w:rFonts w:hint="eastAsia" w:ascii="宋体" w:hAnsi="宋体" w:eastAsia="宋体" w:cs="宋体"/>
          <w:sz w:val="32"/>
          <w:szCs w:val="32"/>
        </w:rPr>
      </w:pPr>
      <w:r>
        <w:rPr>
          <w:rFonts w:hint="eastAsia" w:ascii="宋体" w:hAnsi="宋体" w:eastAsia="宋体" w:cs="宋体"/>
          <w:sz w:val="32"/>
          <w:szCs w:val="32"/>
        </w:rPr>
        <w:t>2. 信息公开情况。我局将支出科室预算项目绩效目标编制情况、全年预算执行情况和年中项目预算金额调整情况纳入局机关绩效管理考评。在信息公开实践中，按照财政部门统一部署，于2025年</w:t>
      </w:r>
      <w:r>
        <w:rPr>
          <w:rFonts w:hint="eastAsia" w:ascii="宋体" w:hAnsi="宋体" w:cs="宋体"/>
          <w:sz w:val="32"/>
          <w:szCs w:val="32"/>
          <w:lang w:val="en-US" w:eastAsia="zh-CN"/>
        </w:rPr>
        <w:t>3</w:t>
      </w:r>
      <w:r>
        <w:rPr>
          <w:rFonts w:hint="eastAsia" w:ascii="宋体" w:hAnsi="宋体" w:eastAsia="宋体" w:cs="宋体"/>
          <w:sz w:val="32"/>
          <w:szCs w:val="32"/>
        </w:rPr>
        <w:t>月，公开了2025年部门预算编制说明，同时公开部门项目绩效目标设置情况；于2024年</w:t>
      </w:r>
      <w:r>
        <w:rPr>
          <w:rFonts w:hint="eastAsia" w:ascii="宋体" w:hAnsi="宋体" w:cs="宋体"/>
          <w:sz w:val="32"/>
          <w:szCs w:val="32"/>
          <w:lang w:val="en-US" w:eastAsia="zh-CN"/>
        </w:rPr>
        <w:t>10</w:t>
      </w:r>
      <w:r>
        <w:rPr>
          <w:rFonts w:hint="eastAsia" w:ascii="宋体" w:hAnsi="宋体" w:eastAsia="宋体" w:cs="宋体"/>
          <w:sz w:val="32"/>
          <w:szCs w:val="32"/>
        </w:rPr>
        <w:t>月，随同20</w:t>
      </w:r>
      <w:r>
        <w:rPr>
          <w:rFonts w:hint="eastAsia" w:ascii="宋体" w:hAnsi="宋体" w:cs="宋体"/>
          <w:sz w:val="32"/>
          <w:szCs w:val="32"/>
          <w:lang w:val="en-US" w:eastAsia="zh-CN"/>
        </w:rPr>
        <w:t>24</w:t>
      </w:r>
      <w:r>
        <w:rPr>
          <w:rFonts w:hint="eastAsia" w:ascii="宋体" w:hAnsi="宋体" w:eastAsia="宋体" w:cs="宋体"/>
          <w:sz w:val="32"/>
          <w:szCs w:val="32"/>
        </w:rPr>
        <w:t>年部门决算公开部门整体支出绩效自评报告和项目绩效目标管理情况。通过这些举措，主动接受公众监督，</w:t>
      </w:r>
    </w:p>
    <w:p>
      <w:pPr>
        <w:overflowPunct w:val="0"/>
        <w:adjustRightInd w:val="0"/>
        <w:snapToGrid w:val="0"/>
        <w:spacing w:line="600" w:lineRule="exact"/>
        <w:ind w:firstLine="640" w:firstLineChars="200"/>
        <w:contextualSpacing/>
        <w:jc w:val="left"/>
        <w:rPr>
          <w:rFonts w:hint="eastAsia" w:ascii="宋体" w:hAnsi="宋体" w:eastAsia="宋体" w:cs="宋体"/>
          <w:sz w:val="32"/>
          <w:szCs w:val="32"/>
        </w:rPr>
      </w:pPr>
      <w:r>
        <w:rPr>
          <w:rFonts w:hint="eastAsia" w:ascii="宋体" w:hAnsi="宋体" w:eastAsia="宋体" w:cs="宋体"/>
          <w:sz w:val="32"/>
          <w:szCs w:val="32"/>
        </w:rPr>
        <w:t>不断提升财政资金管理的公开性与透明度。</w:t>
      </w:r>
    </w:p>
    <w:p>
      <w:pPr>
        <w:overflowPunct w:val="0"/>
        <w:adjustRightInd w:val="0"/>
        <w:snapToGrid w:val="0"/>
        <w:spacing w:line="600" w:lineRule="exact"/>
        <w:ind w:firstLine="640" w:firstLineChars="200"/>
        <w:contextualSpacing/>
        <w:jc w:val="left"/>
        <w:rPr>
          <w:rFonts w:hint="eastAsia" w:ascii="宋体" w:hAnsi="宋体" w:eastAsia="宋体" w:cs="宋体"/>
          <w:sz w:val="32"/>
          <w:szCs w:val="32"/>
        </w:rPr>
      </w:pPr>
      <w:r>
        <w:rPr>
          <w:rFonts w:hint="eastAsia" w:ascii="宋体" w:hAnsi="宋体" w:eastAsia="宋体" w:cs="宋体"/>
          <w:sz w:val="32"/>
          <w:szCs w:val="32"/>
        </w:rPr>
        <w:t>3. 整改反馈情况。针对绩效评中发现的问题，及时梳理分析，制定整改措施。明确责任主体，推进问题整改落实。将整改情况适时反馈，接受内外部监督，持续完善绩效管理工作。</w:t>
      </w:r>
    </w:p>
    <w:p>
      <w:pPr>
        <w:widowControl/>
        <w:suppressAutoHyphens w:val="0"/>
        <w:kinsoku w:val="0"/>
        <w:autoSpaceDE w:val="0"/>
        <w:autoSpaceDN w:val="0"/>
        <w:adjustRightInd w:val="0"/>
        <w:snapToGrid w:val="0"/>
        <w:spacing w:before="56" w:line="223" w:lineRule="auto"/>
        <w:ind w:left="668"/>
        <w:jc w:val="left"/>
        <w:textAlignment w:val="baseline"/>
        <w:rPr>
          <w:rFonts w:hint="eastAsia" w:ascii="宋体" w:hAnsi="宋体" w:cs="黑体"/>
          <w:snapToGrid w:val="0"/>
          <w:color w:val="000000"/>
          <w:kern w:val="0"/>
          <w:sz w:val="31"/>
          <w:szCs w:val="31"/>
        </w:rPr>
      </w:pPr>
      <w:r>
        <w:rPr>
          <w:rFonts w:ascii="宋体" w:hAnsi="宋体" w:cs="黑体"/>
          <w:snapToGrid w:val="0"/>
          <w:color w:val="000000"/>
          <w:spacing w:val="5"/>
          <w:kern w:val="0"/>
          <w:sz w:val="31"/>
          <w:szCs w:val="31"/>
        </w:rPr>
        <w:t>四、评价结论及建议</w:t>
      </w:r>
    </w:p>
    <w:p>
      <w:pPr>
        <w:widowControl/>
        <w:suppressAutoHyphens w:val="0"/>
        <w:kinsoku w:val="0"/>
        <w:autoSpaceDE w:val="0"/>
        <w:autoSpaceDN w:val="0"/>
        <w:adjustRightInd w:val="0"/>
        <w:snapToGrid w:val="0"/>
        <w:spacing w:before="201" w:line="222" w:lineRule="auto"/>
        <w:ind w:left="636"/>
        <w:jc w:val="left"/>
        <w:textAlignment w:val="baseline"/>
        <w:rPr>
          <w:rFonts w:ascii="宋体" w:hAnsi="宋体" w:cs="楷体_GB2312"/>
          <w:snapToGrid w:val="0"/>
          <w:color w:val="000000"/>
          <w:kern w:val="0"/>
          <w:sz w:val="31"/>
          <w:szCs w:val="31"/>
        </w:rPr>
      </w:pPr>
      <w:r>
        <w:rPr>
          <w:rFonts w:ascii="宋体" w:hAnsi="宋体" w:cs="楷体_GB2312"/>
          <w:b/>
          <w:bCs/>
          <w:snapToGrid w:val="0"/>
          <w:color w:val="000000"/>
          <w:spacing w:val="5"/>
          <w:kern w:val="0"/>
          <w:sz w:val="31"/>
          <w:szCs w:val="31"/>
        </w:rPr>
        <w:t>（一）评价结论。</w:t>
      </w:r>
    </w:p>
    <w:p>
      <w:pPr>
        <w:widowControl/>
        <w:suppressAutoHyphens w:val="0"/>
        <w:kinsoku w:val="0"/>
        <w:autoSpaceDE w:val="0"/>
        <w:autoSpaceDN w:val="0"/>
        <w:adjustRightInd w:val="0"/>
        <w:snapToGrid w:val="0"/>
        <w:spacing w:before="200" w:line="336" w:lineRule="auto"/>
        <w:ind w:left="7" w:right="38" w:firstLine="630"/>
        <w:textAlignment w:val="baseline"/>
        <w:rPr>
          <w:rFonts w:hint="eastAsia" w:ascii="宋体" w:hAnsi="宋体" w:cs="仿宋_GB2312"/>
          <w:snapToGrid w:val="0"/>
          <w:color w:val="000000"/>
          <w:kern w:val="0"/>
          <w:sz w:val="31"/>
          <w:szCs w:val="31"/>
        </w:rPr>
      </w:pPr>
      <w:r>
        <w:rPr>
          <w:rFonts w:ascii="宋体" w:hAnsi="宋体" w:cs="仿宋_GB2312"/>
          <w:snapToGrid w:val="0"/>
          <w:color w:val="000000"/>
          <w:spacing w:val="5"/>
          <w:kern w:val="0"/>
          <w:sz w:val="31"/>
          <w:szCs w:val="31"/>
        </w:rPr>
        <w:t>严格年初预算批复认真组织实施，严格执行财经纪律管理规定，做到各项收支安排使用符合发展计划和财政政策要求，确保</w:t>
      </w:r>
      <w:r>
        <w:rPr>
          <w:rFonts w:ascii="宋体" w:hAnsi="宋体" w:cs="仿宋_GB2312"/>
          <w:snapToGrid w:val="0"/>
          <w:color w:val="000000"/>
          <w:spacing w:val="8"/>
          <w:kern w:val="0"/>
          <w:sz w:val="31"/>
          <w:szCs w:val="31"/>
        </w:rPr>
        <w:t>了单位正常运行和重大项目实施。</w:t>
      </w:r>
      <w:r>
        <w:rPr>
          <w:rFonts w:hint="eastAsia" w:ascii="宋体" w:hAnsi="宋体" w:cs="仿宋_GB2312"/>
          <w:snapToGrid w:val="0"/>
          <w:color w:val="000000"/>
          <w:spacing w:val="8"/>
          <w:kern w:val="0"/>
          <w:sz w:val="31"/>
          <w:szCs w:val="31"/>
        </w:rPr>
        <w:t>区</w:t>
      </w:r>
      <w:r>
        <w:rPr>
          <w:rFonts w:ascii="宋体" w:hAnsi="宋体" w:cs="仿宋_GB2312"/>
          <w:snapToGrid w:val="0"/>
          <w:color w:val="000000"/>
          <w:spacing w:val="8"/>
          <w:kern w:val="0"/>
          <w:sz w:val="31"/>
          <w:szCs w:val="31"/>
        </w:rPr>
        <w:t>财政局</w:t>
      </w:r>
      <w:r>
        <w:rPr>
          <w:rFonts w:ascii="宋体" w:hAnsi="宋体" w:cs="仿宋_GB2312"/>
          <w:snapToGrid w:val="0"/>
          <w:color w:val="000000"/>
          <w:spacing w:val="-30"/>
          <w:kern w:val="0"/>
          <w:sz w:val="31"/>
          <w:szCs w:val="31"/>
        </w:rPr>
        <w:t xml:space="preserve"> </w:t>
      </w:r>
      <w:r>
        <w:rPr>
          <w:rFonts w:ascii="宋体" w:hAnsi="宋体" w:cs="仿宋_GB2312"/>
          <w:snapToGrid w:val="0"/>
          <w:color w:val="000000"/>
          <w:spacing w:val="8"/>
          <w:kern w:val="0"/>
          <w:sz w:val="31"/>
          <w:szCs w:val="31"/>
        </w:rPr>
        <w:t>202</w:t>
      </w:r>
      <w:r>
        <w:rPr>
          <w:rFonts w:hint="eastAsia" w:ascii="宋体" w:hAnsi="宋体" w:cs="仿宋_GB2312"/>
          <w:snapToGrid w:val="0"/>
          <w:color w:val="000000"/>
          <w:spacing w:val="8"/>
          <w:kern w:val="0"/>
          <w:sz w:val="31"/>
          <w:szCs w:val="31"/>
          <w:lang w:val="en-US" w:eastAsia="zh-CN"/>
        </w:rPr>
        <w:t>4</w:t>
      </w:r>
      <w:r>
        <w:rPr>
          <w:rFonts w:ascii="宋体" w:hAnsi="宋体" w:cs="仿宋_GB2312"/>
          <w:snapToGrid w:val="0"/>
          <w:color w:val="000000"/>
          <w:spacing w:val="8"/>
          <w:kern w:val="0"/>
          <w:sz w:val="31"/>
          <w:szCs w:val="31"/>
        </w:rPr>
        <w:t>年部门整体支</w:t>
      </w:r>
      <w:r>
        <w:rPr>
          <w:rFonts w:ascii="宋体" w:hAnsi="宋体" w:cs="仿宋_GB2312"/>
          <w:snapToGrid w:val="0"/>
          <w:color w:val="000000"/>
          <w:spacing w:val="6"/>
          <w:kern w:val="0"/>
          <w:sz w:val="31"/>
          <w:szCs w:val="31"/>
        </w:rPr>
        <w:t>出绩效评价良好。</w:t>
      </w:r>
    </w:p>
    <w:p>
      <w:pPr>
        <w:widowControl/>
        <w:suppressAutoHyphens w:val="0"/>
        <w:kinsoku w:val="0"/>
        <w:autoSpaceDE w:val="0"/>
        <w:autoSpaceDN w:val="0"/>
        <w:adjustRightInd w:val="0"/>
        <w:snapToGrid w:val="0"/>
        <w:spacing w:before="50" w:line="221" w:lineRule="auto"/>
        <w:ind w:left="636"/>
        <w:jc w:val="left"/>
        <w:textAlignment w:val="baseline"/>
        <w:rPr>
          <w:rFonts w:ascii="宋体" w:hAnsi="宋体" w:cs="楷体_GB2312"/>
          <w:snapToGrid w:val="0"/>
          <w:color w:val="000000"/>
          <w:kern w:val="0"/>
          <w:sz w:val="31"/>
          <w:szCs w:val="31"/>
        </w:rPr>
      </w:pPr>
      <w:r>
        <w:rPr>
          <w:rFonts w:ascii="宋体" w:hAnsi="宋体" w:cs="楷体_GB2312"/>
          <w:b/>
          <w:bCs/>
          <w:snapToGrid w:val="0"/>
          <w:color w:val="000000"/>
          <w:spacing w:val="5"/>
          <w:kern w:val="0"/>
          <w:sz w:val="31"/>
          <w:szCs w:val="31"/>
        </w:rPr>
        <w:t>（二）存在问题。</w:t>
      </w:r>
    </w:p>
    <w:p>
      <w:pPr>
        <w:widowControl/>
        <w:suppressAutoHyphens w:val="0"/>
        <w:kinsoku w:val="0"/>
        <w:autoSpaceDE w:val="0"/>
        <w:autoSpaceDN w:val="0"/>
        <w:adjustRightInd w:val="0"/>
        <w:snapToGrid w:val="0"/>
        <w:spacing w:before="206" w:line="326" w:lineRule="auto"/>
        <w:ind w:left="3" w:right="38" w:firstLine="660"/>
        <w:jc w:val="left"/>
        <w:textAlignment w:val="baseline"/>
        <w:rPr>
          <w:rFonts w:hint="eastAsia" w:ascii="宋体" w:hAnsi="宋体" w:cs="仿宋_GB2312"/>
          <w:snapToGrid w:val="0"/>
          <w:color w:val="000000"/>
          <w:kern w:val="0"/>
          <w:sz w:val="31"/>
          <w:szCs w:val="31"/>
        </w:rPr>
      </w:pPr>
      <w:r>
        <w:rPr>
          <w:rFonts w:ascii="宋体" w:hAnsi="宋体" w:cs="仿宋_GB2312"/>
          <w:snapToGrid w:val="0"/>
          <w:color w:val="000000"/>
          <w:spacing w:val="4"/>
          <w:kern w:val="0"/>
          <w:sz w:val="31"/>
          <w:szCs w:val="31"/>
        </w:rPr>
        <w:t>一是绩效目标管理力度不够；二是预算编制不够完善；三是</w:t>
      </w:r>
      <w:r>
        <w:rPr>
          <w:rFonts w:ascii="宋体" w:hAnsi="宋体" w:cs="仿宋_GB2312"/>
          <w:snapToGrid w:val="0"/>
          <w:color w:val="000000"/>
          <w:spacing w:val="5"/>
          <w:kern w:val="0"/>
          <w:sz w:val="31"/>
          <w:szCs w:val="31"/>
        </w:rPr>
        <w:t xml:space="preserve"> </w:t>
      </w:r>
      <w:r>
        <w:rPr>
          <w:rFonts w:ascii="宋体" w:hAnsi="宋体" w:cs="仿宋_GB2312"/>
          <w:snapToGrid w:val="0"/>
          <w:color w:val="000000"/>
          <w:spacing w:val="8"/>
          <w:kern w:val="0"/>
          <w:sz w:val="31"/>
          <w:szCs w:val="31"/>
        </w:rPr>
        <w:t>部门预算执行进度需进一步提高。</w:t>
      </w:r>
    </w:p>
    <w:p>
      <w:pPr>
        <w:widowControl/>
        <w:suppressAutoHyphens w:val="0"/>
        <w:kinsoku w:val="0"/>
        <w:autoSpaceDE w:val="0"/>
        <w:autoSpaceDN w:val="0"/>
        <w:adjustRightInd w:val="0"/>
        <w:snapToGrid w:val="0"/>
        <w:spacing w:before="56" w:line="223" w:lineRule="auto"/>
        <w:ind w:left="636"/>
        <w:jc w:val="left"/>
        <w:textAlignment w:val="baseline"/>
        <w:rPr>
          <w:rFonts w:ascii="宋体" w:hAnsi="宋体" w:cs="楷体_GB2312"/>
          <w:snapToGrid w:val="0"/>
          <w:color w:val="000000"/>
          <w:kern w:val="0"/>
          <w:sz w:val="31"/>
          <w:szCs w:val="31"/>
        </w:rPr>
      </w:pPr>
      <w:r>
        <w:rPr>
          <w:rFonts w:ascii="宋体" w:hAnsi="宋体" w:cs="楷体_GB2312"/>
          <w:b/>
          <w:bCs/>
          <w:snapToGrid w:val="0"/>
          <w:color w:val="000000"/>
          <w:spacing w:val="5"/>
          <w:kern w:val="0"/>
          <w:sz w:val="31"/>
          <w:szCs w:val="31"/>
        </w:rPr>
        <w:t>（三）改进建议。</w:t>
      </w:r>
    </w:p>
    <w:p>
      <w:pPr>
        <w:widowControl/>
        <w:suppressAutoHyphens w:val="0"/>
        <w:kinsoku w:val="0"/>
        <w:autoSpaceDE w:val="0"/>
        <w:autoSpaceDN w:val="0"/>
        <w:adjustRightInd w:val="0"/>
        <w:snapToGrid w:val="0"/>
        <w:spacing w:before="196" w:line="338" w:lineRule="auto"/>
        <w:ind w:firstLine="648"/>
        <w:textAlignment w:val="baseline"/>
        <w:rPr>
          <w:rFonts w:ascii="宋体" w:hAnsi="宋体" w:cs="仿宋_GB2312"/>
          <w:snapToGrid w:val="0"/>
          <w:color w:val="000000"/>
          <w:spacing w:val="5"/>
          <w:kern w:val="0"/>
          <w:sz w:val="31"/>
          <w:szCs w:val="31"/>
        </w:rPr>
      </w:pPr>
      <w:r>
        <w:rPr>
          <w:rFonts w:ascii="宋体" w:hAnsi="宋体" w:cs="仿宋_GB2312"/>
          <w:snapToGrid w:val="0"/>
          <w:color w:val="000000"/>
          <w:spacing w:val="6"/>
          <w:kern w:val="0"/>
          <w:sz w:val="31"/>
          <w:szCs w:val="31"/>
        </w:rPr>
        <w:t>在今后的工作中，</w:t>
      </w:r>
      <w:r>
        <w:rPr>
          <w:rFonts w:hint="eastAsia" w:ascii="宋体" w:hAnsi="宋体" w:cs="仿宋_GB2312"/>
          <w:snapToGrid w:val="0"/>
          <w:color w:val="000000"/>
          <w:spacing w:val="6"/>
          <w:kern w:val="0"/>
          <w:sz w:val="31"/>
          <w:szCs w:val="31"/>
        </w:rPr>
        <w:t>区</w:t>
      </w:r>
      <w:r>
        <w:rPr>
          <w:rFonts w:ascii="宋体" w:hAnsi="宋体" w:cs="仿宋_GB2312"/>
          <w:snapToGrid w:val="0"/>
          <w:color w:val="000000"/>
          <w:spacing w:val="6"/>
          <w:kern w:val="0"/>
          <w:sz w:val="31"/>
          <w:szCs w:val="31"/>
        </w:rPr>
        <w:t>财政局将严格按照《预算法》的要求，</w:t>
      </w:r>
      <w:r>
        <w:rPr>
          <w:rFonts w:ascii="宋体" w:hAnsi="宋体" w:cs="仿宋_GB2312"/>
          <w:snapToGrid w:val="0"/>
          <w:color w:val="000000"/>
          <w:spacing w:val="5"/>
          <w:kern w:val="0"/>
          <w:sz w:val="31"/>
          <w:szCs w:val="31"/>
        </w:rPr>
        <w:t>充分了解预算需求，合理安排支出，提高预算编制的准</w:t>
      </w:r>
    </w:p>
    <w:p>
      <w:pPr>
        <w:bidi w:val="0"/>
        <w:rPr>
          <w:rFonts w:ascii="宋体" w:hAnsi="宋体" w:cs="仿宋_GB2312"/>
          <w:snapToGrid w:val="0"/>
          <w:color w:val="000000"/>
          <w:spacing w:val="8"/>
          <w:kern w:val="0"/>
          <w:sz w:val="31"/>
          <w:szCs w:val="31"/>
        </w:rPr>
      </w:pPr>
      <w:r>
        <w:rPr>
          <w:rFonts w:ascii="宋体" w:hAnsi="宋体" w:cs="仿宋_GB2312"/>
          <w:snapToGrid w:val="0"/>
          <w:color w:val="000000"/>
          <w:spacing w:val="5"/>
          <w:kern w:val="0"/>
          <w:sz w:val="31"/>
          <w:szCs w:val="31"/>
        </w:rPr>
        <w:t>确度。加</w:t>
      </w:r>
      <w:r>
        <w:rPr>
          <w:rFonts w:ascii="宋体" w:hAnsi="宋体" w:cs="仿宋_GB2312"/>
          <w:snapToGrid w:val="0"/>
          <w:color w:val="000000"/>
          <w:spacing w:val="7"/>
          <w:kern w:val="0"/>
          <w:sz w:val="31"/>
          <w:szCs w:val="31"/>
        </w:rPr>
        <w:t>大与业务股室深度衔接，紧密配合，让预算编制合</w:t>
      </w:r>
      <w:bookmarkStart w:id="63" w:name="OLE_LINK11"/>
      <w:r>
        <w:rPr>
          <w:rFonts w:ascii="宋体" w:hAnsi="宋体" w:cs="仿宋_GB2312"/>
          <w:snapToGrid w:val="0"/>
          <w:color w:val="000000"/>
          <w:spacing w:val="7"/>
          <w:kern w:val="0"/>
          <w:sz w:val="31"/>
          <w:szCs w:val="31"/>
        </w:rPr>
        <w:t>理贴</w:t>
      </w:r>
      <w:r>
        <w:rPr>
          <w:rFonts w:ascii="宋体" w:hAnsi="宋体" w:cs="仿宋_GB2312"/>
          <w:snapToGrid w:val="0"/>
          <w:color w:val="000000"/>
          <w:spacing w:val="6"/>
          <w:kern w:val="0"/>
          <w:sz w:val="31"/>
          <w:szCs w:val="31"/>
        </w:rPr>
        <w:t>合实际，</w:t>
      </w:r>
      <w:r>
        <w:rPr>
          <w:rFonts w:ascii="宋体" w:hAnsi="宋体" w:cs="仿宋_GB2312"/>
          <w:snapToGrid w:val="0"/>
          <w:color w:val="000000"/>
          <w:spacing w:val="5"/>
          <w:kern w:val="0"/>
          <w:sz w:val="31"/>
          <w:szCs w:val="31"/>
        </w:rPr>
        <w:t>使预算编制更具科学性、合理性。严格按照批复预算执行，及时将预算分解，提高预算编制与预算执行的一致性，强化预算精细</w:t>
      </w:r>
      <w:r>
        <w:rPr>
          <w:rFonts w:ascii="宋体" w:hAnsi="宋体" w:cs="仿宋_GB2312"/>
          <w:snapToGrid w:val="0"/>
          <w:color w:val="000000"/>
          <w:spacing w:val="6"/>
          <w:kern w:val="0"/>
          <w:sz w:val="31"/>
          <w:szCs w:val="31"/>
        </w:rPr>
        <w:t>化管理水平。建立和完善预算执行情况的分析、监督机制，进一</w:t>
      </w:r>
      <w:r>
        <w:rPr>
          <w:rFonts w:ascii="宋体" w:hAnsi="宋体" w:cs="仿宋_GB2312"/>
          <w:snapToGrid w:val="0"/>
          <w:color w:val="000000"/>
          <w:spacing w:val="5"/>
          <w:kern w:val="0"/>
          <w:sz w:val="31"/>
          <w:szCs w:val="31"/>
        </w:rPr>
        <w:t>步加快预算执行进度，细化、量化绩效目标编制，加强预算绩效</w:t>
      </w:r>
      <w:r>
        <w:rPr>
          <w:rFonts w:ascii="宋体" w:hAnsi="宋体" w:cs="仿宋_GB2312"/>
          <w:snapToGrid w:val="0"/>
          <w:color w:val="000000"/>
          <w:spacing w:val="8"/>
          <w:kern w:val="0"/>
          <w:sz w:val="31"/>
          <w:szCs w:val="31"/>
        </w:rPr>
        <w:t>管理，用好用活各类财政资金，提升管理水平。</w:t>
      </w:r>
    </w:p>
    <w:bookmarkEnd w:id="63"/>
    <w:p>
      <w:pPr>
        <w:pStyle w:val="2"/>
        <w:rPr>
          <w:rFonts w:ascii="宋体" w:hAnsi="宋体" w:cs="仿宋_GB2312"/>
          <w:snapToGrid w:val="0"/>
          <w:color w:val="000000"/>
          <w:spacing w:val="8"/>
          <w:kern w:val="0"/>
          <w:sz w:val="31"/>
          <w:szCs w:val="31"/>
        </w:rPr>
      </w:pPr>
    </w:p>
    <w:p>
      <w:pPr>
        <w:widowControl/>
        <w:adjustRightInd w:val="0"/>
        <w:snapToGrid w:val="0"/>
        <w:spacing w:line="600" w:lineRule="exact"/>
        <w:ind w:firstLine="640" w:firstLineChars="200"/>
        <w:contextualSpacing/>
        <w:jc w:val="left"/>
        <w:rPr>
          <w:rFonts w:hint="eastAsia" w:ascii="宋体" w:hAnsi="宋体" w:eastAsia="宋体" w:cs="宋体"/>
          <w:sz w:val="32"/>
          <w:szCs w:val="32"/>
          <w:lang w:val="zh-CN" w:bidi="ar"/>
        </w:rPr>
      </w:pPr>
    </w:p>
    <w:p>
      <w:pPr>
        <w:pStyle w:val="3"/>
        <w:spacing w:line="600" w:lineRule="exact"/>
        <w:ind w:leftChars="0" w:firstLine="640"/>
        <w:rPr>
          <w:rFonts w:hint="eastAsia" w:ascii="宋体" w:hAnsi="宋体" w:eastAsia="宋体" w:cs="宋体"/>
          <w:sz w:val="32"/>
          <w:szCs w:val="32"/>
          <w:lang w:val="zh-CN" w:bidi="ar"/>
        </w:rPr>
      </w:pPr>
      <w:r>
        <w:rPr>
          <w:rFonts w:hint="eastAsia" w:ascii="宋体" w:hAnsi="宋体" w:eastAsia="宋体" w:cs="宋体"/>
          <w:sz w:val="32"/>
          <w:szCs w:val="32"/>
          <w:lang w:val="zh-CN" w:bidi="ar"/>
        </w:rPr>
        <w:t>附表：</w:t>
      </w:r>
      <w:r>
        <w:rPr>
          <w:rFonts w:hint="eastAsia" w:ascii="宋体" w:hAnsi="宋体" w:eastAsia="宋体" w:cs="宋体"/>
          <w:sz w:val="32"/>
          <w:szCs w:val="32"/>
          <w:lang w:bidi="ar"/>
        </w:rPr>
        <w:t>部门预算项目支出绩效自评表（2024年度）见附件3</w:t>
      </w:r>
    </w:p>
    <w:p>
      <w:pPr>
        <w:pStyle w:val="3"/>
        <w:rPr>
          <w:rFonts w:hint="eastAsia" w:ascii="宋体" w:hAnsi="宋体" w:eastAsia="宋体" w:cs="宋体"/>
          <w:snapToGrid w:val="0"/>
          <w:color w:val="000000"/>
          <w:spacing w:val="8"/>
          <w:kern w:val="0"/>
          <w:sz w:val="32"/>
          <w:szCs w:val="32"/>
        </w:rPr>
      </w:pPr>
    </w:p>
    <w:p>
      <w:pPr>
        <w:pStyle w:val="3"/>
        <w:rPr>
          <w:rFonts w:ascii="宋体" w:hAnsi="宋体" w:cs="仿宋_GB2312"/>
          <w:snapToGrid w:val="0"/>
          <w:color w:val="000000"/>
          <w:spacing w:val="8"/>
          <w:kern w:val="0"/>
          <w:sz w:val="31"/>
          <w:szCs w:val="31"/>
        </w:rPr>
      </w:pPr>
    </w:p>
    <w:p>
      <w:pPr>
        <w:pStyle w:val="3"/>
        <w:rPr>
          <w:rFonts w:ascii="宋体" w:hAnsi="宋体" w:cs="仿宋_GB2312"/>
          <w:snapToGrid w:val="0"/>
          <w:color w:val="000000"/>
          <w:spacing w:val="8"/>
          <w:kern w:val="0"/>
          <w:sz w:val="31"/>
          <w:szCs w:val="31"/>
        </w:rPr>
      </w:pPr>
    </w:p>
    <w:p>
      <w:pPr>
        <w:pStyle w:val="3"/>
        <w:rPr>
          <w:rFonts w:ascii="宋体" w:hAnsi="宋体" w:cs="仿宋_GB2312"/>
          <w:snapToGrid w:val="0"/>
          <w:color w:val="000000"/>
          <w:spacing w:val="8"/>
          <w:kern w:val="0"/>
          <w:sz w:val="31"/>
          <w:szCs w:val="31"/>
        </w:rPr>
      </w:pPr>
    </w:p>
    <w:p>
      <w:pPr>
        <w:pStyle w:val="3"/>
        <w:rPr>
          <w:rFonts w:ascii="宋体" w:hAnsi="宋体" w:cs="仿宋_GB2312"/>
          <w:snapToGrid w:val="0"/>
          <w:color w:val="000000"/>
          <w:spacing w:val="8"/>
          <w:kern w:val="0"/>
          <w:sz w:val="31"/>
          <w:szCs w:val="31"/>
        </w:rPr>
      </w:pPr>
    </w:p>
    <w:p>
      <w:pPr>
        <w:pStyle w:val="3"/>
        <w:rPr>
          <w:rFonts w:hint="eastAsia" w:ascii="宋体" w:hAnsi="宋体" w:cs="仿宋_GB2312"/>
          <w:snapToGrid w:val="0"/>
          <w:color w:val="000000"/>
          <w:spacing w:val="8"/>
          <w:kern w:val="0"/>
          <w:sz w:val="31"/>
          <w:szCs w:val="31"/>
        </w:rPr>
      </w:pPr>
    </w:p>
    <w:p>
      <w:pPr>
        <w:pStyle w:val="8"/>
        <w:rPr>
          <w:rFonts w:hint="eastAsia" w:ascii="宋体" w:hAnsi="宋体" w:eastAsia="宋体" w:cs="宋体"/>
          <w:color w:val="FF0000"/>
          <w:kern w:val="0"/>
          <w:sz w:val="32"/>
          <w:szCs w:val="32"/>
          <w:highlight w:val="yellow"/>
          <w:shd w:val="clear" w:color="auto" w:fill="FFFFFF"/>
          <w:lang w:val="zh-CN"/>
        </w:rPr>
      </w:pPr>
    </w:p>
    <w:p>
      <w:pPr>
        <w:rPr>
          <w:rFonts w:hint="eastAsia" w:ascii="宋体" w:hAnsi="宋体" w:eastAsia="宋体" w:cs="宋体"/>
          <w:color w:val="auto"/>
          <w:kern w:val="0"/>
          <w:sz w:val="32"/>
          <w:szCs w:val="32"/>
          <w:highlight w:val="none"/>
          <w:shd w:val="clear" w:color="auto" w:fill="FFFFFF"/>
          <w:lang w:val="zh-CN"/>
        </w:rPr>
      </w:pPr>
      <w:r>
        <w:rPr>
          <w:rFonts w:hint="eastAsia" w:ascii="宋体" w:hAnsi="宋体" w:eastAsia="宋体" w:cs="宋体"/>
          <w:color w:val="auto"/>
          <w:kern w:val="0"/>
          <w:sz w:val="32"/>
          <w:szCs w:val="32"/>
          <w:highlight w:val="none"/>
          <w:shd w:val="clear" w:color="auto" w:fill="FFFFFF"/>
          <w:lang w:val="zh-CN"/>
        </w:rPr>
        <w:br w:type="page"/>
      </w:r>
    </w:p>
    <w:p>
      <w:pPr>
        <w:widowControl/>
        <w:jc w:val="center"/>
        <w:rPr>
          <w:rFonts w:hint="eastAsia" w:ascii="宋体" w:hAnsi="宋体" w:eastAsia="宋体" w:cs="宋体"/>
          <w:b w:val="0"/>
          <w:color w:val="auto"/>
          <w:sz w:val="44"/>
          <w:szCs w:val="44"/>
          <w:highlight w:val="none"/>
        </w:rPr>
      </w:pPr>
      <w:bookmarkStart w:id="64" w:name="_Toc15396618"/>
      <w:r>
        <w:rPr>
          <w:rFonts w:hint="eastAsia" w:ascii="宋体" w:hAnsi="宋体" w:eastAsia="宋体" w:cs="宋体"/>
          <w:color w:val="auto"/>
          <w:sz w:val="44"/>
          <w:szCs w:val="44"/>
          <w:highlight w:val="none"/>
        </w:rPr>
        <w:t>第</w:t>
      </w:r>
      <w:r>
        <w:rPr>
          <w:rStyle w:val="29"/>
          <w:rFonts w:hint="eastAsia" w:ascii="宋体" w:hAnsi="宋体" w:eastAsia="宋体" w:cs="宋体"/>
          <w:b w:val="0"/>
          <w:color w:val="auto"/>
          <w:sz w:val="44"/>
          <w:szCs w:val="44"/>
          <w:highlight w:val="none"/>
        </w:rPr>
        <w:t>五部</w:t>
      </w:r>
      <w:bookmarkEnd w:id="59"/>
      <w:r>
        <w:rPr>
          <w:rStyle w:val="29"/>
          <w:rFonts w:hint="eastAsia" w:ascii="宋体" w:hAnsi="宋体" w:eastAsia="宋体" w:cs="宋体"/>
          <w:b w:val="0"/>
          <w:color w:val="auto"/>
          <w:sz w:val="44"/>
          <w:szCs w:val="44"/>
          <w:highlight w:val="none"/>
        </w:rPr>
        <w:t>分 附表</w:t>
      </w:r>
      <w:bookmarkEnd w:id="58"/>
      <w:bookmarkEnd w:id="64"/>
      <w:bookmarkStart w:id="65"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bookmarkEnd w:id="6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6" w:name="_Toc15396620"/>
      <w:r>
        <w:rPr>
          <w:rFonts w:hint="eastAsia" w:ascii="宋体" w:hAnsi="宋体" w:eastAsia="宋体" w:cs="宋体"/>
          <w:color w:val="auto"/>
          <w:sz w:val="32"/>
          <w:szCs w:val="32"/>
          <w:highlight w:val="none"/>
        </w:rPr>
        <w:t>二、收入决算表</w:t>
      </w:r>
      <w:bookmarkEnd w:id="6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7" w:name="_Toc15396621"/>
      <w:r>
        <w:rPr>
          <w:rFonts w:hint="eastAsia" w:ascii="宋体" w:hAnsi="宋体" w:eastAsia="宋体" w:cs="宋体"/>
          <w:color w:val="auto"/>
          <w:sz w:val="32"/>
          <w:szCs w:val="32"/>
          <w:highlight w:val="none"/>
        </w:rPr>
        <w:t>三、支出决算表</w:t>
      </w:r>
      <w:bookmarkEnd w:id="6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8" w:name="_Toc15396622"/>
      <w:r>
        <w:rPr>
          <w:rFonts w:hint="eastAsia" w:ascii="宋体" w:hAnsi="宋体" w:eastAsia="宋体" w:cs="宋体"/>
          <w:color w:val="auto"/>
          <w:sz w:val="32"/>
          <w:szCs w:val="32"/>
          <w:highlight w:val="none"/>
        </w:rPr>
        <w:t>四、财政拨款收入支出决算总表</w:t>
      </w:r>
      <w:bookmarkEnd w:id="6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9" w:name="_Toc15396623"/>
      <w:r>
        <w:rPr>
          <w:rFonts w:hint="eastAsia" w:ascii="宋体" w:hAnsi="宋体" w:eastAsia="宋体" w:cs="宋体"/>
          <w:color w:val="auto"/>
          <w:sz w:val="32"/>
          <w:szCs w:val="32"/>
          <w:highlight w:val="none"/>
        </w:rPr>
        <w:t>五、财政拨款支出决算明细表</w:t>
      </w:r>
      <w:bookmarkEnd w:id="69"/>
      <w:bookmarkStart w:id="70"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六、一般公共预算财政拨款支出决算表</w:t>
      </w:r>
      <w:bookmarkEnd w:id="7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71" w:name="_Toc15396625"/>
      <w:r>
        <w:rPr>
          <w:rFonts w:hint="eastAsia" w:ascii="宋体" w:hAnsi="宋体" w:eastAsia="宋体" w:cs="宋体"/>
          <w:color w:val="auto"/>
          <w:sz w:val="32"/>
          <w:szCs w:val="32"/>
          <w:highlight w:val="none"/>
        </w:rPr>
        <w:t>七、一般公共预算财政拨款支出决算明细表</w:t>
      </w:r>
      <w:bookmarkEnd w:id="7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72" w:name="_Toc15396626"/>
      <w:r>
        <w:rPr>
          <w:rFonts w:hint="eastAsia" w:ascii="宋体" w:hAnsi="宋体" w:eastAsia="宋体" w:cs="宋体"/>
          <w:color w:val="auto"/>
          <w:sz w:val="32"/>
          <w:szCs w:val="32"/>
          <w:highlight w:val="none"/>
        </w:rPr>
        <w:t>八、一般公共预算财政拨款基本支出决算表</w:t>
      </w:r>
      <w:bookmarkEnd w:id="7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73" w:name="_Toc15396627"/>
      <w:r>
        <w:rPr>
          <w:rFonts w:hint="eastAsia" w:ascii="宋体" w:hAnsi="宋体" w:eastAsia="宋体" w:cs="宋体"/>
          <w:color w:val="auto"/>
          <w:sz w:val="32"/>
          <w:szCs w:val="32"/>
          <w:highlight w:val="none"/>
        </w:rPr>
        <w:t>九、一般公共预算财政拨款项目支出决算表</w:t>
      </w:r>
      <w:bookmarkEnd w:id="7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74" w:name="_Toc15396628"/>
      <w:r>
        <w:rPr>
          <w:rFonts w:hint="eastAsia" w:ascii="宋体" w:hAnsi="宋体" w:eastAsia="宋体" w:cs="宋体"/>
          <w:color w:val="auto"/>
          <w:sz w:val="32"/>
          <w:szCs w:val="32"/>
          <w:highlight w:val="none"/>
        </w:rPr>
        <w:t>十、</w:t>
      </w:r>
      <w:bookmarkEnd w:id="74"/>
      <w:r>
        <w:rPr>
          <w:rFonts w:hint="eastAsia" w:ascii="宋体" w:hAnsi="宋体" w:eastAsia="宋体" w:cs="宋体"/>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75" w:name="_Toc15396629"/>
      <w:r>
        <w:rPr>
          <w:rFonts w:hint="eastAsia" w:ascii="宋体" w:hAnsi="宋体" w:eastAsia="宋体" w:cs="宋体"/>
          <w:color w:val="auto"/>
          <w:sz w:val="32"/>
          <w:szCs w:val="32"/>
          <w:highlight w:val="none"/>
        </w:rPr>
        <w:t>十一、</w:t>
      </w:r>
      <w:bookmarkEnd w:id="75"/>
      <w:r>
        <w:rPr>
          <w:rFonts w:hint="eastAsia" w:ascii="宋体" w:hAnsi="宋体" w:eastAsia="宋体" w:cs="宋体"/>
          <w:color w:val="auto"/>
          <w:sz w:val="32"/>
          <w:szCs w:val="32"/>
          <w:highlight w:val="none"/>
        </w:rPr>
        <w:t>国有资本经营预算</w:t>
      </w:r>
      <w:r>
        <w:rPr>
          <w:rFonts w:hint="eastAsia" w:ascii="宋体" w:hAnsi="宋体" w:eastAsia="宋体" w:cs="宋体"/>
          <w:color w:val="auto"/>
          <w:sz w:val="32"/>
          <w:szCs w:val="32"/>
          <w:highlight w:val="none"/>
          <w:lang w:eastAsia="zh-CN"/>
        </w:rPr>
        <w:t>财政拨款收入</w:t>
      </w:r>
      <w:r>
        <w:rPr>
          <w:rFonts w:hint="eastAsia" w:ascii="宋体" w:hAnsi="宋体" w:eastAsia="宋体" w:cs="宋体"/>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76" w:name="_Toc15396630"/>
      <w:r>
        <w:rPr>
          <w:rFonts w:hint="eastAsia" w:ascii="宋体" w:hAnsi="宋体" w:eastAsia="宋体" w:cs="宋体"/>
          <w:color w:val="auto"/>
          <w:sz w:val="32"/>
          <w:szCs w:val="32"/>
          <w:highlight w:val="none"/>
        </w:rPr>
        <w:t>十二、</w:t>
      </w:r>
      <w:bookmarkEnd w:id="76"/>
      <w:r>
        <w:rPr>
          <w:rFonts w:hint="eastAsia" w:ascii="宋体" w:hAnsi="宋体" w:eastAsia="宋体" w:cs="宋体"/>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lang w:eastAsia="zh-CN"/>
        </w:rPr>
      </w:pPr>
      <w:bookmarkStart w:id="77" w:name="_Toc15396631"/>
      <w:r>
        <w:rPr>
          <w:rFonts w:hint="eastAsia" w:ascii="宋体" w:hAnsi="宋体" w:eastAsia="宋体" w:cs="宋体"/>
          <w:color w:val="auto"/>
          <w:sz w:val="32"/>
          <w:szCs w:val="32"/>
          <w:highlight w:val="none"/>
        </w:rPr>
        <w:t>十三、</w:t>
      </w:r>
      <w:bookmarkEnd w:id="77"/>
      <w:r>
        <w:rPr>
          <w:rFonts w:hint="eastAsia" w:ascii="宋体" w:hAnsi="宋体" w:eastAsia="宋体" w:cs="宋体"/>
          <w:color w:val="auto"/>
          <w:sz w:val="32"/>
          <w:szCs w:val="32"/>
          <w:highlight w:val="none"/>
          <w:lang w:eastAsia="zh-CN"/>
        </w:rPr>
        <w:t>财政拨款“三公”经费支出决算表</w:t>
      </w:r>
    </w:p>
    <w:p>
      <w:pPr>
        <w:rPr>
          <w:rFonts w:hint="eastAsia" w:ascii="宋体" w:hAnsi="宋体" w:eastAsia="宋体" w:cs="宋体"/>
          <w:sz w:val="32"/>
          <w:szCs w:val="32"/>
          <w:lang w:eastAsia="zh-CN"/>
        </w:rPr>
      </w:pPr>
    </w:p>
    <w:sectPr>
      <w:footerReference r:id="rId8" w:type="first"/>
      <w:footerReference r:id="rId7"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398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ascii="Calibri" w:hAnsi="Calibri" w:eastAsia="Calibri" w:cs="Calibri"/>
        <w:spacing w:val="-6"/>
        <w:sz w:val="18"/>
        <w:szCs w:val="18"/>
      </w:rPr>
      <w:t>-</w:t>
    </w:r>
    <w:r>
      <w:rPr>
        <w:rFonts w:ascii="Calibri" w:hAnsi="Calibri" w:eastAsia="Calibri" w:cs="Calibri"/>
        <w:spacing w:val="17"/>
        <w:sz w:val="18"/>
        <w:szCs w:val="18"/>
      </w:rPr>
      <w:t xml:space="preserve"> </w:t>
    </w:r>
    <w:r>
      <w:rPr>
        <w:rFonts w:ascii="Calibri" w:hAnsi="Calibri" w:eastAsia="Calibri" w:cs="Calibri"/>
        <w:spacing w:val="-6"/>
        <w:sz w:val="18"/>
        <w:szCs w:val="18"/>
      </w:rPr>
      <w:t>17</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62EBB"/>
    <w:multiLevelType w:val="singleLevel"/>
    <w:tmpl w:val="CA262EBB"/>
    <w:lvl w:ilvl="0" w:tentative="0">
      <w:start w:val="1"/>
      <w:numFmt w:val="decimalEnclosedCircleChinese"/>
      <w:suff w:val="nothing"/>
      <w:lvlText w:val="%1　"/>
      <w:lvlJc w:val="left"/>
      <w:pPr>
        <w:ind w:left="0" w:firstLine="400"/>
      </w:pPr>
      <w:rPr>
        <w:rFonts w:hint="eastAsia"/>
      </w:rPr>
    </w:lvl>
  </w:abstractNum>
  <w:abstractNum w:abstractNumId="1">
    <w:nsid w:val="CE1A60D3"/>
    <w:multiLevelType w:val="singleLevel"/>
    <w:tmpl w:val="CE1A60D3"/>
    <w:lvl w:ilvl="0" w:tentative="0">
      <w:start w:val="2"/>
      <w:numFmt w:val="decimal"/>
      <w:lvlText w:val="%1."/>
      <w:lvlJc w:val="left"/>
      <w:pPr>
        <w:tabs>
          <w:tab w:val="left" w:pos="312"/>
        </w:tabs>
      </w:pPr>
    </w:lvl>
  </w:abstractNum>
  <w:abstractNum w:abstractNumId="2">
    <w:nsid w:val="CF1D8121"/>
    <w:multiLevelType w:val="singleLevel"/>
    <w:tmpl w:val="CF1D8121"/>
    <w:lvl w:ilvl="0" w:tentative="0">
      <w:start w:val="2"/>
      <w:numFmt w:val="chineseCounting"/>
      <w:suff w:val="nothing"/>
      <w:lvlText w:val="（%1）"/>
      <w:lvlJc w:val="left"/>
      <w:pPr>
        <w:ind w:left="-13"/>
      </w:pPr>
      <w:rPr>
        <w:rFonts w:hint="eastAsia"/>
      </w:rPr>
    </w:lvl>
  </w:abstractNum>
  <w:abstractNum w:abstractNumId="3">
    <w:nsid w:val="F9257FD2"/>
    <w:multiLevelType w:val="singleLevel"/>
    <w:tmpl w:val="F9257FD2"/>
    <w:lvl w:ilvl="0" w:tentative="0">
      <w:start w:val="1"/>
      <w:numFmt w:val="chineseCounting"/>
      <w:suff w:val="space"/>
      <w:lvlText w:val="第%1部分"/>
      <w:lvlJc w:val="left"/>
      <w:rPr>
        <w:rFonts w:hint="eastAsia"/>
      </w:rPr>
    </w:lvl>
  </w:abstractNum>
  <w:abstractNum w:abstractNumId="4">
    <w:nsid w:val="07115748"/>
    <w:multiLevelType w:val="singleLevel"/>
    <w:tmpl w:val="07115748"/>
    <w:lvl w:ilvl="0" w:tentative="0">
      <w:start w:val="1"/>
      <w:numFmt w:val="decimal"/>
      <w:suff w:val="space"/>
      <w:lvlText w:val="%1."/>
      <w:lvlJc w:val="left"/>
      <w:pPr>
        <w:ind w:left="433"/>
      </w:pPr>
    </w:lvl>
  </w:abstractNum>
  <w:abstractNum w:abstractNumId="5">
    <w:nsid w:val="3705A3C5"/>
    <w:multiLevelType w:val="singleLevel"/>
    <w:tmpl w:val="3705A3C5"/>
    <w:lvl w:ilvl="0" w:tentative="0">
      <w:start w:val="2"/>
      <w:numFmt w:val="chineseCounting"/>
      <w:suff w:val="nothing"/>
      <w:lvlText w:val="（%1）"/>
      <w:lvlJc w:val="left"/>
      <w:rPr>
        <w:rFonts w:hint="eastAsia"/>
      </w:rPr>
    </w:lvl>
  </w:abstractNum>
  <w:abstractNum w:abstractNumId="6">
    <w:nsid w:val="5403D00D"/>
    <w:multiLevelType w:val="singleLevel"/>
    <w:tmpl w:val="5403D00D"/>
    <w:lvl w:ilvl="0" w:tentative="0">
      <w:start w:val="8"/>
      <w:numFmt w:val="decimal"/>
      <w:lvlText w:val="%1."/>
      <w:lvlJc w:val="left"/>
      <w:pPr>
        <w:tabs>
          <w:tab w:val="left" w:pos="312"/>
        </w:tabs>
      </w:pPr>
    </w:lvl>
  </w:abstractNum>
  <w:num w:numId="1">
    <w:abstractNumId w:val="3"/>
  </w:num>
  <w:num w:numId="2">
    <w:abstractNumId w:val="4"/>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150A5"/>
    <w:rsid w:val="02FEBE30"/>
    <w:rsid w:val="04916F1E"/>
    <w:rsid w:val="04AD3DAA"/>
    <w:rsid w:val="05690259"/>
    <w:rsid w:val="061E35DE"/>
    <w:rsid w:val="066E0107"/>
    <w:rsid w:val="07996F6E"/>
    <w:rsid w:val="07DFD8BA"/>
    <w:rsid w:val="09867E8F"/>
    <w:rsid w:val="0A2032A3"/>
    <w:rsid w:val="0CA8290A"/>
    <w:rsid w:val="0D35B1ED"/>
    <w:rsid w:val="0D49632B"/>
    <w:rsid w:val="0E254B6B"/>
    <w:rsid w:val="0F98263C"/>
    <w:rsid w:val="101860EC"/>
    <w:rsid w:val="101F47CC"/>
    <w:rsid w:val="104206C1"/>
    <w:rsid w:val="107F5847"/>
    <w:rsid w:val="10C055FF"/>
    <w:rsid w:val="11694EBD"/>
    <w:rsid w:val="11772AA4"/>
    <w:rsid w:val="118107EC"/>
    <w:rsid w:val="12E24EE2"/>
    <w:rsid w:val="13D50BC4"/>
    <w:rsid w:val="14B17F78"/>
    <w:rsid w:val="162C688B"/>
    <w:rsid w:val="165E0673"/>
    <w:rsid w:val="16B831D5"/>
    <w:rsid w:val="16BB723D"/>
    <w:rsid w:val="17E50567"/>
    <w:rsid w:val="186504BB"/>
    <w:rsid w:val="19300FEB"/>
    <w:rsid w:val="19A445FC"/>
    <w:rsid w:val="1BE8440E"/>
    <w:rsid w:val="1D155CEE"/>
    <w:rsid w:val="1D1638FE"/>
    <w:rsid w:val="1DB11FCF"/>
    <w:rsid w:val="1DBD6C6F"/>
    <w:rsid w:val="1E312DEB"/>
    <w:rsid w:val="1E740ACF"/>
    <w:rsid w:val="1FF35744"/>
    <w:rsid w:val="1FF6BC77"/>
    <w:rsid w:val="207132C9"/>
    <w:rsid w:val="2186353C"/>
    <w:rsid w:val="21CD1AE7"/>
    <w:rsid w:val="2344756C"/>
    <w:rsid w:val="23860B96"/>
    <w:rsid w:val="240371BF"/>
    <w:rsid w:val="244F3473"/>
    <w:rsid w:val="24C97D99"/>
    <w:rsid w:val="25A718F0"/>
    <w:rsid w:val="25BB59F6"/>
    <w:rsid w:val="260F557C"/>
    <w:rsid w:val="265772A1"/>
    <w:rsid w:val="26970054"/>
    <w:rsid w:val="26FB220D"/>
    <w:rsid w:val="281408E2"/>
    <w:rsid w:val="29FD04D3"/>
    <w:rsid w:val="2BFF7BC6"/>
    <w:rsid w:val="2C8A61B5"/>
    <w:rsid w:val="2DF04E50"/>
    <w:rsid w:val="2E4F207A"/>
    <w:rsid w:val="2E586DFA"/>
    <w:rsid w:val="2F040D46"/>
    <w:rsid w:val="2F6B035B"/>
    <w:rsid w:val="2FAE5751"/>
    <w:rsid w:val="2FB1A395"/>
    <w:rsid w:val="2FD9A7D8"/>
    <w:rsid w:val="2FDBF714"/>
    <w:rsid w:val="30AB6865"/>
    <w:rsid w:val="319F7F4E"/>
    <w:rsid w:val="32BD1EF1"/>
    <w:rsid w:val="32CA79FA"/>
    <w:rsid w:val="3304709D"/>
    <w:rsid w:val="33A773CB"/>
    <w:rsid w:val="349D6851"/>
    <w:rsid w:val="34F50476"/>
    <w:rsid w:val="36AA5135"/>
    <w:rsid w:val="36BE0DA7"/>
    <w:rsid w:val="376B6AA6"/>
    <w:rsid w:val="376D39B2"/>
    <w:rsid w:val="37E16F03"/>
    <w:rsid w:val="37E23DC5"/>
    <w:rsid w:val="37F53A3B"/>
    <w:rsid w:val="389B6C89"/>
    <w:rsid w:val="38D469F0"/>
    <w:rsid w:val="392578C7"/>
    <w:rsid w:val="39627CCD"/>
    <w:rsid w:val="397BAF1F"/>
    <w:rsid w:val="3A4B1176"/>
    <w:rsid w:val="3A616394"/>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F61971"/>
    <w:rsid w:val="42B840A9"/>
    <w:rsid w:val="44E268DA"/>
    <w:rsid w:val="450D13D7"/>
    <w:rsid w:val="45506656"/>
    <w:rsid w:val="486A6C7A"/>
    <w:rsid w:val="48D4023D"/>
    <w:rsid w:val="4A627F82"/>
    <w:rsid w:val="4B0E749A"/>
    <w:rsid w:val="4B2477C4"/>
    <w:rsid w:val="4B4F25DA"/>
    <w:rsid w:val="4BE068DB"/>
    <w:rsid w:val="4D206899"/>
    <w:rsid w:val="4D577224"/>
    <w:rsid w:val="4DBF1CEB"/>
    <w:rsid w:val="4DF0007C"/>
    <w:rsid w:val="4EAB630A"/>
    <w:rsid w:val="4ECE2238"/>
    <w:rsid w:val="4F833267"/>
    <w:rsid w:val="4FE9BD67"/>
    <w:rsid w:val="4FFB052F"/>
    <w:rsid w:val="50707007"/>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887D87"/>
    <w:rsid w:val="5ECEC941"/>
    <w:rsid w:val="5FBF9FF3"/>
    <w:rsid w:val="5FCD4E2C"/>
    <w:rsid w:val="5FEF394A"/>
    <w:rsid w:val="5FF67715"/>
    <w:rsid w:val="62BF3928"/>
    <w:rsid w:val="63B3701E"/>
    <w:rsid w:val="642069D5"/>
    <w:rsid w:val="64686F03"/>
    <w:rsid w:val="647F5392"/>
    <w:rsid w:val="65E66580"/>
    <w:rsid w:val="664B1D71"/>
    <w:rsid w:val="664B4E8E"/>
    <w:rsid w:val="67277B67"/>
    <w:rsid w:val="67AA3209"/>
    <w:rsid w:val="686977EB"/>
    <w:rsid w:val="698D0931"/>
    <w:rsid w:val="6A31115D"/>
    <w:rsid w:val="6A7FE5F3"/>
    <w:rsid w:val="6B053271"/>
    <w:rsid w:val="6B733338"/>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9183E"/>
    <w:rsid w:val="7CFE0F48"/>
    <w:rsid w:val="7D272ABC"/>
    <w:rsid w:val="7D7EC23E"/>
    <w:rsid w:val="7DB80C59"/>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suppressAutoHyphens w:val="0"/>
      <w:autoSpaceDE w:val="0"/>
      <w:autoSpaceDN w:val="0"/>
      <w:adjustRightInd w:val="0"/>
      <w:jc w:val="left"/>
    </w:pPr>
    <w:rPr>
      <w:rFonts w:ascii="Times New Roman" w:hAnsi="Times New Roman"/>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5</TotalTime>
  <ScaleCrop>false</ScaleCrop>
  <LinksUpToDate>false</LinksUpToDate>
  <CharactersWithSpaces>8692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2025-10-27T01:41:23Z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0AFEEE2EB0ED45BB83EBBD91F2097AC2</vt:lpwstr>
  </property>
</Properties>
</file>