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17" w:firstLineChars="4"/>
        <w:jc w:val="center"/>
        <w:textAlignment w:val="auto"/>
        <w:rPr>
          <w:rFonts w:eastAsia="方正小标宋_GBK"/>
          <w:b/>
          <w:bCs/>
          <w:sz w:val="44"/>
          <w:szCs w:val="44"/>
          <w:highlight w:val="none"/>
        </w:rPr>
      </w:pPr>
      <w:r>
        <w:rPr>
          <w:rFonts w:eastAsia="方正小标宋_GBK"/>
          <w:b/>
          <w:bCs/>
          <w:sz w:val="44"/>
          <w:szCs w:val="44"/>
          <w:highlight w:val="none"/>
        </w:rPr>
        <w:t>关于攀枝花市东区202</w:t>
      </w:r>
      <w:r>
        <w:rPr>
          <w:rFonts w:hint="eastAsia" w:eastAsia="方正小标宋_GBK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eastAsia="方正小标宋_GBK"/>
          <w:b/>
          <w:bCs/>
          <w:sz w:val="44"/>
          <w:szCs w:val="44"/>
          <w:highlight w:val="none"/>
        </w:rPr>
        <w:t>年决算和202</w:t>
      </w:r>
      <w:r>
        <w:rPr>
          <w:rFonts w:hint="eastAsia" w:eastAsia="方正小标宋_GBK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eastAsia="方正小标宋_GBK"/>
          <w:b/>
          <w:bCs/>
          <w:sz w:val="44"/>
          <w:szCs w:val="44"/>
          <w:highlight w:val="none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17" w:firstLineChars="4"/>
        <w:jc w:val="center"/>
        <w:textAlignment w:val="auto"/>
        <w:rPr>
          <w:rFonts w:eastAsia="方正小标宋_GBK"/>
          <w:b/>
          <w:bCs/>
          <w:sz w:val="38"/>
          <w:szCs w:val="38"/>
          <w:highlight w:val="none"/>
        </w:rPr>
      </w:pPr>
      <w:r>
        <w:rPr>
          <w:rFonts w:eastAsia="方正小标宋_GBK"/>
          <w:b/>
          <w:bCs/>
          <w:sz w:val="44"/>
          <w:szCs w:val="44"/>
          <w:highlight w:val="none"/>
        </w:rPr>
        <w:t>1</w:t>
      </w:r>
      <w:r>
        <w:rPr>
          <w:rFonts w:hint="eastAsia" w:eastAsia="方正小标宋_GBK"/>
          <w:b/>
          <w:bCs/>
          <w:sz w:val="44"/>
          <w:szCs w:val="44"/>
          <w:highlight w:val="none"/>
          <w:lang w:eastAsia="zh-CN"/>
        </w:rPr>
        <w:t>至</w:t>
      </w:r>
      <w:r>
        <w:rPr>
          <w:rFonts w:eastAsia="方正小标宋_GBK"/>
          <w:b/>
          <w:bCs/>
          <w:sz w:val="44"/>
          <w:szCs w:val="44"/>
          <w:highlight w:val="none"/>
        </w:rPr>
        <w:t>6月预算执行情况的报告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outlineLvl w:val="0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东区十二届人大常委会：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受区人民政府的委托，我向区人大常委会报告2024年决算和2025年1至6月预算执行情况，请予审议。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一、2024年决算情况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是实施“十四五”规划的关键一年，是东区加快创建全国百强区扎实推进共同富裕的攻坚之年。一年来，在区委的坚强领导下，在区人大及其常委会监督支持下，全区财政工作坚定以习近平新时代中国特色社会主义思想为指导，深入贯彻党的二十大、二十届二中、三中全会精神以及习近平总书记对四川工作系列重要指示精神，紧紧围绕区委总体工作思路，严格执行区十二届人大四次会议审查批准的预算，全力以赴抓收入、优支出、强争取、促共富、惠民生、防风险，为全区经济社会高质量发展提供坚强保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（一）财政收支决算情况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color w:val="000000"/>
          <w:sz w:val="32"/>
          <w:szCs w:val="32"/>
        </w:rPr>
      </w:pPr>
      <w:r>
        <w:rPr>
          <w:rFonts w:eastAsia="方正仿宋_GBK"/>
          <w:b/>
          <w:color w:val="000000"/>
          <w:sz w:val="32"/>
          <w:szCs w:val="32"/>
        </w:rPr>
        <w:t>1.一般公共预算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color w:val="000000"/>
          <w:sz w:val="32"/>
          <w:szCs w:val="32"/>
        </w:rPr>
      </w:pPr>
      <w:r>
        <w:rPr>
          <w:rFonts w:eastAsia="方正仿宋_GBK"/>
          <w:b/>
          <w:color w:val="000000"/>
          <w:sz w:val="32"/>
          <w:szCs w:val="32"/>
        </w:rPr>
        <w:t>（1）决算平衡情况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bCs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2024年，东区一般公共预算收入99,268万元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完成</w:t>
      </w:r>
      <w:r>
        <w:rPr>
          <w:rFonts w:eastAsia="方正仿宋_GBK"/>
          <w:color w:val="000000"/>
          <w:sz w:val="32"/>
          <w:szCs w:val="32"/>
        </w:rPr>
        <w:t>预算的103.4%，增长3.98%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）、</w:t>
      </w:r>
      <w:r>
        <w:rPr>
          <w:rFonts w:eastAsia="方正仿宋_GBK"/>
          <w:color w:val="000000"/>
          <w:sz w:val="32"/>
          <w:szCs w:val="32"/>
        </w:rPr>
        <w:t>上级补助收入147,074万元、地方政府一般债务转贷收入11,370万元、调入资金1,000万元、动用预算稳定调节基金16,054万元、上年结余66,844万元，收入合计341,610万元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；</w:t>
      </w:r>
      <w:r>
        <w:rPr>
          <w:rFonts w:eastAsia="方正仿宋_GBK"/>
          <w:color w:val="000000"/>
          <w:sz w:val="32"/>
          <w:szCs w:val="32"/>
        </w:rPr>
        <w:t>东区一般公共预算支出217,787万元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完成</w:t>
      </w:r>
      <w:r>
        <w:rPr>
          <w:rFonts w:eastAsia="方正仿宋_GBK"/>
          <w:color w:val="000000"/>
          <w:sz w:val="32"/>
          <w:szCs w:val="32"/>
        </w:rPr>
        <w:t>预算的93.91%，增长10.23%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）、</w:t>
      </w:r>
      <w:r>
        <w:rPr>
          <w:rFonts w:eastAsia="方正仿宋_GBK"/>
          <w:color w:val="000000"/>
          <w:sz w:val="32"/>
          <w:szCs w:val="32"/>
        </w:rPr>
        <w:t>地方政府一般债务还本支出10,870万元、上解支出42,736万元，</w:t>
      </w:r>
      <w:r>
        <w:rPr>
          <w:rFonts w:eastAsia="方正仿宋_GBK"/>
          <w:sz w:val="32"/>
          <w:szCs w:val="32"/>
        </w:rPr>
        <w:t>支出合计271,393万元。</w:t>
      </w:r>
      <w:r>
        <w:rPr>
          <w:rFonts w:eastAsia="方正仿宋_GBK"/>
          <w:color w:val="000000"/>
          <w:sz w:val="32"/>
          <w:szCs w:val="32"/>
        </w:rPr>
        <w:t>总收支相抵结余70,217万元，在按政策规定安排预算稳定调节基金13,453万元后，年终结余56,764万元。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与向区十二届人大五次会议报告的执行数相比，东区上级补助收入增加3,942万元，总收入增加3,942万元；上解支出增加277万</w:t>
      </w:r>
      <w:r>
        <w:rPr>
          <w:rFonts w:eastAsia="方正仿宋_GBK"/>
          <w:sz w:val="32"/>
          <w:szCs w:val="32"/>
        </w:rPr>
        <w:t>元，安排预算稳定调节基金增加249万元，年终结余增加3,416万元，</w:t>
      </w:r>
      <w:r>
        <w:rPr>
          <w:rFonts w:eastAsia="方正仿宋_GBK"/>
          <w:color w:val="000000"/>
          <w:sz w:val="32"/>
          <w:szCs w:val="32"/>
        </w:rPr>
        <w:t>总支出增加3,942万元</w:t>
      </w:r>
      <w:r>
        <w:rPr>
          <w:rFonts w:eastAsia="方正仿宋_GBK"/>
          <w:sz w:val="32"/>
          <w:szCs w:val="32"/>
        </w:rPr>
        <w:t>。收支变化原因主要是：根据上下级结算变动相应调整补助数和上解数；根据年终账务清理结果相应调整预算稳定调节基金和年终结余。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（2）收入决算主要情况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，区级税收收入61,260万元，为预算的100.43%，增长1.95%；非税收入38,008万元，为预算的108.59%，增长7.45%。税收收入中，增值税23,900万元，为预算的100.47%，下降6.51%；企业所得税8,479万元，为预算的100.06%，增长4.32%；城市维护建设税5,308万元，为预算的100.4%，下降7.2%；耕地占用税4,371万元，为预算的101.53%，增长50.83%；契税4,325万元，为预算的100.58%，增长12.05%。非税收入中，专项收入7,118万元，为预算的100.25%，下降4.76%；行政事业性收费收入1,285万元，为预算的107.08%，下降23.05%；罚没收入3,523万元，为预算的99.94%，增长25.06%；国有资源（资产）有偿使用收入24,746万元，为预算的113%，增长9.03%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（3）支出决算主要情况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，东区教育支出39,529万元，为预算的95.55%，增长0.02%；社会保障和就业支出30,199万元，为预算的96.41%，增长9.23%；卫生健康支出17,060万元，为预算的92.97%，增长1.49%；公共安全支出4,307万元，为预算的94.1%，增长20.44%；节能环保支出11,791万元，为预算的91.68%，增长104.7%；城乡社区支出16,640万元，为预算的84.07%，下降55.8%；农林水支出5,735万元，为预算的95%，增长13.52%；住房保障支出27,444万元，为预算的93.03%，增长3.75%</w:t>
      </w:r>
      <w:r>
        <w:rPr>
          <w:rFonts w:hint="eastAsia" w:eastAsia="方正仿宋_GBK"/>
          <w:sz w:val="32"/>
          <w:szCs w:val="32"/>
          <w:lang w:eastAsia="zh-CN"/>
        </w:rPr>
        <w:t>；</w:t>
      </w:r>
      <w:r>
        <w:rPr>
          <w:rFonts w:eastAsia="方正仿宋_GBK"/>
          <w:sz w:val="32"/>
          <w:szCs w:val="32"/>
        </w:rPr>
        <w:t>灾害防治及应急管理支出3,023万元，为预算的94.35%，增长92.3%。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（4）总预备费使用情况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东区总预备费预算2,100万元，实际支出2,100万元，主要用于应急能力提升、公共卫生服务等方面。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（5）超收收入安排使用情况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2024年，东区一般公共预算收入实现超收3</w:t>
      </w:r>
      <w:r>
        <w:rPr>
          <w:rFonts w:hint="eastAsia" w:eastAsia="方正仿宋_GBK"/>
          <w:sz w:val="32"/>
          <w:szCs w:val="32"/>
          <w:lang w:val="en-US" w:eastAsia="zh-CN"/>
        </w:rPr>
        <w:t>,</w:t>
      </w:r>
      <w:r>
        <w:rPr>
          <w:rFonts w:eastAsia="方正仿宋_GBK"/>
          <w:sz w:val="32"/>
          <w:szCs w:val="32"/>
        </w:rPr>
        <w:t>268万元，按照《中华人民共和国预算法》规定，超收收入已全部补充到预算稳定调节基金。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（6）预算稳定调节基金使用及结余情况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2024年初，东区预算稳定调节基金结余16,054万元，全年</w:t>
      </w:r>
      <w:r>
        <w:rPr>
          <w:rFonts w:eastAsia="方正仿宋_GBK"/>
          <w:bCs/>
          <w:sz w:val="32"/>
          <w:szCs w:val="32"/>
        </w:rPr>
        <w:t>动用</w:t>
      </w:r>
      <w:r>
        <w:rPr>
          <w:rFonts w:eastAsia="方正仿宋_GBK"/>
          <w:sz w:val="32"/>
          <w:szCs w:val="32"/>
        </w:rPr>
        <w:t>16,054</w:t>
      </w:r>
      <w:r>
        <w:rPr>
          <w:rFonts w:eastAsia="方正仿宋_GBK"/>
          <w:bCs/>
          <w:sz w:val="32"/>
          <w:szCs w:val="32"/>
        </w:rPr>
        <w:t>万元，</w:t>
      </w:r>
      <w:r>
        <w:rPr>
          <w:rFonts w:eastAsia="方正仿宋_GBK"/>
          <w:sz w:val="32"/>
          <w:szCs w:val="32"/>
        </w:rPr>
        <w:t>主要用于弥补因财力减少产生的民生支出缺口。当年超收收入3,268万元以及连续两年未用完的结余资金10,185万元补充到预算稳定调节基金后，年终结余13,453万元。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（7）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“三公”</w:t>
      </w:r>
      <w:r>
        <w:rPr>
          <w:rFonts w:eastAsia="方正仿宋_GBK"/>
          <w:b/>
          <w:sz w:val="32"/>
          <w:szCs w:val="32"/>
        </w:rPr>
        <w:t>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，全区行政事业单位“三公”经费支出301.67万元，较上年增加1.39万元，增长0.46%，主要原因是因公出国（境）经费增加。其中：因公出国（境）经费8.92万元，较上年增加8.92万元；公务用车购置及运行维护费241.45万元，较上年减少7.35万元，下降2.95%（其中：公务用车购置费29.29万元，较上年增加29.29万元；公务用车运行维护费212.16万元，较上年减少36.64万元，下降14.73%）；公务接待费51.3万元，较上年减少0.18万元，下降0.35%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2.政府性基金预算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2024年，</w:t>
      </w:r>
      <w:r>
        <w:rPr>
          <w:rFonts w:eastAsia="方正仿宋_GBK"/>
          <w:sz w:val="32"/>
          <w:szCs w:val="32"/>
        </w:rPr>
        <w:t>东区政府性基金预算收入7,874万元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为</w:t>
      </w:r>
      <w:r>
        <w:rPr>
          <w:rFonts w:eastAsia="方正仿宋_GBK"/>
          <w:sz w:val="32"/>
          <w:szCs w:val="32"/>
        </w:rPr>
        <w:t>预算的80.14%，增长8.28%</w:t>
      </w:r>
      <w:r>
        <w:rPr>
          <w:rFonts w:hint="eastAsia" w:eastAsia="方正仿宋_GBK"/>
          <w:sz w:val="32"/>
          <w:szCs w:val="32"/>
          <w:lang w:eastAsia="zh-CN"/>
        </w:rPr>
        <w:t>）、</w:t>
      </w:r>
      <w:r>
        <w:rPr>
          <w:rFonts w:eastAsia="方正仿宋_GBK"/>
          <w:sz w:val="32"/>
          <w:szCs w:val="32"/>
        </w:rPr>
        <w:t>上级补助收入17,840万元、</w:t>
      </w:r>
      <w:r>
        <w:rPr>
          <w:rFonts w:eastAsia="方正仿宋_GBK"/>
          <w:bCs/>
          <w:sz w:val="32"/>
          <w:szCs w:val="32"/>
        </w:rPr>
        <w:t>地方政府专项债务转贷收入142,546万元</w:t>
      </w:r>
      <w:r>
        <w:rPr>
          <w:rFonts w:eastAsia="方正仿宋_GBK"/>
          <w:sz w:val="32"/>
          <w:szCs w:val="32"/>
        </w:rPr>
        <w:t>、上年结余1,402万元，收入合计169,662万元</w:t>
      </w:r>
      <w:r>
        <w:rPr>
          <w:rFonts w:hint="eastAsia" w:eastAsia="方正仿宋_GBK"/>
          <w:sz w:val="32"/>
          <w:szCs w:val="32"/>
          <w:lang w:eastAsia="zh-CN"/>
        </w:rPr>
        <w:t>；</w:t>
      </w:r>
      <w:r>
        <w:rPr>
          <w:rFonts w:eastAsia="方正仿宋_GBK"/>
          <w:color w:val="000000"/>
          <w:sz w:val="32"/>
          <w:szCs w:val="32"/>
        </w:rPr>
        <w:t>东区</w:t>
      </w:r>
      <w:r>
        <w:rPr>
          <w:rFonts w:eastAsia="方正仿宋_GBK"/>
          <w:sz w:val="32"/>
          <w:szCs w:val="32"/>
        </w:rPr>
        <w:t>政府性基金预算支出56,370万元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eastAsia="方正仿宋_GBK"/>
          <w:sz w:val="32"/>
          <w:szCs w:val="32"/>
        </w:rPr>
        <w:t>为预算的86.94%，增长143.59%</w:t>
      </w:r>
      <w:r>
        <w:rPr>
          <w:rFonts w:hint="eastAsia" w:eastAsia="方正仿宋_GBK"/>
          <w:sz w:val="32"/>
          <w:szCs w:val="32"/>
          <w:lang w:eastAsia="zh-CN"/>
        </w:rPr>
        <w:t>）、</w:t>
      </w:r>
      <w:r>
        <w:rPr>
          <w:rFonts w:eastAsia="方正仿宋_GBK"/>
          <w:sz w:val="32"/>
          <w:szCs w:val="32"/>
        </w:rPr>
        <w:t>加地方政府专项债务还本支出</w:t>
      </w:r>
      <w:r>
        <w:rPr>
          <w:rFonts w:eastAsia="方正仿宋_GBK"/>
          <w:bCs/>
          <w:sz w:val="32"/>
          <w:szCs w:val="32"/>
        </w:rPr>
        <w:t>82,030</w:t>
      </w:r>
      <w:r>
        <w:rPr>
          <w:rFonts w:eastAsia="方正仿宋_GBK"/>
          <w:sz w:val="32"/>
          <w:szCs w:val="32"/>
        </w:rPr>
        <w:t>万元，支出合计138,400万元。总收支相抵结余31,262万元。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与向区十二届人大五次会议报告的执行数相比，上级补助资金减少171万元，总收入减少171万元；年终结余减少171万元，总支出减少171万元。收支变化原因主要是：根据上下级结算变动相应调整补助数和结余数。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3.国有资本经营预算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2024年，东区国有资本经营预算收入1,000万元</w:t>
      </w:r>
      <w:r>
        <w:rPr>
          <w:rFonts w:hint="eastAsia" w:eastAsia="方正仿宋_GBK"/>
          <w:bCs/>
          <w:sz w:val="32"/>
          <w:szCs w:val="32"/>
          <w:lang w:eastAsia="zh-CN"/>
        </w:rPr>
        <w:t>（</w:t>
      </w:r>
      <w:r>
        <w:rPr>
          <w:rFonts w:hint="default" w:eastAsia="方正仿宋_GBK"/>
          <w:bCs/>
          <w:sz w:val="32"/>
          <w:szCs w:val="32"/>
          <w:lang w:val="en-US"/>
        </w:rPr>
        <w:t>为</w:t>
      </w:r>
      <w:r>
        <w:rPr>
          <w:rFonts w:eastAsia="方正仿宋_GBK"/>
          <w:bCs/>
          <w:sz w:val="32"/>
          <w:szCs w:val="32"/>
        </w:rPr>
        <w:t>预算的100%，增长257.14%</w:t>
      </w:r>
      <w:r>
        <w:rPr>
          <w:rFonts w:hint="eastAsia" w:eastAsia="方正仿宋_GBK"/>
          <w:bCs/>
          <w:sz w:val="32"/>
          <w:szCs w:val="32"/>
          <w:lang w:eastAsia="zh-CN"/>
        </w:rPr>
        <w:t>）、</w:t>
      </w:r>
      <w:r>
        <w:rPr>
          <w:rFonts w:eastAsia="方正仿宋_GBK"/>
          <w:bCs/>
          <w:sz w:val="32"/>
          <w:szCs w:val="32"/>
        </w:rPr>
        <w:t>上级补助收入4,315万元、</w:t>
      </w:r>
      <w:r>
        <w:rPr>
          <w:rFonts w:eastAsia="方正仿宋_GBK"/>
          <w:sz w:val="32"/>
          <w:szCs w:val="32"/>
        </w:rPr>
        <w:t>上年结余72万元</w:t>
      </w:r>
      <w:r>
        <w:rPr>
          <w:rFonts w:eastAsia="方正仿宋_GBK"/>
          <w:bCs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收入合计</w:t>
      </w:r>
      <w:r>
        <w:rPr>
          <w:rFonts w:eastAsia="方正仿宋_GBK"/>
          <w:bCs/>
          <w:sz w:val="32"/>
          <w:szCs w:val="32"/>
        </w:rPr>
        <w:t>5,387万元</w:t>
      </w:r>
      <w:r>
        <w:rPr>
          <w:rFonts w:hint="eastAsia" w:eastAsia="方正仿宋_GBK"/>
          <w:bCs/>
          <w:sz w:val="32"/>
          <w:szCs w:val="32"/>
          <w:lang w:eastAsia="zh-CN"/>
        </w:rPr>
        <w:t>；</w:t>
      </w:r>
      <w:r>
        <w:rPr>
          <w:rFonts w:eastAsia="方正仿宋_GBK"/>
          <w:bCs/>
          <w:sz w:val="32"/>
          <w:szCs w:val="32"/>
        </w:rPr>
        <w:t>东区国有资本经营预算支出4,177万元</w:t>
      </w:r>
      <w:r>
        <w:rPr>
          <w:rFonts w:hint="eastAsia" w:eastAsia="方正仿宋_GBK"/>
          <w:bCs/>
          <w:sz w:val="32"/>
          <w:szCs w:val="32"/>
          <w:lang w:eastAsia="zh-CN"/>
        </w:rPr>
        <w:t>（</w:t>
      </w:r>
      <w:r>
        <w:rPr>
          <w:rFonts w:eastAsia="方正仿宋_GBK"/>
          <w:bCs/>
          <w:sz w:val="32"/>
          <w:szCs w:val="32"/>
        </w:rPr>
        <w:t>为预算的85.47%，增长146%</w:t>
      </w:r>
      <w:r>
        <w:rPr>
          <w:rFonts w:hint="eastAsia" w:eastAsia="方正仿宋_GBK"/>
          <w:bCs/>
          <w:sz w:val="32"/>
          <w:szCs w:val="32"/>
          <w:lang w:eastAsia="zh-CN"/>
        </w:rPr>
        <w:t>）、</w:t>
      </w:r>
      <w:r>
        <w:rPr>
          <w:rFonts w:eastAsia="方正仿宋_GBK"/>
          <w:bCs/>
          <w:sz w:val="32"/>
          <w:szCs w:val="32"/>
        </w:rPr>
        <w:t>调出资金1,000万元，支出合计5,177万元。</w:t>
      </w:r>
      <w:r>
        <w:rPr>
          <w:rFonts w:eastAsia="方正仿宋_GBK"/>
          <w:sz w:val="32"/>
          <w:szCs w:val="32"/>
        </w:rPr>
        <w:t>总收支相抵结余</w:t>
      </w:r>
      <w:r>
        <w:rPr>
          <w:rFonts w:eastAsia="方正仿宋_GBK"/>
          <w:bCs/>
          <w:sz w:val="32"/>
          <w:szCs w:val="32"/>
        </w:rPr>
        <w:t>210</w:t>
      </w:r>
      <w:r>
        <w:rPr>
          <w:rFonts w:eastAsia="方正仿宋_GBK"/>
          <w:sz w:val="32"/>
          <w:szCs w:val="32"/>
        </w:rPr>
        <w:t>万元</w:t>
      </w:r>
      <w:r>
        <w:rPr>
          <w:rFonts w:eastAsia="方正仿宋_GBK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与向区十二届人大五次会议报告的执行数相比，收支无变化</w:t>
      </w:r>
      <w:r>
        <w:rPr>
          <w:rFonts w:eastAsia="方正仿宋_GBK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4.</w:t>
      </w:r>
      <w:r>
        <w:rPr>
          <w:rFonts w:eastAsia="方正仿宋_GBK"/>
          <w:b/>
          <w:bCs/>
          <w:sz w:val="32"/>
          <w:szCs w:val="32"/>
        </w:rPr>
        <w:t>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，上级下达东区转移支付补助169,229万元，其中：财力性补助64,463万元，占比为38.09%；共同财政事权转移支付补助24,128万元，占比为14.26%；专项转移支付补助80,638万元（包含一般公共预算补助58,483万元、政府性基金预算补助17,840万元、国有资本经营预算补助4,315万元），占比为47.65%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5.地方政府债务情况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2023年末，东区地方政府债务余额201,408万元（一般债务132,278万元、专项债务69,130万元）。2024年上级转贷东区政府新增债券134,816万元（一般债券500万元、专项债券134,316万元）、再融资置换债券19,100万元（一般债券10,870万元、专项债券8,230万元），当年偿还到期政府债务19,100万元（全部通过争取再融资置换债券），年末东区地方政府债务余额</w:t>
      </w:r>
      <w:r>
        <w:rPr>
          <w:rFonts w:hint="eastAsia" w:eastAsia="方正仿宋_GBK"/>
          <w:sz w:val="32"/>
          <w:szCs w:val="32"/>
        </w:rPr>
        <w:t>为</w:t>
      </w:r>
      <w:r>
        <w:rPr>
          <w:rFonts w:eastAsia="方正仿宋_GBK"/>
          <w:sz w:val="32"/>
          <w:szCs w:val="32"/>
        </w:rPr>
        <w:t>336,224万元，控制在上级核定的债务限额485,967万元以内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其中：一般债务限额134,181万元、余额132,778万元，专项债务限额351,786万元、余额203,446万元，地方政府债务风险总体可控。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sz w:val="32"/>
          <w:szCs w:val="32"/>
        </w:rPr>
      </w:pPr>
      <w:r>
        <w:rPr>
          <w:rFonts w:eastAsia="方正仿宋_GBK"/>
          <w:sz w:val="32"/>
          <w:szCs w:val="32"/>
        </w:rPr>
        <w:t>与向区十二届人大五次会议报告的执行数相比，债务限额和余额均未发生变化。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（二）重大政策执行情况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2024年，我们认真落实区人大及其常委会的有关决议和审查意见，坚持尽力而为、量力而行，推动积极的财政政策适度加力、提质增效，为加快创建全国百强区扎实推进共同富裕提供有力支撑。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1.狠抓财源建设，增强共同富裕保障。</w:t>
      </w:r>
      <w:r>
        <w:rPr>
          <w:rFonts w:eastAsia="方正仿宋_GBK"/>
          <w:sz w:val="32"/>
          <w:szCs w:val="32"/>
        </w:rPr>
        <w:t>紧紧围绕做大综合财力目标任务，通过抓收入、争资金、盘存量等方式千方百计做大财力规模，全年综合财力首次突破30亿元</w:t>
      </w:r>
      <w:r>
        <w:rPr>
          <w:rFonts w:hint="eastAsia" w:eastAsia="方正仿宋_GBK"/>
          <w:sz w:val="32"/>
          <w:szCs w:val="32"/>
        </w:rPr>
        <w:t>大关</w:t>
      </w:r>
      <w:r>
        <w:rPr>
          <w:rFonts w:eastAsia="方正仿宋_GBK"/>
          <w:sz w:val="32"/>
          <w:szCs w:val="32"/>
        </w:rPr>
        <w:t>，为共同富裕实验区建设奠定财政基础。全年落实新增减税降费及退税49,035万元，切实减轻经营主体负担。加强对重点税源、重点项目跟踪服务，实行清单化管理，清缴各项欠税25,093万元。持续推进国有资源（资产）盘活，实现水库经营权出让收入6,980万元、棚改腾空地出让分成1,099万元，全年一般公共预算收入规模创历史新高。树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“抓争取就是强财政”</w:t>
      </w:r>
      <w:r>
        <w:rPr>
          <w:rFonts w:eastAsia="方正仿宋_GBK"/>
          <w:sz w:val="32"/>
          <w:szCs w:val="32"/>
        </w:rPr>
        <w:t>理念，全年争取各类上级资金323,145万元、同比增长86.2%，完成全年确保目标的162.2%，争取总额创历史新高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位列全市第1位。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2.强化支出管理，着力办好民生实事。</w:t>
      </w:r>
      <w:r>
        <w:rPr>
          <w:rFonts w:eastAsia="方正仿宋_GBK"/>
          <w:sz w:val="32"/>
          <w:szCs w:val="32"/>
        </w:rPr>
        <w:t>贯彻落实过紧日子要求，从严从紧安排非刚性、非重点项目支出，坚持严管控、保重点，全年一般性支出压减10%，挤出更多资金用于民生保障。安排教育、卫生健康、社会保障和就业等资金86,788万元，支持教育事业优质均衡发展、提高医疗健康保障能力、扎实推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“消底、提低、扩中”</w:t>
      </w:r>
      <w:r>
        <w:rPr>
          <w:rFonts w:eastAsia="方正仿宋_GBK"/>
          <w:sz w:val="32"/>
          <w:szCs w:val="32"/>
        </w:rPr>
        <w:t>行动。秉持以人民为中心的发展理念，坚定不移地优先保障民生领域，不断增进民生福祉、夯实共同富裕根基，</w:t>
      </w:r>
      <w:r>
        <w:rPr>
          <w:rFonts w:eastAsia="方正仿宋_GBK"/>
          <w:bCs/>
          <w:sz w:val="32"/>
          <w:szCs w:val="32"/>
        </w:rPr>
        <w:t>全年民生支出投入159,305万元，占一般公共预算支出的比重达到73.15%、较上年提升2.81个百分点，高于全市平均水平4.54个百分点。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3.坚守底线思维，防范化解财政风险</w:t>
      </w:r>
      <w:r>
        <w:rPr>
          <w:rFonts w:eastAsia="方正仿宋_GBK"/>
          <w:sz w:val="32"/>
          <w:szCs w:val="32"/>
        </w:rPr>
        <w:t>。积极抢抓中央推出一揽子化债政策契机，全年争取化债专项债券115,100万元用于化解存量隐性债务，有效减轻了地方政府还本付息压力。通过安排预算资金、争取再融资债券等方式及时偿付到期政府债务本息26,196万元；严格落实隐性债务化解计划，全年化解隐性债务125,899万元、年度化解完成率107.78%。不遗余力加强地方政府债务风险管控，千方百计降低政府债务风险，全年</w:t>
      </w:r>
      <w:r>
        <w:rPr>
          <w:rFonts w:eastAsia="方正仿宋_GBK"/>
          <w:bCs/>
          <w:sz w:val="32"/>
          <w:szCs w:val="32"/>
        </w:rPr>
        <w:t>政府隐性债务率降至236%，成功实现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“四连降”</w:t>
      </w:r>
      <w:r>
        <w:rPr>
          <w:rFonts w:eastAsia="方正仿宋_GBK"/>
          <w:bCs/>
          <w:sz w:val="32"/>
          <w:szCs w:val="32"/>
        </w:rPr>
        <w:t>。大力推进拖欠中小企业账款化解，全年偿还拖欠账款161笔、12,913万元，清偿率100%。</w:t>
      </w:r>
      <w:r>
        <w:rPr>
          <w:rFonts w:eastAsia="方正仿宋_GBK"/>
          <w:sz w:val="32"/>
          <w:szCs w:val="32"/>
        </w:rPr>
        <w:t>牢牢兜住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“三保”</w:t>
      </w:r>
      <w:r>
        <w:rPr>
          <w:rFonts w:eastAsia="方正仿宋_GBK"/>
          <w:sz w:val="32"/>
          <w:szCs w:val="32"/>
        </w:rPr>
        <w:t>支出底线，坚持把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“三保”</w:t>
      </w:r>
      <w:r>
        <w:rPr>
          <w:rFonts w:eastAsia="方正仿宋_GBK"/>
          <w:sz w:val="32"/>
          <w:szCs w:val="32"/>
        </w:rPr>
        <w:t>支出纳入区级财政保障的优先序列，全年完成国省标准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“三保”</w:t>
      </w:r>
      <w:r>
        <w:rPr>
          <w:rFonts w:eastAsia="方正仿宋_GBK"/>
          <w:sz w:val="32"/>
          <w:szCs w:val="32"/>
        </w:rPr>
        <w:t>支出77,457万元，占一般公共预算支出的35.57%，未出现系统性、区域性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“三保”</w:t>
      </w:r>
      <w:r>
        <w:rPr>
          <w:rFonts w:eastAsia="方正仿宋_GBK"/>
          <w:sz w:val="32"/>
          <w:szCs w:val="32"/>
        </w:rPr>
        <w:t>风险。财政各项风险均在可控范围内。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b/>
          <w:bCs/>
          <w:sz w:val="32"/>
          <w:szCs w:val="32"/>
        </w:rPr>
        <w:t>.完善财政管理，提升财政治理效能。</w:t>
      </w:r>
      <w:r>
        <w:rPr>
          <w:rFonts w:eastAsia="方正仿宋_GBK"/>
          <w:sz w:val="32"/>
          <w:szCs w:val="32"/>
        </w:rPr>
        <w:t>修订差旅费、会议费、培训费等管理制度，编印《财政应知应会读本》，从制度机制上规范全区财政财务管理。进一步加强库款管理与预算执行、债券资金、账户规范等统筹协调，建立库款运行动态监测机制，不断提升库款监测水平和保障能力。深化预算绩效管理改革，实现绩效目标编制、运行监控、绩效自评全覆盖，对8个预算单位和16个项目开展重点评价，涉及财政资金2.15亿元。严格规范政府采购管理，全年完成计划审批103项（次）、金额13,584万元；政府采购项目备案97项（次）、金额12,460万元。紧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“三公”</w:t>
      </w:r>
      <w:r>
        <w:rPr>
          <w:rFonts w:eastAsia="方正仿宋_GBK"/>
          <w:sz w:val="32"/>
          <w:szCs w:val="32"/>
        </w:rPr>
        <w:t>经费、惠民惠农财政补贴、津贴补贴规范等重点领域开展专项监督检查20余次，完成问题整改100余个，持续规范财经纪律。深入推进</w:t>
      </w:r>
      <w:r>
        <w:rPr>
          <w:rFonts w:hint="eastAsia" w:eastAsia="方正仿宋_GBK"/>
          <w:sz w:val="32"/>
          <w:szCs w:val="32"/>
          <w:lang w:eastAsia="zh-CN"/>
        </w:rPr>
        <w:t>群众身边不正之风和腐败问题集中整治</w:t>
      </w:r>
      <w:r>
        <w:rPr>
          <w:rFonts w:eastAsia="方正仿宋_GBK"/>
          <w:sz w:val="32"/>
          <w:szCs w:val="32"/>
        </w:rPr>
        <w:t>工作，确保财政资金规范性和安全性。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（三）落实人大决议情况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严格执行《中华人民共和国预算法》《中华人民共和国预算法实施条例》和《四川省预算审查监督条例》等规定，主动接受人大审查监督，分别报告了2024年财政预算草案、2023年财政决算和2024年1至6月预算执行情况、2024年调整预算方案、2023年国有资产管理情况等。全面落实区人大及其常委会的有关决议和审查意见，持续加强预算管理、政府债务、</w:t>
      </w:r>
      <w:r>
        <w:rPr>
          <w:rFonts w:hint="eastAsia" w:eastAsia="方正仿宋_GBK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绩效、财政监督等方面工作，不断提升依法理财能力。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以上2024年东区财政决算，请予审查批准。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二、2025年1至6月预算执行情况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（一）一般公共预算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1.收入情况。</w:t>
      </w:r>
      <w:r>
        <w:rPr>
          <w:rFonts w:eastAsia="方正仿宋_GBK"/>
          <w:sz w:val="32"/>
          <w:szCs w:val="32"/>
        </w:rPr>
        <w:t>1至6月，东区一般公共预算收入完成54,319万元，为预算的</w:t>
      </w:r>
      <w:r>
        <w:rPr>
          <w:rFonts w:eastAsia="方正仿宋_GBK"/>
          <w:color w:val="000000"/>
          <w:sz w:val="32"/>
          <w:szCs w:val="32"/>
        </w:rPr>
        <w:t>50.3</w:t>
      </w:r>
      <w:r>
        <w:rPr>
          <w:rFonts w:eastAsia="方正仿宋_GBK"/>
          <w:sz w:val="32"/>
          <w:szCs w:val="32"/>
        </w:rPr>
        <w:t>%，增长7.27%。其中：税收收入31,381万元，为预算的</w:t>
      </w:r>
      <w:r>
        <w:rPr>
          <w:rFonts w:eastAsia="方正仿宋_GBK"/>
          <w:color w:val="000000"/>
          <w:sz w:val="32"/>
          <w:szCs w:val="32"/>
        </w:rPr>
        <w:t>49.03</w:t>
      </w:r>
      <w:r>
        <w:rPr>
          <w:rFonts w:eastAsia="方正仿宋_GBK"/>
          <w:sz w:val="32"/>
          <w:szCs w:val="32"/>
        </w:rPr>
        <w:t>%，</w:t>
      </w:r>
      <w:r>
        <w:rPr>
          <w:rFonts w:eastAsia="方正仿宋_GBK"/>
          <w:color w:val="000000"/>
          <w:sz w:val="32"/>
          <w:szCs w:val="32"/>
        </w:rPr>
        <w:t>增长2.17</w:t>
      </w:r>
      <w:r>
        <w:rPr>
          <w:rFonts w:eastAsia="方正仿宋_GBK"/>
          <w:sz w:val="32"/>
          <w:szCs w:val="32"/>
        </w:rPr>
        <w:t>%；非税收入</w:t>
      </w:r>
      <w:r>
        <w:rPr>
          <w:rFonts w:eastAsia="方正仿宋_GBK"/>
          <w:color w:val="000000"/>
          <w:sz w:val="32"/>
          <w:szCs w:val="32"/>
        </w:rPr>
        <w:t>22,938</w:t>
      </w:r>
      <w:r>
        <w:rPr>
          <w:rFonts w:eastAsia="方正仿宋_GBK"/>
          <w:sz w:val="32"/>
          <w:szCs w:val="32"/>
        </w:rPr>
        <w:t>万元，为预算的52.13%，</w:t>
      </w:r>
      <w:r>
        <w:rPr>
          <w:rFonts w:eastAsia="方正仿宋_GBK"/>
          <w:color w:val="000000"/>
          <w:sz w:val="32"/>
          <w:szCs w:val="32"/>
        </w:rPr>
        <w:t>增长15.13</w:t>
      </w:r>
      <w:r>
        <w:rPr>
          <w:rFonts w:eastAsia="方正仿宋_GBK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2.支出情况。</w:t>
      </w:r>
      <w:r>
        <w:rPr>
          <w:rFonts w:eastAsia="方正仿宋_GBK"/>
          <w:sz w:val="32"/>
          <w:szCs w:val="32"/>
        </w:rPr>
        <w:t>1至6月，东区一般公共预算支出完成116,592万元，为预算的51.27%（含上级专项补助列支，下同），增长27.45%。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（二）政府性基金预算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1.收入情况。</w:t>
      </w:r>
      <w:r>
        <w:rPr>
          <w:rFonts w:eastAsia="方正仿宋_GBK"/>
          <w:sz w:val="32"/>
          <w:szCs w:val="32"/>
        </w:rPr>
        <w:t>1至6月，东区政府性基金预算收入完成2,917万元（其中国有土地使用权出让收入2,913万元），为预算的</w:t>
      </w:r>
      <w:r>
        <w:rPr>
          <w:rFonts w:eastAsia="方正仿宋_GBK"/>
          <w:color w:val="000000"/>
          <w:sz w:val="32"/>
          <w:szCs w:val="32"/>
        </w:rPr>
        <w:t>14.59</w:t>
      </w:r>
      <w:r>
        <w:rPr>
          <w:rFonts w:eastAsia="方正仿宋_GBK"/>
          <w:sz w:val="32"/>
          <w:szCs w:val="32"/>
        </w:rPr>
        <w:t>%，增长</w:t>
      </w:r>
      <w:r>
        <w:rPr>
          <w:rFonts w:eastAsia="方正仿宋_GBK"/>
          <w:color w:val="000000"/>
          <w:sz w:val="32"/>
          <w:szCs w:val="32"/>
        </w:rPr>
        <w:t>646.04</w:t>
      </w:r>
      <w:r>
        <w:rPr>
          <w:rFonts w:eastAsia="方正仿宋_GBK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2.支出情况。</w:t>
      </w:r>
      <w:r>
        <w:rPr>
          <w:rFonts w:eastAsia="方正仿宋_GBK"/>
          <w:sz w:val="32"/>
          <w:szCs w:val="32"/>
        </w:rPr>
        <w:t>1至6月，东区政府性基金预算支出完成25,749万元，为预算的50.06%，增长121.25%。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（三）国有资本经营预算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1.收入情况。</w:t>
      </w:r>
      <w:r>
        <w:rPr>
          <w:rFonts w:eastAsia="方正仿宋_GBK"/>
          <w:sz w:val="32"/>
          <w:szCs w:val="32"/>
        </w:rPr>
        <w:t>1至6月，</w:t>
      </w:r>
      <w:r>
        <w:rPr>
          <w:rFonts w:eastAsia="方正仿宋_GBK"/>
          <w:color w:val="000000"/>
          <w:sz w:val="32"/>
          <w:szCs w:val="32"/>
        </w:rPr>
        <w:t>东区暂未实现国有资本经营预算收入。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2.支出情况。</w:t>
      </w:r>
      <w:r>
        <w:rPr>
          <w:rFonts w:eastAsia="方正仿宋_GBK"/>
          <w:sz w:val="32"/>
          <w:szCs w:val="32"/>
        </w:rPr>
        <w:t>1至6月</w:t>
      </w:r>
      <w:r>
        <w:rPr>
          <w:rFonts w:eastAsia="方正仿宋_GBK"/>
          <w:color w:val="000000"/>
          <w:sz w:val="32"/>
          <w:szCs w:val="32"/>
        </w:rPr>
        <w:t>，东区国有资本经营预算支出完成408万元，为预算的17.29%，下降40.09%。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（四）地方政府债务情况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2024年末，东区地方政府债务余额</w:t>
      </w:r>
      <w:r>
        <w:rPr>
          <w:rFonts w:eastAsia="方正仿宋_GBK"/>
          <w:sz w:val="32"/>
          <w:szCs w:val="32"/>
        </w:rPr>
        <w:t>336,224万元（一般债务132,778万元、</w:t>
      </w:r>
      <w:r>
        <w:rPr>
          <w:rFonts w:hint="eastAsia" w:eastAsia="方正仿宋_GBK"/>
          <w:sz w:val="32"/>
          <w:szCs w:val="32"/>
          <w:lang w:val="en-US" w:eastAsia="zh-CN"/>
        </w:rPr>
        <w:t>专项债务</w:t>
      </w:r>
      <w:r>
        <w:rPr>
          <w:rFonts w:eastAsia="方正仿宋_GBK"/>
          <w:sz w:val="32"/>
          <w:szCs w:val="32"/>
        </w:rPr>
        <w:t>203,446万元）。1至6月，上级转贷东区政府新增债券94,800万元（一般债券200万元、专项债券94,600万元）、再融资置换债券19,100万元（全部为一般债券），偿还到期地方政府债务20,552万元（争取再融资置换债券偿还19,100万元、财政预算资金偿还1,452万元），截至6月底，东区地方政府债务余额为429,572万元，未超过预计债务限额50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,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67万元，其中：一般债务限额134,381万元、余额131,526万元，专项债务限额3</w:t>
      </w:r>
      <w:r>
        <w:rPr>
          <w:rFonts w:hint="eastAsia" w:eastAsia="方正仿宋_GBK"/>
          <w:sz w:val="32"/>
          <w:szCs w:val="32"/>
        </w:rPr>
        <w:t>72</w:t>
      </w:r>
      <w:r>
        <w:rPr>
          <w:rFonts w:eastAsia="方正仿宋_GBK"/>
          <w:sz w:val="32"/>
          <w:szCs w:val="32"/>
        </w:rPr>
        <w:t>,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86万元、余额298,046万元，地方政府债务风险总体可控。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三、2025</w:t>
      </w:r>
      <w:r>
        <w:rPr>
          <w:rFonts w:hint="eastAsia" w:eastAsia="方正黑体_GBK"/>
          <w:sz w:val="32"/>
          <w:szCs w:val="32"/>
        </w:rPr>
        <w:t>年</w:t>
      </w:r>
      <w:r>
        <w:rPr>
          <w:rFonts w:eastAsia="方正黑体_GBK"/>
          <w:sz w:val="32"/>
          <w:szCs w:val="32"/>
        </w:rPr>
        <w:t>财政工作情况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（一）上半年工作开展情况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紧紧围绕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“强区引领、两试担当、五地协同、共富幸福”工作体系，严格执行区十二届人大五次会议审查批准的预算和决议，以“做大综合财力、强化共富保障”</w:t>
      </w:r>
      <w:r>
        <w:rPr>
          <w:rFonts w:eastAsia="方正仿宋_GBK"/>
          <w:bCs/>
          <w:sz w:val="32"/>
          <w:szCs w:val="32"/>
        </w:rPr>
        <w:t>为核心目标，全力以赴抓收入、保重点、防风险、强管理，全力实现财政平稳运行。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1.全力以赴抓收入。一是</w:t>
      </w:r>
      <w:r>
        <w:rPr>
          <w:rFonts w:eastAsia="方正仿宋_GBK"/>
          <w:bCs/>
          <w:sz w:val="32"/>
          <w:szCs w:val="32"/>
        </w:rPr>
        <w:t>及时分解下达全年财政收入和争取资金目标任务，强化研判和调度，组织召开2025年财税工作会、一季度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“开门红”调度会、向上争取资金工作会以及“双过半”调度会等专题会议，压紧压实工作职责，上半年一般公共预算收入实现“双过半”</w:t>
      </w:r>
      <w:r>
        <w:rPr>
          <w:rFonts w:eastAsia="方正仿宋_GBK"/>
          <w:bCs/>
          <w:sz w:val="32"/>
          <w:szCs w:val="32"/>
        </w:rPr>
        <w:t>目标。</w:t>
      </w:r>
      <w:r>
        <w:rPr>
          <w:rFonts w:eastAsia="方正仿宋_GBK"/>
          <w:b/>
          <w:bCs/>
          <w:sz w:val="32"/>
          <w:szCs w:val="32"/>
        </w:rPr>
        <w:t>二是</w:t>
      </w:r>
      <w:r>
        <w:rPr>
          <w:rFonts w:eastAsia="方正仿宋_GBK"/>
          <w:bCs/>
          <w:sz w:val="32"/>
          <w:szCs w:val="32"/>
        </w:rPr>
        <w:t>制定《攀枝花市东区国有资产资源清理盘活工作机制》，分领域制定盘活利用方案，有序推进资源（资产）盘活利用，上半年盘活皮带运输股权4,316万元，进一步拓宽了非税来源。</w:t>
      </w:r>
      <w:r>
        <w:rPr>
          <w:rFonts w:eastAsia="方正仿宋_GBK"/>
          <w:b/>
          <w:bCs/>
          <w:sz w:val="32"/>
          <w:szCs w:val="32"/>
        </w:rPr>
        <w:t>三是</w:t>
      </w:r>
      <w:r>
        <w:rPr>
          <w:rFonts w:eastAsia="方正仿宋_GBK"/>
          <w:bCs/>
          <w:sz w:val="32"/>
          <w:szCs w:val="32"/>
        </w:rPr>
        <w:t>完善争取资金激励机制，统筹安排项目包装储备暨争取资金专项经费900万元，切实增强部门向上争取的积极性和主动性。印发《2025年东区转移支付争取清单》，做实做细向上争取资金和项目谋划，为区级各部门争取资金提供方向和重点。上半年全区争取各类上级资金197,446万元、同比增长86.99%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2.全力以赴保重点。</w:t>
      </w:r>
      <w:r>
        <w:rPr>
          <w:rFonts w:eastAsia="方正仿宋_GBK" w:cs="方正仿宋_GBK"/>
          <w:bCs/>
          <w:sz w:val="32"/>
          <w:szCs w:val="32"/>
        </w:rPr>
        <w:t>千方百计做好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“三保”、债务还本付息、隐性债务化解等重点领域支出保障，避免刚性支出风险，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未发生“三保”</w:t>
      </w:r>
      <w:r>
        <w:rPr>
          <w:rFonts w:eastAsia="方正仿宋_GBK" w:cs="方正仿宋_GBK"/>
          <w:sz w:val="32"/>
          <w:szCs w:val="32"/>
        </w:rPr>
        <w:t>支出风险</w:t>
      </w:r>
      <w:r>
        <w:rPr>
          <w:rFonts w:hint="eastAsia" w:eastAsia="方正仿宋_GBK" w:cs="方正仿宋_GBK"/>
          <w:sz w:val="32"/>
          <w:szCs w:val="32"/>
        </w:rPr>
        <w:t>事件</w:t>
      </w:r>
      <w:r>
        <w:rPr>
          <w:rFonts w:eastAsia="方正仿宋_GBK" w:cs="方正仿宋_GBK"/>
          <w:sz w:val="32"/>
          <w:szCs w:val="32"/>
        </w:rPr>
        <w:t>以及债务违约等情况，</w:t>
      </w:r>
      <w:r>
        <w:rPr>
          <w:rFonts w:eastAsia="方正仿宋_GBK" w:cs="方正仿宋_GBK"/>
          <w:bCs/>
          <w:sz w:val="32"/>
          <w:szCs w:val="32"/>
        </w:rPr>
        <w:t>全区保持较好支出强度，上半年一般</w:t>
      </w:r>
      <w:r>
        <w:rPr>
          <w:rFonts w:eastAsia="方正仿宋_GBK"/>
          <w:bCs/>
          <w:sz w:val="32"/>
          <w:szCs w:val="32"/>
        </w:rPr>
        <w:t>公共预算支出增长27.45%、增幅位列全市第3位，较上年同期提升12.01个百分点。</w:t>
      </w:r>
      <w:r>
        <w:rPr>
          <w:rFonts w:eastAsia="方正仿宋_GBK"/>
          <w:sz w:val="32"/>
          <w:szCs w:val="32"/>
        </w:rPr>
        <w:t>坚持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“财政为民”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/>
          <w:snapToGrid/>
          <w:kern w:val="2"/>
          <w:sz w:val="32"/>
          <w:szCs w:val="32"/>
        </w:rPr>
        <w:t>印发《东区民生保障政策清单》，确保各项惠民政策精准落地，最大限度筹集资金保障民生支出需求，定期调度和通报民生支出进度，</w:t>
      </w:r>
      <w:r>
        <w:rPr>
          <w:rFonts w:eastAsia="方正仿宋_GBK"/>
          <w:sz w:val="32"/>
          <w:szCs w:val="32"/>
        </w:rPr>
        <w:t>上半年民生支出80,121万元，占一般公共预算支出的68.72%。全力筹集资金清偿新一轮拖欠企业账款，上半年清偿122笔、9,274万元。强化投资拉动，上半年争取新增债券、中省预算内投资、超长期特别国债等建设资金</w:t>
      </w:r>
      <w:r>
        <w:rPr>
          <w:rFonts w:hint="eastAsia" w:eastAsia="方正仿宋_GBK"/>
          <w:sz w:val="32"/>
          <w:szCs w:val="32"/>
        </w:rPr>
        <w:t>33,040</w:t>
      </w:r>
      <w:r>
        <w:rPr>
          <w:rFonts w:eastAsia="方正仿宋_GBK"/>
          <w:sz w:val="32"/>
          <w:szCs w:val="32"/>
        </w:rPr>
        <w:t>万元，有力支持全区重大项目建设。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3.全力以赴防风险。</w:t>
      </w:r>
      <w:r>
        <w:rPr>
          <w:rFonts w:eastAsia="方正仿宋_GBK"/>
          <w:sz w:val="32"/>
          <w:szCs w:val="32"/>
        </w:rPr>
        <w:t>配合财政部四川监管局开展2024年隐性债务核查工作，确保东区隐性债务化解真实、有效。做好债务链接，积极争取再融资债券支持，上半年争取再融资置换债券19,100万元、同比增长9.77%，占全年置换计划的84.14%，极大缓解到期政府债务偿付压力。加快隐性债务化解进度，持续用好一揽子化债政策，上半年通过争取化债专项债券、安排预算资金、核销核减等方式化解隐性债务84,773万元（包括市级下划棚改债务本息78,091万元），化解进度85.03%，在全市排第1位。全力推动兴东集团退出融资平台公司名单，上半年通过隐性债务、金融债务双清零方式实现东区融资平台公司数量清零目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4.全力以赴强管理。</w:t>
      </w:r>
      <w:r>
        <w:rPr>
          <w:rFonts w:eastAsia="方正仿宋_GBK"/>
          <w:sz w:val="32"/>
          <w:szCs w:val="32"/>
        </w:rPr>
        <w:t>进一步加强预算绩效管理，印发《东区财政绩效监督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“三管三必须”</w:t>
      </w:r>
      <w:r>
        <w:rPr>
          <w:rFonts w:eastAsia="方正仿宋_GBK"/>
          <w:sz w:val="32"/>
          <w:szCs w:val="32"/>
        </w:rPr>
        <w:t>实施细则》，修订完善预算绩效目标、事前绩效评估等管理办法，强化绩效约束。扩大财政重点绩效评价覆盖范围，选取10个部门和20个项目开展重点绩效评价，涉及财政资金4亿元，评价对象增长25%、评价金额增长86%。</w:t>
      </w:r>
      <w:r>
        <w:rPr>
          <w:rFonts w:eastAsia="方正仿宋_GBK"/>
          <w:bCs/>
          <w:sz w:val="32"/>
          <w:szCs w:val="32"/>
        </w:rPr>
        <w:t>启动新一轮国企改革深化提升行动，编制2025—2027年改革方案，建立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“政府贡献度+经营效益”</w:t>
      </w:r>
      <w:r>
        <w:rPr>
          <w:rFonts w:eastAsia="方正仿宋_GBK"/>
          <w:bCs/>
          <w:sz w:val="32"/>
          <w:szCs w:val="32"/>
        </w:rPr>
        <w:t>差异化考核模型，公平衡量企业承担政府业务的贡献和企业效益，制定《攀枝花市东区区属国有企业出资人监管权责清单》，强化全方位监督，促进区属国企健康稳定发展。开展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“千企万户大走访”“金融问诊”活动，实现“一企一策”精准对接；创新设立“企业政务+金融服务”</w:t>
      </w:r>
      <w:r>
        <w:rPr>
          <w:rFonts w:eastAsia="方正仿宋_GBK"/>
          <w:bCs/>
          <w:sz w:val="32"/>
          <w:szCs w:val="32"/>
        </w:rPr>
        <w:t>专窗，实现开户、融资等28项业务一站式办理。</w:t>
      </w:r>
      <w:r>
        <w:rPr>
          <w:rFonts w:eastAsia="方正仿宋_GBK"/>
          <w:sz w:val="32"/>
          <w:szCs w:val="32"/>
        </w:rPr>
        <w:t>加强财政业务培训，组织90家单位230余人开展财政业务能力提升专题培训，提升财政管理法制化、规范化水平。制定2025年财政监督检查计划，开展各类监督检查20余次，涉及单位30余家，发现问题100余条，并推动问题整改、制度完善，进一步维护全区良好财经秩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（二）下半年财政工作安排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1.</w:t>
      </w:r>
      <w:r>
        <w:rPr>
          <w:rFonts w:hint="eastAsia" w:eastAsia="方正仿宋_GBK"/>
          <w:b/>
          <w:bCs/>
          <w:sz w:val="32"/>
          <w:szCs w:val="32"/>
        </w:rPr>
        <w:t>聚焦</w:t>
      </w:r>
      <w:r>
        <w:rPr>
          <w:rFonts w:eastAsia="方正仿宋_GBK"/>
          <w:b/>
          <w:bCs/>
          <w:sz w:val="32"/>
          <w:szCs w:val="32"/>
        </w:rPr>
        <w:t>精准施策，赋能经济提质增效。一是</w:t>
      </w:r>
      <w:r>
        <w:rPr>
          <w:rFonts w:hint="eastAsia" w:eastAsia="方正仿宋_GBK"/>
          <w:bCs/>
          <w:sz w:val="32"/>
          <w:szCs w:val="32"/>
        </w:rPr>
        <w:t>推动消费提振、</w:t>
      </w:r>
      <w:r>
        <w:rPr>
          <w:rFonts w:eastAsia="方正仿宋_GBK"/>
          <w:bCs/>
          <w:sz w:val="32"/>
          <w:szCs w:val="32"/>
        </w:rPr>
        <w:t>经济运行回升向好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</w:t>
      </w:r>
      <w:r>
        <w:rPr>
          <w:rFonts w:eastAsia="方正仿宋_GBK"/>
          <w:bCs/>
          <w:sz w:val="32"/>
          <w:szCs w:val="32"/>
        </w:rPr>
        <w:t>21条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”</w:t>
      </w:r>
      <w:r>
        <w:rPr>
          <w:rFonts w:hint="eastAsia" w:eastAsia="方正仿宋_GBK"/>
          <w:bCs/>
          <w:sz w:val="32"/>
          <w:szCs w:val="32"/>
        </w:rPr>
        <w:t>等扩内需、稳增长</w:t>
      </w:r>
      <w:r>
        <w:rPr>
          <w:rFonts w:eastAsia="方正仿宋_GBK"/>
          <w:bCs/>
          <w:sz w:val="32"/>
          <w:szCs w:val="32"/>
        </w:rPr>
        <w:t>政策</w:t>
      </w:r>
      <w:r>
        <w:rPr>
          <w:rFonts w:hint="eastAsia" w:eastAsia="方正仿宋_GBK"/>
          <w:bCs/>
          <w:sz w:val="32"/>
          <w:szCs w:val="32"/>
        </w:rPr>
        <w:t>落地落实</w:t>
      </w:r>
      <w:r>
        <w:rPr>
          <w:rFonts w:eastAsia="方正仿宋_GBK"/>
          <w:bCs/>
          <w:sz w:val="32"/>
          <w:szCs w:val="32"/>
        </w:rPr>
        <w:t>，</w:t>
      </w:r>
      <w:r>
        <w:rPr>
          <w:rFonts w:hint="eastAsia" w:eastAsia="方正仿宋_GBK"/>
          <w:bCs/>
          <w:sz w:val="32"/>
          <w:szCs w:val="32"/>
        </w:rPr>
        <w:t>综合运用</w:t>
      </w:r>
      <w:r>
        <w:rPr>
          <w:rFonts w:eastAsia="方正仿宋_GBK"/>
          <w:bCs/>
          <w:sz w:val="32"/>
          <w:szCs w:val="32"/>
        </w:rPr>
        <w:t>减税降费、产业扶持、</w:t>
      </w:r>
      <w:r>
        <w:rPr>
          <w:rFonts w:hint="eastAsia" w:eastAsia="方正仿宋_GBK"/>
          <w:bCs/>
          <w:sz w:val="32"/>
          <w:szCs w:val="32"/>
        </w:rPr>
        <w:t>财金互动</w:t>
      </w:r>
      <w:r>
        <w:rPr>
          <w:rFonts w:eastAsia="方正仿宋_GBK"/>
          <w:bCs/>
          <w:sz w:val="32"/>
          <w:szCs w:val="32"/>
        </w:rPr>
        <w:t>等政策</w:t>
      </w:r>
      <w:r>
        <w:rPr>
          <w:rFonts w:hint="eastAsia" w:eastAsia="方正仿宋_GBK"/>
          <w:bCs/>
          <w:sz w:val="32"/>
          <w:szCs w:val="32"/>
        </w:rPr>
        <w:t>工具支持产业发展</w:t>
      </w:r>
      <w:r>
        <w:rPr>
          <w:rFonts w:eastAsia="方正仿宋_GBK"/>
          <w:bCs/>
          <w:sz w:val="32"/>
          <w:szCs w:val="32"/>
        </w:rPr>
        <w:t>，</w:t>
      </w:r>
      <w:r>
        <w:rPr>
          <w:rFonts w:hint="eastAsia" w:eastAsia="方正仿宋_GBK"/>
          <w:bCs/>
          <w:sz w:val="32"/>
          <w:szCs w:val="32"/>
        </w:rPr>
        <w:t>全面助力经济回升向好、稳量提质</w:t>
      </w:r>
      <w:r>
        <w:rPr>
          <w:rFonts w:eastAsia="方正仿宋_GBK"/>
          <w:bCs/>
          <w:sz w:val="32"/>
          <w:szCs w:val="32"/>
        </w:rPr>
        <w:t>。</w:t>
      </w:r>
      <w:r>
        <w:rPr>
          <w:rFonts w:eastAsia="方正仿宋_GBK"/>
          <w:b/>
          <w:bCs/>
          <w:sz w:val="32"/>
          <w:szCs w:val="32"/>
        </w:rPr>
        <w:t>二是</w:t>
      </w:r>
      <w:r>
        <w:rPr>
          <w:rFonts w:eastAsia="方正仿宋_GBK"/>
          <w:bCs/>
          <w:sz w:val="32"/>
          <w:szCs w:val="32"/>
        </w:rPr>
        <w:t>强化投资拉动作用，用好用足</w:t>
      </w:r>
      <w:r>
        <w:rPr>
          <w:rFonts w:hint="eastAsia" w:eastAsia="方正仿宋_GBK"/>
          <w:bCs/>
          <w:sz w:val="32"/>
          <w:szCs w:val="32"/>
        </w:rPr>
        <w:t>中省</w:t>
      </w:r>
      <w:r>
        <w:rPr>
          <w:rFonts w:eastAsia="方正仿宋_GBK"/>
          <w:bCs/>
          <w:sz w:val="32"/>
          <w:szCs w:val="32"/>
        </w:rPr>
        <w:t>预算内投资、超长期特别国债、专项债券等政策工具，</w:t>
      </w:r>
      <w:r>
        <w:rPr>
          <w:rFonts w:hint="eastAsia" w:eastAsia="方正仿宋_GBK"/>
          <w:bCs/>
          <w:sz w:val="32"/>
          <w:szCs w:val="32"/>
        </w:rPr>
        <w:t>全力做好全区</w:t>
      </w:r>
      <w:r>
        <w:rPr>
          <w:rFonts w:eastAsia="方正仿宋_GBK"/>
          <w:bCs/>
          <w:sz w:val="32"/>
          <w:szCs w:val="32"/>
        </w:rPr>
        <w:t>重大</w:t>
      </w:r>
      <w:r>
        <w:rPr>
          <w:rFonts w:hint="eastAsia" w:eastAsia="方正仿宋_GBK"/>
          <w:bCs/>
          <w:sz w:val="32"/>
          <w:szCs w:val="32"/>
        </w:rPr>
        <w:t>基础设施建设资金保障</w:t>
      </w:r>
      <w:r>
        <w:rPr>
          <w:rFonts w:eastAsia="方正仿宋_GBK"/>
          <w:bCs/>
          <w:sz w:val="32"/>
          <w:szCs w:val="32"/>
        </w:rPr>
        <w:t>，</w:t>
      </w:r>
      <w:r>
        <w:rPr>
          <w:rFonts w:hint="eastAsia" w:eastAsia="方正仿宋_GBK"/>
          <w:bCs/>
          <w:sz w:val="32"/>
          <w:szCs w:val="32"/>
        </w:rPr>
        <w:t>为经济稳定运行、高质量发展注入强劲动能。</w:t>
      </w:r>
      <w:r>
        <w:rPr>
          <w:rFonts w:eastAsia="方正仿宋_GBK"/>
          <w:b/>
          <w:bCs/>
          <w:sz w:val="32"/>
          <w:szCs w:val="32"/>
        </w:rPr>
        <w:t>三是</w:t>
      </w:r>
      <w:r>
        <w:rPr>
          <w:rFonts w:eastAsia="方正仿宋_GBK"/>
          <w:bCs/>
          <w:sz w:val="32"/>
          <w:szCs w:val="32"/>
        </w:rPr>
        <w:t>深化区属国企改革，实施新一轮国企改革深化提升三年行动，持续完善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</w:t>
      </w:r>
      <w:r>
        <w:rPr>
          <w:rFonts w:eastAsia="方正仿宋_GBK"/>
          <w:bCs/>
          <w:sz w:val="32"/>
          <w:szCs w:val="32"/>
        </w:rPr>
        <w:t>1+2+N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”</w:t>
      </w:r>
      <w:r>
        <w:rPr>
          <w:rFonts w:eastAsia="方正仿宋_GBK"/>
          <w:bCs/>
          <w:sz w:val="32"/>
          <w:szCs w:val="32"/>
        </w:rPr>
        <w:t>现代化管理体制，打造区域优质国企；加快推动闲置资源（资产）市场化盘活，提升国有资产运营效能。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2.强化财力提升，夯实共同富裕保障。一是</w:t>
      </w:r>
      <w:r>
        <w:rPr>
          <w:rFonts w:eastAsia="方正仿宋_GBK"/>
          <w:bCs/>
          <w:sz w:val="32"/>
          <w:szCs w:val="32"/>
        </w:rPr>
        <w:t>围绕做大综合财力目标，紧抓挖潜增收主线，确保完成年初收入目标</w:t>
      </w:r>
      <w:r>
        <w:rPr>
          <w:rFonts w:hint="eastAsia" w:eastAsia="方正仿宋_GBK"/>
          <w:bCs/>
          <w:sz w:val="32"/>
          <w:szCs w:val="32"/>
        </w:rPr>
        <w:t>任务、</w:t>
      </w:r>
      <w:r>
        <w:rPr>
          <w:rFonts w:eastAsia="方正仿宋_GBK"/>
          <w:bCs/>
          <w:sz w:val="32"/>
          <w:szCs w:val="32"/>
        </w:rPr>
        <w:t>力争实现超收，并通过争资金、盘存量等方式全力以赴做大财力规模，力争全年政府综合财力突破34亿元。</w:t>
      </w:r>
      <w:r>
        <w:rPr>
          <w:rFonts w:eastAsia="方正仿宋_GBK"/>
          <w:b/>
          <w:bCs/>
          <w:sz w:val="32"/>
          <w:szCs w:val="32"/>
        </w:rPr>
        <w:t>二是</w:t>
      </w:r>
      <w:r>
        <w:rPr>
          <w:rFonts w:eastAsia="方正仿宋_GBK"/>
          <w:bCs/>
          <w:sz w:val="32"/>
          <w:szCs w:val="32"/>
        </w:rPr>
        <w:t>牢牢把握国家实施更加积极的财政政策以及共同富裕试验区、县域经济百强区接续培育等政策机遇，重点围绕财力性补助、新增债券、超长期特别国债、中央（省）预算内投资补助、产业发展、民生政策补助等领域全力做好争取工作，力争全年向上争取资金完成35亿元以上、增长9%以上。</w:t>
      </w:r>
      <w:r>
        <w:rPr>
          <w:rFonts w:eastAsia="方正仿宋_GBK"/>
          <w:b/>
          <w:bCs/>
          <w:sz w:val="32"/>
          <w:szCs w:val="32"/>
        </w:rPr>
        <w:t>三是</w:t>
      </w:r>
      <w:r>
        <w:rPr>
          <w:rFonts w:eastAsia="方正仿宋_GBK"/>
          <w:bCs/>
          <w:sz w:val="32"/>
          <w:szCs w:val="32"/>
        </w:rPr>
        <w:t>聚焦破解共富资金不足、社会资本参与度不高等问题，围绕多元投入分配机制改革，全方位构建财政资金、信贷资金、保险资金、债券资金、社会投资、捐赠资金等主体多元、资金多元的投入机制，夯实共同富裕试验区建设资金保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3.紧扣重点需求，持续优化支出结构。</w:t>
      </w:r>
      <w:r>
        <w:rPr>
          <w:rFonts w:eastAsia="方正仿宋_GBK"/>
          <w:sz w:val="32"/>
          <w:szCs w:val="32"/>
        </w:rPr>
        <w:t>坚决落实《党政机关厉行节约反对浪费条例》等各项过紧日子要求，严控一般性支出，全年一般性支出压减达到10%以上。持续优化支出结构，腾出更多资金用于发展所需、民生所盼。全面落实保障和改善民生各项政策，加大对教育、医疗卫生、就业、社会保障、“一老一小”等方面的资金保障力度，确保全年民生支出占一般公共预算支出的比重继续稳定在70%以上。强化财政资金资源统筹，聚焦重大战略、重点领域、重要环节，加大财政支出强度，加快支出进度，切实保障区委重大决策部署和各项重点工作落实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4.筑牢风险防线，守稳财政运行底线</w:t>
      </w:r>
      <w:r>
        <w:rPr>
          <w:rFonts w:eastAsia="方正仿宋_GBK"/>
          <w:sz w:val="32"/>
          <w:szCs w:val="32"/>
        </w:rPr>
        <w:t>。继续紧抓中央推出一揽子化债政策契机，全力争取化债专项债券和再融资债券，用于化解存量隐性债务和偿还到期债务本金，减轻地方政府还本付息压力。全力降低债务风险，进一步做大政府综合财力，同时做好市级下划棚改利息核销核减工作，确保2025年东区债务风险等级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“橙”转“黄”</w:t>
      </w:r>
      <w:r>
        <w:rPr>
          <w:rFonts w:eastAsia="方正仿宋_GBK"/>
          <w:sz w:val="32"/>
          <w:szCs w:val="32"/>
        </w:rPr>
        <w:t>（政府隐性债务率控制在200%以下）。用好清偿拖欠企业账款专项债券，</w:t>
      </w:r>
      <w:r>
        <w:rPr>
          <w:rFonts w:hint="eastAsia" w:eastAsia="方正仿宋_GBK"/>
          <w:sz w:val="32"/>
          <w:szCs w:val="32"/>
        </w:rPr>
        <w:t>加快资金支付，确保完成全年清偿目标</w:t>
      </w:r>
      <w:r>
        <w:rPr>
          <w:rFonts w:eastAsia="方正仿宋_GBK"/>
          <w:sz w:val="32"/>
          <w:szCs w:val="32"/>
        </w:rPr>
        <w:t>。进一步健全债务风险预警、监控、联动等各项机制，坚决防止法定债务违约、遏制新增隐性债务、杜绝新增非标债务，加强区属国企债务监管，守住不发生系统性金融风险的底线，确保全区债务风险总体可控。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以上报告，请予审议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72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-153670</wp:posOffset>
              </wp:positionV>
              <wp:extent cx="766445" cy="24003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1pt;height:18.9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8qA91gAAAAcBAAAPAAAAAAAAAAEAIAAAACIAAABkcnMv&#10;ZG93bnJldi54bWxQSwECFAAUAAAACACHTuJA+hsFTD4CAABxBAAADgAAAAAAAAABACAAAAAlAQAA&#10;ZHJzL2Uyb0RvYy54bWxQSwUGAAAAAAYABgBZAQAA1Q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snapToGrid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30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2025-10-14T03:37:58Z</dcterms:created>
  <dc:creator>Administrator</dc:creator>
  <cp:lastModifiedBy>END OF SKY</cp:lastModifiedBy>
  <dcterms:modified xsi:type="dcterms:W3CDTF">2025-10-14T03:38:17Z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B78DE92BA7D14A6782ABEAACCD129A1D</vt:lpwstr>
  </property>
</Properties>
</file>