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"/>
        </w:rPr>
        <w:t>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东区预算管理一体化系统运维服务工作内容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  <w:lang w:val="en-US" w:eastAsia="zh-CN" w:bidi="ar"/>
        </w:rPr>
        <w:t>服务工作总体内容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"/>
        </w:rPr>
        <w:t>：预算管理一体化系统中，截止招标时已上线应用所有模块的信息技术指导、数据初始化、业务流程设置、业务参数配置、各类业务报表设置与编报指导，业务流程使用指导、业务培训（系统整体业务培训一年不少于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"/>
        </w:rPr>
        <w:t>次，单个应用模块培训一年不少于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"/>
        </w:rPr>
        <w:t>次）等的运行和维护。</w:t>
      </w:r>
    </w:p>
    <w:p>
      <w:pPr>
        <w:pStyle w:val="2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 w:bidi="ar-SA"/>
        </w:rPr>
        <w:t>预算管理一体化系统已上线应用模块及工作内容</w:t>
      </w:r>
    </w:p>
    <w:tbl>
      <w:tblPr>
        <w:tblStyle w:val="6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6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56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模块</w:t>
            </w:r>
          </w:p>
        </w:tc>
        <w:tc>
          <w:tcPr>
            <w:tcW w:w="63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一、基础信息</w:t>
            </w:r>
          </w:p>
        </w:tc>
        <w:tc>
          <w:tcPr>
            <w:tcW w:w="6312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hanging="21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.单位基本信息和人员信息项设置、完善项目信息公式设置和绩效目标表的模板设置、指导单位完善基础信息；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.完善单位对应主体科目设置，定额类档和支出标准设置。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二、项目库</w:t>
            </w:r>
          </w:p>
        </w:tc>
        <w:tc>
          <w:tcPr>
            <w:tcW w:w="6312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hanging="21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.根据财政需要和要求设置人员和公用类项目，并设置对应的经济分类和测算公式；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.完善项目登记、入库、调整的业务流程设置。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三、预算编制</w:t>
            </w:r>
          </w:p>
        </w:tc>
        <w:tc>
          <w:tcPr>
            <w:tcW w:w="6312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hanging="21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.协助财政完成政府预算编制，转移支付的接收、分解，部门预算编制审核；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hanging="21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.完善政府预算编制、转移支付预算部门预算编制、非税划缴等的流程设置；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.协助并培训预算单位完成预算编制工作。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四、预算调整和调剂</w:t>
            </w:r>
          </w:p>
        </w:tc>
        <w:tc>
          <w:tcPr>
            <w:tcW w:w="6312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.完善预算调整调剂、部门预算指标调剂和预算追加流程设置；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.协助并指导财政完成预算调整调剂，部门预算指标的调剂和追加。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28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五、预算执行</w:t>
            </w:r>
          </w:p>
        </w:tc>
        <w:tc>
          <w:tcPr>
            <w:tcW w:w="6312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hanging="21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用款计划业务流程、大额报备业务流程、资金支付业务流程（财政零余额与单位零余额）、资金主动退回业务流程（单位零余额和财政零余额）、国库集中支付更正业务流程、资金清算流程、单位资金支付业务流程、单位资金支付更正业务流程、政府采购意向流程、政府采购计划流程、政府采购订单流程、政府采购变更流程设置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hanging="21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.使用的印章烧制、备案、凭证模板同步等；电子支付联调测试工作；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hanging="21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.配置收付款账户规则，包括一般支付、采购支付、工资支付、清算付款账户、清算收款账户等相关规则。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85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六、政府采购</w:t>
            </w:r>
          </w:p>
        </w:tc>
        <w:tc>
          <w:tcPr>
            <w:tcW w:w="63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10" w:leftChars="0" w:hanging="21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.指导单位完成政府采购预算编制、采购项目和订单录入，及时解决操作过程中的问题；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85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七、银行账户管理</w:t>
            </w:r>
          </w:p>
        </w:tc>
        <w:tc>
          <w:tcPr>
            <w:tcW w:w="63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10" w:leftChars="0" w:hanging="210" w:hangingChars="1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.维护单位的基本户和零余额账户信息，财政的零余额和清算账户等信息；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85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八、资金动态监控</w:t>
            </w:r>
          </w:p>
        </w:tc>
        <w:tc>
          <w:tcPr>
            <w:tcW w:w="63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hanging="21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.完善基础信息、预警规则参数配置；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hanging="21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.设置预警监控、监控分析流程。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hanging="210" w:hangingChars="10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.根据财政要求配置资金支付监控的逻辑，保证资金支付安全。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85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九、总会计核算</w:t>
            </w:r>
          </w:p>
        </w:tc>
        <w:tc>
          <w:tcPr>
            <w:tcW w:w="63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hanging="21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.建立总会计账套并配置数据范围，根据需要完善会计科目和场景设置；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hanging="21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.针对支付数据生产的会计凭证进行人工复核，保证支付、到账、到表数据准备无误。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十、单位会计核算</w:t>
            </w:r>
          </w:p>
        </w:tc>
        <w:tc>
          <w:tcPr>
            <w:tcW w:w="63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hanging="21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.完善会计科目、会计场景设置；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hanging="21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.开展预算单位会计核算操作培训，指导预算单位完成会计账套初始化、会计核算操作。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十一、预算指标会计账核算</w:t>
            </w:r>
          </w:p>
        </w:tc>
        <w:tc>
          <w:tcPr>
            <w:tcW w:w="63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.协助完成预算指标账的基础配置，根据资金性质，配置内容包含会计科目体系、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种固定会计分录、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多种业务场景的适配。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十二、“三保”支出监控</w:t>
            </w:r>
          </w:p>
        </w:tc>
        <w:tc>
          <w:tcPr>
            <w:tcW w:w="63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hanging="21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.完善基础信息参数配置、监控流程设置；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根据财政要求配置“三保”支出监控的逻辑，确保三保资金的有效支付。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十三、综合报表查询</w:t>
            </w:r>
          </w:p>
        </w:tc>
        <w:tc>
          <w:tcPr>
            <w:tcW w:w="63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.完善报表查询功能，按照要求编制相应查询报表。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十四、工资管理</w:t>
            </w:r>
          </w:p>
        </w:tc>
        <w:tc>
          <w:tcPr>
            <w:tcW w:w="63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.配置工资数据项，以及工资公式设置；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.设置单位对应人员对应功能科目，自动核对指标。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十五、平台管理</w:t>
            </w:r>
          </w:p>
        </w:tc>
        <w:tc>
          <w:tcPr>
            <w:tcW w:w="631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.根据需要设置所有菜单页面调整；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.用户信息的角色维护和调整；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.操作用户的权限设置和调整。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16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说明：以上模块可能存在未列明工作内容，最终以实际工作需求提供相应服务，但不单独计费。</w:t>
            </w:r>
          </w:p>
        </w:tc>
      </w:tr>
    </w:tbl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274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274" w:lineRule="auto"/>
        <w:ind w:firstLine="643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评分标准（总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100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分）</w:t>
      </w:r>
    </w:p>
    <w:tbl>
      <w:tblPr>
        <w:tblStyle w:val="5"/>
        <w:tblW w:w="9327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296"/>
        <w:gridCol w:w="643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评分因素及权重</w:t>
            </w:r>
          </w:p>
        </w:tc>
        <w:tc>
          <w:tcPr>
            <w:tcW w:w="6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8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一、报价（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分）</w:t>
            </w:r>
          </w:p>
        </w:tc>
        <w:tc>
          <w:tcPr>
            <w:tcW w:w="6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满足磋商文件要求且报价最低的供应商的价格为磋商基准价，其价格分为满分。其他供应商的价格分统一按照下列公式计算：报价得分=（基准价／投标最终报价）×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（保留两位小数）。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22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投标人报价低于预算金额的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时，投标人应在评标现场作出解释或说明，必要时应书面承诺并提交相关证明材料证明报价的合理性；投标人不能证明其报价合理性的，评审小组将其作为无效投标处理。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89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注：根据《政府采购促进中小企业发展管理办法》（财〔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号）的规定，对小型和微型企业（监狱企业、残疾人企业视为小微企业）产品的价格给予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的价格扣除，用扣除后的价格参与评审。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二、项目实施方案（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项目方案（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分）</w:t>
            </w:r>
          </w:p>
        </w:tc>
        <w:tc>
          <w:tcPr>
            <w:tcW w:w="6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详细的项目实施方案，方案应综合考虑项目实施的前瞻性、科学性、完整性、可行性，以及对采购人需求的满足程度等。方案内容包含但不限于：实施思路、实施的内容、实施计划、预计成效等。方案内容：条理清晰、完整详细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分，条理基本清晰、基本完整详细得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分，条理混乱、缺失又不够详细得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服务体系（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分）</w:t>
            </w:r>
          </w:p>
        </w:tc>
        <w:tc>
          <w:tcPr>
            <w:tcW w:w="6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提供详尽的服务方案及相关承诺，方案内容包含但不限于：服务目标、服务内容、服务组织、服务方式、应急处置预案、问题处理响应时间、在攀有常驻固定人员（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人以上）、培训频次（不低于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次）等。全部满足得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分，每缺失一项扣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分，扣完为止。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三、供应商综合能力（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企业征信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分）</w:t>
            </w:r>
          </w:p>
        </w:tc>
        <w:tc>
          <w:tcPr>
            <w:tcW w:w="64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20" w:firstLineChars="20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企业及法人代表近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年内无失信记录，企业近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年内无拖欠社会保险缴纳行为，得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分。有失信记录不得分；每有一次拖欠社会保险缴纳行为扣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分，扣完为止。（需提供相关征信证明和社会保险缴纳凭证复印件）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企业资质（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分）</w:t>
            </w:r>
          </w:p>
        </w:tc>
        <w:tc>
          <w:tcPr>
            <w:tcW w:w="64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通过国家信息安全管理体系认证得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分；通过国家信息技术服务管理体系认证得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分；通过国家质量管理体系认证得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分。（需提供相关有效认证证书）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团队人员资质（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分）</w:t>
            </w:r>
          </w:p>
        </w:tc>
        <w:tc>
          <w:tcPr>
            <w:tcW w:w="6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有中级及以上会计师职称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人及以上得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分；有与财务相关的资质证书或许可证书人员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人及以上得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分。（需提供相关职称证书和近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年以上社保缴费凭证）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业绩展示          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分）</w:t>
            </w:r>
          </w:p>
        </w:tc>
        <w:tc>
          <w:tcPr>
            <w:tcW w:w="6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年内有预算管理一体化系统服务经验的，每提供一个市级服务合同（协议）得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分（限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个），每提供一个县（区）级服务合同（协议）得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分（限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个）。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四、投标文件规范性（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文件编制    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分）</w:t>
            </w:r>
          </w:p>
        </w:tc>
        <w:tc>
          <w:tcPr>
            <w:tcW w:w="6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2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编制内容清晰、目录页码准确、附件完整、装订标准整齐，得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文件内容   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分）</w:t>
            </w:r>
          </w:p>
        </w:tc>
        <w:tc>
          <w:tcPr>
            <w:tcW w:w="6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文件内容没有缺失项得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分，有一项扣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分，扣完为止。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  <w:sz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77778"/>
    <w:rsid w:val="10324220"/>
    <w:rsid w:val="20F06D17"/>
    <w:rsid w:val="21533539"/>
    <w:rsid w:val="21BA41E2"/>
    <w:rsid w:val="26E63E5F"/>
    <w:rsid w:val="29701084"/>
    <w:rsid w:val="2CE53E34"/>
    <w:rsid w:val="33B17CDB"/>
    <w:rsid w:val="440356A1"/>
    <w:rsid w:val="44D6347B"/>
    <w:rsid w:val="55F70216"/>
    <w:rsid w:val="5B8F4FC4"/>
    <w:rsid w:val="5C5D6916"/>
    <w:rsid w:val="6124336C"/>
    <w:rsid w:val="69205385"/>
    <w:rsid w:val="6C4D7ABB"/>
    <w:rsid w:val="6CAF42DD"/>
    <w:rsid w:val="6D882AB1"/>
    <w:rsid w:val="7843265A"/>
    <w:rsid w:val="7DD8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unhideWhenUsed/>
    <w:qFormat/>
    <w:uiPriority w:val="9"/>
    <w:pPr>
      <w:adjustRightInd w:val="0"/>
      <w:snapToGrid w:val="0"/>
      <w:spacing w:before="0" w:beforeAutospacing="1" w:afterAutospacing="1" w:line="480" w:lineRule="auto"/>
      <w:ind w:firstLine="0" w:firstLineChars="0"/>
      <w:jc w:val="left"/>
      <w:outlineLvl w:val="2"/>
    </w:pPr>
    <w:rPr>
      <w:rFonts w:hint="eastAsia" w:ascii="宋体" w:hAnsi="宋体" w:eastAsia="宋体" w:cs="宋体"/>
      <w:b/>
      <w:kern w:val="0"/>
      <w:sz w:val="28"/>
      <w:szCs w:val="27"/>
      <w:lang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2025-09-10T09:08:54Z</dcterms:created>
  <dc:creator>Administrator</dc:creator>
  <cp:lastModifiedBy>END OF SKY</cp:lastModifiedBy>
  <dcterms:modified xsi:type="dcterms:W3CDTF">2025-09-10T09:12:28Z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B4B3D6A1BBDC4E15AABC559CC4417259</vt:lpwstr>
  </property>
</Properties>
</file>