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091C0">
      <w:pPr>
        <w:keepNext w:val="0"/>
        <w:keepLines w:val="0"/>
        <w:pageBreakBefore w:val="0"/>
        <w:widowControl/>
        <w:kinsoku/>
        <w:wordWrap/>
        <w:overflowPunct/>
        <w:topLinePunct w:val="0"/>
        <w:autoSpaceDE/>
        <w:autoSpaceDN/>
        <w:bidi w:val="0"/>
        <w:adjustRightInd w:val="0"/>
        <w:snapToGrid w:val="0"/>
        <w:spacing w:line="580" w:lineRule="exact"/>
        <w:ind w:firstLine="883" w:firstLineChars="200"/>
        <w:contextualSpacing/>
        <w:jc w:val="center"/>
        <w:textAlignment w:val="auto"/>
        <w:rPr>
          <w:rFonts w:hint="default" w:ascii="Times New Roman" w:hAnsi="Times New Roman" w:eastAsia="宋体" w:cs="Times New Roman"/>
          <w:b/>
          <w:sz w:val="44"/>
          <w:szCs w:val="44"/>
          <w:shd w:val="clear" w:color="auto" w:fill="FFFFFF"/>
        </w:rPr>
      </w:pPr>
    </w:p>
    <w:p w14:paraId="015B5837">
      <w:pPr>
        <w:keepNext w:val="0"/>
        <w:keepLines w:val="0"/>
        <w:pageBreakBefore w:val="0"/>
        <w:widowControl/>
        <w:kinsoku/>
        <w:wordWrap/>
        <w:overflowPunct/>
        <w:topLinePunct w:val="0"/>
        <w:autoSpaceDE/>
        <w:autoSpaceDN/>
        <w:bidi w:val="0"/>
        <w:adjustRightInd w:val="0"/>
        <w:snapToGrid w:val="0"/>
        <w:spacing w:line="580" w:lineRule="exact"/>
        <w:ind w:left="0" w:leftChars="0" w:firstLine="0" w:firstLineChars="0"/>
        <w:contextualSpacing/>
        <w:jc w:val="center"/>
        <w:textAlignment w:val="auto"/>
        <w:rPr>
          <w:rFonts w:hint="default" w:ascii="Times New Roman" w:hAnsi="Times New Roman" w:eastAsia="方正小标宋简体" w:cs="Times New Roman"/>
          <w:b/>
          <w:sz w:val="44"/>
          <w:szCs w:val="44"/>
          <w:shd w:val="clear" w:color="auto" w:fill="FFFFFF"/>
        </w:rPr>
      </w:pPr>
      <w:r>
        <w:rPr>
          <w:rFonts w:hint="default" w:ascii="Times New Roman" w:hAnsi="Times New Roman" w:eastAsia="方正小标宋简体" w:cs="Times New Roman"/>
          <w:b/>
          <w:sz w:val="44"/>
          <w:szCs w:val="44"/>
          <w:shd w:val="clear" w:color="auto" w:fill="FFFFFF"/>
        </w:rPr>
        <w:t>2024年度部门预算整体支出</w:t>
      </w:r>
    </w:p>
    <w:p w14:paraId="0F0066FA">
      <w:pPr>
        <w:keepNext w:val="0"/>
        <w:keepLines w:val="0"/>
        <w:pageBreakBefore w:val="0"/>
        <w:widowControl/>
        <w:kinsoku/>
        <w:wordWrap/>
        <w:overflowPunct/>
        <w:topLinePunct w:val="0"/>
        <w:autoSpaceDE/>
        <w:autoSpaceDN/>
        <w:bidi w:val="0"/>
        <w:adjustRightInd w:val="0"/>
        <w:snapToGrid w:val="0"/>
        <w:spacing w:line="580" w:lineRule="exact"/>
        <w:contextualSpacing/>
        <w:jc w:val="center"/>
        <w:textAlignment w:val="auto"/>
        <w:rPr>
          <w:rFonts w:hint="default" w:ascii="Times New Roman" w:hAnsi="Times New Roman" w:eastAsia="方正小标宋简体" w:cs="Times New Roman"/>
          <w:b/>
          <w:sz w:val="44"/>
          <w:szCs w:val="44"/>
          <w:shd w:val="clear" w:color="auto" w:fill="FFFFFF"/>
          <w:lang w:eastAsia="zh-CN"/>
        </w:rPr>
      </w:pPr>
      <w:r>
        <w:rPr>
          <w:rFonts w:hint="default" w:ascii="Times New Roman" w:hAnsi="Times New Roman" w:eastAsia="方正小标宋简体" w:cs="Times New Roman"/>
          <w:b/>
          <w:sz w:val="44"/>
          <w:szCs w:val="44"/>
          <w:shd w:val="clear" w:color="auto" w:fill="FFFFFF"/>
        </w:rPr>
        <w:t>绩效评价报告</w:t>
      </w:r>
    </w:p>
    <w:p w14:paraId="732B2104">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contextualSpacing/>
        <w:jc w:val="left"/>
        <w:textAlignment w:val="auto"/>
        <w:rPr>
          <w:rFonts w:hint="default" w:ascii="Times New Roman" w:hAnsi="Times New Roman" w:eastAsia="黑体" w:cs="Times New Roman"/>
          <w:color w:val="000000"/>
          <w:kern w:val="0"/>
          <w:sz w:val="24"/>
          <w:szCs w:val="32"/>
          <w:shd w:val="clear" w:color="auto" w:fill="FFFFFF"/>
          <w:lang w:eastAsia="zh-CN"/>
        </w:rPr>
      </w:pPr>
    </w:p>
    <w:p w14:paraId="4C9CFC0D">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lang w:val="zh-CN"/>
        </w:rPr>
      </w:pPr>
      <w:r>
        <w:rPr>
          <w:rFonts w:hint="default" w:ascii="Times New Roman" w:hAnsi="Times New Roman" w:eastAsia="黑体" w:cs="Times New Roman"/>
          <w:color w:val="000000"/>
          <w:kern w:val="0"/>
          <w:szCs w:val="32"/>
          <w:shd w:val="clear" w:color="auto" w:fill="FFFFFF"/>
        </w:rPr>
        <w:t>一、</w:t>
      </w:r>
      <w:r>
        <w:rPr>
          <w:rFonts w:hint="default" w:ascii="Times New Roman" w:hAnsi="Times New Roman" w:eastAsia="黑体" w:cs="Times New Roman"/>
          <w:color w:val="000000"/>
          <w:kern w:val="0"/>
          <w:szCs w:val="32"/>
          <w:shd w:val="clear" w:color="auto" w:fill="FFFFFF"/>
          <w:lang w:val="zh-CN"/>
        </w:rPr>
        <w:t>部门（单位）概况</w:t>
      </w:r>
    </w:p>
    <w:p w14:paraId="36CC63D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（一）机构组成</w:t>
      </w:r>
    </w:p>
    <w:p w14:paraId="73AAA67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攀枝花市东区瓜子坪社区卫生服务中心是东区政府举办的非营利性医疗机构，位于东区隆庆路306号3栋（主中心）和东区宝石路33号（密地分中心），</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养老院</w:t>
      </w:r>
      <w:r>
        <w:rPr>
          <w:rFonts w:hint="default" w:ascii="Times New Roman" w:hAnsi="Times New Roman" w:eastAsia="仿宋_GB2312" w:cs="Times New Roman"/>
          <w:sz w:val="32"/>
          <w:szCs w:val="32"/>
          <w:lang w:val="en-US" w:eastAsia="zh-CN"/>
        </w:rPr>
        <w:t>位于</w:t>
      </w:r>
      <w:r>
        <w:rPr>
          <w:rFonts w:hint="default" w:ascii="Times New Roman" w:hAnsi="Times New Roman" w:eastAsia="仿宋_GB2312" w:cs="Times New Roman"/>
          <w:sz w:val="32"/>
          <w:szCs w:val="32"/>
        </w:rPr>
        <w:t>东区天马巷62号2栋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管辖兰尖、攀北、新民路、青年路、马兰山、阳光馨园、密地、佳运8个</w:t>
      </w:r>
      <w:r>
        <w:rPr>
          <w:rFonts w:hint="default" w:ascii="Times New Roman" w:hAnsi="Times New Roman" w:eastAsia="仿宋_GB2312" w:cs="Times New Roman"/>
          <w:sz w:val="32"/>
          <w:szCs w:val="32"/>
          <w:lang w:val="en-US" w:eastAsia="zh-CN"/>
        </w:rPr>
        <w:t>社区居委会</w:t>
      </w:r>
      <w:r>
        <w:rPr>
          <w:rFonts w:hint="default" w:ascii="Times New Roman" w:hAnsi="Times New Roman" w:eastAsia="仿宋_GB2312" w:cs="Times New Roman"/>
          <w:sz w:val="32"/>
          <w:szCs w:val="32"/>
        </w:rPr>
        <w:t>，覆盖总面积约为11.9平方公里，辖区常住人口约</w:t>
      </w:r>
      <w:r>
        <w:rPr>
          <w:rFonts w:hint="default"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万</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中心设有全科门诊、</w:t>
      </w:r>
      <w:r>
        <w:rPr>
          <w:rFonts w:hint="default" w:ascii="Times New Roman" w:hAnsi="Times New Roman" w:eastAsia="仿宋_GB2312" w:cs="Times New Roman"/>
          <w:sz w:val="32"/>
          <w:szCs w:val="32"/>
          <w:lang w:val="en-US" w:eastAsia="zh-CN"/>
        </w:rPr>
        <w:t>医学影像</w:t>
      </w:r>
      <w:r>
        <w:rPr>
          <w:rFonts w:hint="default" w:ascii="Times New Roman" w:hAnsi="Times New Roman" w:eastAsia="仿宋_GB2312" w:cs="Times New Roman"/>
          <w:sz w:val="32"/>
          <w:szCs w:val="32"/>
        </w:rPr>
        <w:t>、药房、检验、</w:t>
      </w:r>
      <w:r>
        <w:rPr>
          <w:rFonts w:hint="default" w:ascii="Times New Roman" w:hAnsi="Times New Roman" w:eastAsia="仿宋_GB2312" w:cs="Times New Roman"/>
          <w:sz w:val="32"/>
          <w:szCs w:val="32"/>
          <w:lang w:val="en-US" w:eastAsia="zh-CN"/>
        </w:rPr>
        <w:t>预防保健</w:t>
      </w:r>
      <w:r>
        <w:rPr>
          <w:rFonts w:hint="default" w:ascii="Times New Roman" w:hAnsi="Times New Roman" w:eastAsia="仿宋_GB2312" w:cs="Times New Roman"/>
          <w:sz w:val="32"/>
          <w:szCs w:val="32"/>
        </w:rPr>
        <w:t>、儿童保健、妇女保健和</w:t>
      </w:r>
      <w:r>
        <w:rPr>
          <w:rFonts w:hint="default" w:ascii="Times New Roman" w:hAnsi="Times New Roman" w:eastAsia="仿宋_GB2312" w:cs="Times New Roman"/>
          <w:sz w:val="32"/>
          <w:szCs w:val="32"/>
          <w:lang w:val="en-US" w:eastAsia="zh-CN"/>
        </w:rPr>
        <w:t>中医康复</w:t>
      </w:r>
      <w:r>
        <w:rPr>
          <w:rFonts w:hint="default" w:ascii="Times New Roman" w:hAnsi="Times New Roman" w:eastAsia="仿宋_GB2312" w:cs="Times New Roman"/>
          <w:sz w:val="32"/>
          <w:szCs w:val="32"/>
        </w:rPr>
        <w:t>等科室，</w:t>
      </w:r>
      <w:r>
        <w:rPr>
          <w:rFonts w:hint="default"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val="en-US" w:eastAsia="zh-CN"/>
        </w:rPr>
        <w:t>各项常规检验及特殊检验项目及</w:t>
      </w:r>
      <w:r>
        <w:rPr>
          <w:rFonts w:hint="default" w:ascii="Times New Roman" w:hAnsi="Times New Roman" w:eastAsia="仿宋_GB2312" w:cs="Times New Roman"/>
          <w:sz w:val="32"/>
          <w:szCs w:val="32"/>
        </w:rPr>
        <w:t>彩超、DR检查、心电图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肺通气功能、骨密度</w:t>
      </w:r>
      <w:r>
        <w:rPr>
          <w:rFonts w:hint="default" w:ascii="Times New Roman" w:hAnsi="Times New Roman" w:eastAsia="仿宋_GB2312" w:cs="Times New Roman"/>
          <w:sz w:val="32"/>
          <w:szCs w:val="32"/>
        </w:rPr>
        <w:t>等检查项目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主要为辖区居民提供</w:t>
      </w:r>
      <w:r>
        <w:rPr>
          <w:rFonts w:hint="default" w:ascii="Times New Roman" w:hAnsi="Times New Roman" w:eastAsia="仿宋_GB2312" w:cs="Times New Roman"/>
          <w:sz w:val="32"/>
          <w:szCs w:val="32"/>
          <w:lang w:val="en-US" w:eastAsia="zh-CN"/>
        </w:rPr>
        <w:t>全科诊疗服务及免费提供国家基本公共卫生服务。</w:t>
      </w:r>
    </w:p>
    <w:p w14:paraId="4733E63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（二）机构职能</w:t>
      </w:r>
    </w:p>
    <w:p w14:paraId="2F62FBD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攀枝花市东区瓜子坪社区卫生服务中心为攀枝花市东区卫生健康局所属公益一类事业单位。主要职责是负责国家基本公共卫生服务项目和基本医疗工作。组织实施免费孕前优生健康检查、艾滋病的防治工作、非重点人群有偿服务包签约及健康服务等民生项目，辖区妇女保健、计划生育指导咨询等。</w:t>
      </w:r>
    </w:p>
    <w:p w14:paraId="00F240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 xml:space="preserve">国家基本公共卫生主要包含：居民健康档案管理服务规范、健康教育服务规范、预防接种服务规范、0-6岁儿童健康管理服务规范、孕产妇健康管理服务规范、老年人健康管理服务规范、慢病患者健康管理服务规范、严重精神障碍患者管理服务规范、肺结核患者健康管理服务规范、中医药健康管理服务规范、传染病及突发公共卫生事件报告和处理服务规范、卫生计生监督协管服务规范、慢性阻塞性肺疾病患者健康管理服务规范等13大项内容。    </w:t>
      </w:r>
    </w:p>
    <w:p w14:paraId="4F8D5D9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攀枝花市东区瓜子坪社区卫生服务中心根据（川财社〔2021〕51号）文件要求，开展医养结合服务能力建设，为我辖区65岁以上老年人提供医养结合服务，提高老年人生活质量和健康水平，为我辖区65岁以上失能老年人开展健康评估与健康服务，改善失能老年人生活质量，确保辖区内65岁以上失能老年人健康评估与健康服务完成。</w:t>
      </w:r>
    </w:p>
    <w:p w14:paraId="4EC3033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楷体_GB2312" w:cs="Times New Roman"/>
          <w:sz w:val="32"/>
          <w:szCs w:val="32"/>
          <w:lang w:val="zh-CN" w:eastAsia="zh-CN"/>
        </w:rPr>
      </w:pPr>
      <w:r>
        <w:rPr>
          <w:rFonts w:hint="default" w:ascii="Times New Roman" w:hAnsi="Times New Roman" w:eastAsia="楷体_GB2312" w:cs="Times New Roman"/>
          <w:sz w:val="32"/>
          <w:szCs w:val="32"/>
          <w:lang w:val="zh-CN" w:eastAsia="zh-CN"/>
        </w:rPr>
        <w:t>（三）人员概况</w:t>
      </w:r>
    </w:p>
    <w:p w14:paraId="6A87ED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en-US" w:eastAsia="zh-CN"/>
        </w:rPr>
        <w:t>中心现有在岗工作人员56名，离职1人，退休4人，新进4人，其中专业技术人员51人</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医师18人、护理20人、医</w:t>
      </w:r>
      <w:r>
        <w:rPr>
          <w:rFonts w:hint="default" w:ascii="Times New Roman" w:hAnsi="Times New Roman" w:eastAsia="仿宋_GB2312" w:cs="Times New Roman"/>
          <w:sz w:val="32"/>
          <w:szCs w:val="32"/>
        </w:rPr>
        <w:t>技13人</w:t>
      </w:r>
      <w:r>
        <w:rPr>
          <w:rFonts w:hint="eastAsia" w:cs="Times New Roman"/>
          <w:sz w:val="32"/>
          <w:szCs w:val="32"/>
          <w:lang w:eastAsia="zh-CN"/>
        </w:rPr>
        <w:t>）</w:t>
      </w:r>
      <w:r>
        <w:rPr>
          <w:rFonts w:hint="default" w:ascii="Times New Roman" w:hAnsi="Times New Roman" w:eastAsia="仿宋_GB2312" w:cs="Times New Roman"/>
          <w:sz w:val="32"/>
          <w:szCs w:val="32"/>
        </w:rPr>
        <w:t>，注册全科范围医师12人，含副高级职称8</w:t>
      </w:r>
      <w:r>
        <w:rPr>
          <w:rFonts w:hint="default" w:ascii="Times New Roman" w:hAnsi="Times New Roman" w:eastAsia="仿宋_GB2312" w:cs="Times New Roman"/>
          <w:color w:val="auto"/>
          <w:sz w:val="32"/>
          <w:szCs w:val="32"/>
        </w:rPr>
        <w:t>人，中级职称13人。</w:t>
      </w:r>
    </w:p>
    <w:p w14:paraId="18552C42">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二、部门财政资金收支情况</w:t>
      </w:r>
    </w:p>
    <w:p w14:paraId="04EE6B48">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（一）部门财政资金收入情况</w:t>
      </w:r>
    </w:p>
    <w:p w14:paraId="5C9BF991">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zh-CN"/>
        </w:rPr>
        <w:t>2024年</w:t>
      </w:r>
      <w:r>
        <w:rPr>
          <w:rFonts w:hint="eastAsia" w:cs="Times New Roman"/>
          <w:color w:val="000000"/>
          <w:kern w:val="0"/>
          <w:szCs w:val="32"/>
          <w:shd w:val="clear" w:color="auto" w:fill="FFFFFF"/>
          <w:lang w:val="en-US" w:eastAsia="zh-CN"/>
        </w:rPr>
        <w:t>单位收入年初预算数总计526.18</w:t>
      </w:r>
      <w:r>
        <w:rPr>
          <w:rFonts w:hint="default" w:ascii="Times New Roman" w:hAnsi="Times New Roman" w:cs="Times New Roman"/>
          <w:color w:val="000000"/>
          <w:kern w:val="0"/>
          <w:szCs w:val="32"/>
          <w:shd w:val="clear" w:color="auto" w:fill="FFFFFF"/>
          <w:lang w:val="zh-CN"/>
        </w:rPr>
        <w:t>万元，</w:t>
      </w:r>
      <w:r>
        <w:rPr>
          <w:rFonts w:hint="eastAsia" w:cs="Times New Roman"/>
          <w:color w:val="000000"/>
          <w:kern w:val="0"/>
          <w:szCs w:val="32"/>
          <w:shd w:val="clear" w:color="auto" w:fill="FFFFFF"/>
          <w:lang w:val="en-US" w:eastAsia="zh-CN"/>
        </w:rPr>
        <w:t>其中一般公共预算财政拨款收入211.18</w:t>
      </w:r>
      <w:r>
        <w:rPr>
          <w:rFonts w:hint="default" w:ascii="Times New Roman" w:hAnsi="Times New Roman" w:cs="Times New Roman"/>
          <w:color w:val="000000"/>
          <w:kern w:val="0"/>
          <w:szCs w:val="32"/>
          <w:shd w:val="clear" w:color="auto" w:fill="FFFFFF"/>
          <w:lang w:val="zh-CN"/>
        </w:rPr>
        <w:t>万元，事业收入</w:t>
      </w:r>
      <w:r>
        <w:rPr>
          <w:rFonts w:hint="eastAsia" w:cs="Times New Roman"/>
          <w:color w:val="000000"/>
          <w:kern w:val="0"/>
          <w:szCs w:val="32"/>
          <w:shd w:val="clear" w:color="auto" w:fill="FFFFFF"/>
          <w:lang w:val="en-US" w:eastAsia="zh-CN"/>
        </w:rPr>
        <w:t>315万元。区级预算调剂147.9万元，区级预算合计353.16万元，上级调剂644.95万元，财政拨款预算合计998.11万元。年度预算合计1319.03万元。</w:t>
      </w:r>
    </w:p>
    <w:p w14:paraId="063A8EA3">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（二）部门财政资金支出情况。</w:t>
      </w:r>
    </w:p>
    <w:p w14:paraId="5657505D">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仿宋_GB2312"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zh-CN"/>
        </w:rPr>
        <w:t>全年预算执行金额12</w:t>
      </w:r>
      <w:r>
        <w:rPr>
          <w:rFonts w:hint="eastAsia" w:cs="Times New Roman"/>
          <w:color w:val="000000"/>
          <w:kern w:val="0"/>
          <w:szCs w:val="32"/>
          <w:shd w:val="clear" w:color="auto" w:fill="FFFFFF"/>
          <w:lang w:val="en-US" w:eastAsia="zh-CN"/>
        </w:rPr>
        <w:t>30.27</w:t>
      </w:r>
      <w:r>
        <w:rPr>
          <w:rFonts w:hint="default" w:ascii="Times New Roman" w:hAnsi="Times New Roman" w:cs="Times New Roman"/>
          <w:color w:val="000000"/>
          <w:kern w:val="0"/>
          <w:szCs w:val="32"/>
          <w:shd w:val="clear" w:color="auto" w:fill="FFFFFF"/>
          <w:lang w:val="zh-CN"/>
        </w:rPr>
        <w:t>万元，执行率</w:t>
      </w:r>
      <w:r>
        <w:rPr>
          <w:rFonts w:hint="eastAsia" w:cs="Times New Roman"/>
          <w:color w:val="000000"/>
          <w:kern w:val="0"/>
          <w:szCs w:val="32"/>
          <w:shd w:val="clear" w:color="auto" w:fill="FFFFFF"/>
          <w:lang w:val="en-US" w:eastAsia="zh-CN"/>
        </w:rPr>
        <w:t>93.27</w:t>
      </w:r>
      <w:r>
        <w:rPr>
          <w:rFonts w:hint="default" w:ascii="Times New Roman" w:hAnsi="Times New Roman" w:cs="Times New Roman"/>
          <w:color w:val="000000"/>
          <w:kern w:val="0"/>
          <w:szCs w:val="32"/>
          <w:shd w:val="clear" w:color="auto" w:fill="FFFFFF"/>
          <w:lang w:val="zh-CN"/>
        </w:rPr>
        <w:t>%，支出结构如下：</w:t>
      </w:r>
      <w:r>
        <w:rPr>
          <w:rFonts w:hint="eastAsia" w:cs="Times New Roman"/>
          <w:color w:val="000000"/>
          <w:kern w:val="0"/>
          <w:szCs w:val="32"/>
          <w:shd w:val="clear" w:color="auto" w:fill="FFFFFF"/>
          <w:lang w:val="en-US" w:eastAsia="zh-CN"/>
        </w:rPr>
        <w:t>区级财政拨款执行328.5万元，执行率93.02%；上级财政拨款执行629.25万元，执行率96.68</w:t>
      </w:r>
      <w:bookmarkStart w:id="0" w:name="_GoBack"/>
      <w:bookmarkEnd w:id="0"/>
      <w:r>
        <w:rPr>
          <w:rFonts w:hint="eastAsia" w:cs="Times New Roman"/>
          <w:color w:val="000000"/>
          <w:kern w:val="0"/>
          <w:szCs w:val="32"/>
          <w:shd w:val="clear" w:color="auto" w:fill="FFFFFF"/>
          <w:lang w:val="en-US" w:eastAsia="zh-CN"/>
        </w:rPr>
        <w:t>%；其他资金272.52万元，执行率86.51%。</w:t>
      </w:r>
    </w:p>
    <w:p w14:paraId="0A3EAC72">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rPr>
      </w:pPr>
      <w:r>
        <w:rPr>
          <w:rFonts w:hint="default" w:ascii="Times New Roman" w:hAnsi="Times New Roman" w:eastAsia="黑体" w:cs="Times New Roman"/>
          <w:color w:val="000000"/>
          <w:kern w:val="0"/>
          <w:szCs w:val="32"/>
          <w:shd w:val="clear" w:color="auto" w:fill="FFFFFF"/>
        </w:rPr>
        <w:t>三、部门预算整体绩效管理情况</w:t>
      </w:r>
    </w:p>
    <w:p w14:paraId="6C23042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（一）绩效管理</w:t>
      </w:r>
    </w:p>
    <w:p w14:paraId="322DAE34">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1.绩效目标制定</w:t>
      </w:r>
    </w:p>
    <w:p w14:paraId="28B3C2A0">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1</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总体目标：围绕“优化服务、提质增效”核心，设定五大任务：</w:t>
      </w:r>
    </w:p>
    <w:p w14:paraId="4FA9DDE8">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提升</w:t>
      </w:r>
      <w:r>
        <w:rPr>
          <w:rFonts w:hint="eastAsia" w:ascii="Times New Roman" w:hAnsi="Times New Roman" w:cs="Times New Roman"/>
          <w:color w:val="000000"/>
          <w:kern w:val="0"/>
          <w:szCs w:val="32"/>
          <w:shd w:val="clear" w:color="auto" w:fill="FFFFFF"/>
          <w:lang w:val="zh-CN"/>
        </w:rPr>
        <w:t>中医药服务能力</w:t>
      </w:r>
      <w:r>
        <w:rPr>
          <w:rFonts w:hint="default" w:ascii="Times New Roman" w:hAnsi="Times New Roman" w:cs="Times New Roman"/>
          <w:color w:val="000000"/>
          <w:kern w:val="0"/>
          <w:szCs w:val="32"/>
          <w:shd w:val="clear" w:color="auto" w:fill="FFFFFF"/>
          <w:lang w:val="zh-CN"/>
        </w:rPr>
        <w:t>，推广中医药特色技术；</w:t>
      </w:r>
    </w:p>
    <w:p w14:paraId="1A651D78">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落实12项基本公共卫生服务，强化居民健康管理；</w:t>
      </w:r>
    </w:p>
    <w:p w14:paraId="02D5E030">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规范基本医疗服务，提高门急诊服务质量；</w:t>
      </w:r>
    </w:p>
    <w:p w14:paraId="700C7FB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深化家庭医生签约，扩大服务覆盖面；</w:t>
      </w:r>
    </w:p>
    <w:p w14:paraId="36D3C660">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严格执行国家基本药物制度，完成多缴资金退缴。</w:t>
      </w:r>
    </w:p>
    <w:p w14:paraId="39E6E7EC">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2</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核心绩效指标：</w:t>
      </w:r>
    </w:p>
    <w:p w14:paraId="1296C991">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both"/>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产出指标：政府办基层医疗机构基本药物制度覆盖率100%；肺功能仪使用率≥90%，配备比例≥50%；骨干人员培训合格率100%。</w:t>
      </w:r>
    </w:p>
    <w:p w14:paraId="1E1A49DA">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效益指标：基本药物制度中长期持续实施；慢阻肺、哮喘等疾病筛查干预效果逐步显现；居民健康素养水平不断提升。</w:t>
      </w:r>
    </w:p>
    <w:p w14:paraId="7B51914E">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满意度指标：服务对象满意度≥80%，中医药服务认可度稳步提高。</w:t>
      </w:r>
    </w:p>
    <w:p w14:paraId="79700EC6">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2.目标实现情况</w:t>
      </w:r>
    </w:p>
    <w:p w14:paraId="359E9FD7">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1</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履职效能：</w:t>
      </w:r>
    </w:p>
    <w:p w14:paraId="25808C21">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肺功能仪使用率92%，达满分标准（7分），基层呼吸系统疾病筛查能力显著提升</w:t>
      </w:r>
      <w:r>
        <w:rPr>
          <w:rFonts w:hint="eastAsia" w:cs="Times New Roman"/>
          <w:color w:val="000000"/>
          <w:kern w:val="0"/>
          <w:szCs w:val="32"/>
          <w:shd w:val="clear" w:color="auto" w:fill="FFFFFF"/>
          <w:lang w:val="zh-CN"/>
        </w:rPr>
        <w:t>。</w:t>
      </w:r>
    </w:p>
    <w:p w14:paraId="32AFD1B1">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国家基本药物制度实际支出与计划支出匹配，得分5分，基本药物配备目录动态更新，居民用药成本有效控制</w:t>
      </w:r>
      <w:r>
        <w:rPr>
          <w:rFonts w:hint="eastAsia" w:cs="Times New Roman"/>
          <w:color w:val="000000"/>
          <w:kern w:val="0"/>
          <w:szCs w:val="32"/>
          <w:shd w:val="clear" w:color="auto" w:fill="FFFFFF"/>
          <w:lang w:val="zh-CN"/>
        </w:rPr>
        <w:t>。</w:t>
      </w:r>
    </w:p>
    <w:p w14:paraId="1683C769">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服务对象满意度85%，达“≥80%”目标，得分3分，群众获得感逐步增强。</w:t>
      </w:r>
    </w:p>
    <w:p w14:paraId="573BDCDA">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zh-CN"/>
        </w:rPr>
        <w:t>（</w:t>
      </w:r>
      <w:r>
        <w:rPr>
          <w:rFonts w:hint="eastAsia" w:ascii="Times New Roman" w:hAnsi="Times New Roman" w:cs="Times New Roman"/>
          <w:color w:val="000000"/>
          <w:kern w:val="0"/>
          <w:szCs w:val="32"/>
          <w:shd w:val="clear" w:color="auto" w:fill="FFFFFF"/>
          <w:lang w:val="zh-CN"/>
        </w:rPr>
        <w:t>2</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预算管理：</w:t>
      </w:r>
    </w:p>
    <w:p w14:paraId="4663840D">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预算编制质量得分</w:t>
      </w:r>
      <w:r>
        <w:rPr>
          <w:rFonts w:hint="eastAsia" w:cs="Times New Roman"/>
          <w:color w:val="000000"/>
          <w:kern w:val="0"/>
          <w:szCs w:val="32"/>
          <w:shd w:val="clear" w:color="auto" w:fill="FFFFFF"/>
          <w:lang w:val="en-US" w:eastAsia="zh-CN"/>
        </w:rPr>
        <w:t>0</w:t>
      </w:r>
      <w:r>
        <w:rPr>
          <w:rFonts w:hint="default" w:ascii="Times New Roman" w:hAnsi="Times New Roman" w:cs="Times New Roman"/>
          <w:color w:val="000000"/>
          <w:kern w:val="0"/>
          <w:szCs w:val="32"/>
          <w:shd w:val="clear" w:color="auto" w:fill="FFFFFF"/>
          <w:lang w:val="zh-CN"/>
        </w:rPr>
        <w:t>分，因财政拨款预算偏离度较高，资产配置及政府采购未发生，按规则折算得分；</w:t>
      </w:r>
    </w:p>
    <w:p w14:paraId="00DDB901">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预算执行率100%，无结余资金，资金使用规范，财务管理得分10分（制度健全、岗位合规、无违规记录）；</w:t>
      </w:r>
    </w:p>
    <w:p w14:paraId="15AFC014">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资产管理中，人均资产变化率、资产利用率达标，资产盘活率因无闲置资产按规则折算，采购管理因未发生相关业务</w:t>
      </w:r>
      <w:r>
        <w:rPr>
          <w:rFonts w:hint="eastAsia" w:cs="Times New Roman"/>
          <w:color w:val="000000"/>
          <w:kern w:val="0"/>
          <w:szCs w:val="32"/>
          <w:shd w:val="clear" w:color="auto" w:fill="FFFFFF"/>
          <w:lang w:val="en-US" w:eastAsia="zh-CN"/>
        </w:rPr>
        <w:t>折算</w:t>
      </w:r>
      <w:r>
        <w:rPr>
          <w:rFonts w:hint="default" w:ascii="Times New Roman" w:hAnsi="Times New Roman" w:cs="Times New Roman"/>
          <w:color w:val="000000"/>
          <w:kern w:val="0"/>
          <w:szCs w:val="32"/>
          <w:shd w:val="clear" w:color="auto" w:fill="FFFFFF"/>
          <w:lang w:val="zh-CN"/>
        </w:rPr>
        <w:t>得分。</w:t>
      </w:r>
    </w:p>
    <w:p w14:paraId="7AEE71DC">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eastAsia"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en-US" w:eastAsia="zh-CN"/>
        </w:rPr>
        <w:t>3</w:t>
      </w:r>
      <w:r>
        <w:rPr>
          <w:rFonts w:hint="eastAsia" w:cs="Times New Roman"/>
          <w:color w:val="000000"/>
          <w:kern w:val="0"/>
          <w:szCs w:val="32"/>
          <w:shd w:val="clear" w:color="auto" w:fill="FFFFFF"/>
          <w:lang w:val="en-US" w:eastAsia="zh-CN"/>
        </w:rPr>
        <w:t>）</w:t>
      </w:r>
      <w:r>
        <w:rPr>
          <w:rFonts w:hint="default" w:ascii="Times New Roman" w:hAnsi="Times New Roman" w:cs="Times New Roman"/>
          <w:color w:val="000000"/>
          <w:kern w:val="0"/>
          <w:szCs w:val="32"/>
          <w:shd w:val="clear" w:color="auto" w:fill="FFFFFF"/>
          <w:lang w:val="zh-CN"/>
        </w:rPr>
        <w:t>项目绩效</w:t>
      </w:r>
    </w:p>
    <w:p w14:paraId="706D1E9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项目决策程序合规，目标设置科学，所有项目按时入库，得分12分；</w:t>
      </w:r>
    </w:p>
    <w:p w14:paraId="607F72F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实际列支与绩效目标一致，预算调整按程序执行，得分12分；</w:t>
      </w:r>
    </w:p>
    <w:p w14:paraId="51A22B9C">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数量指标完成率100%，效益指标“基本药物制度持续实施”“居民健康素养提升”等定性目标稳步推进，得分1</w:t>
      </w:r>
      <w:r>
        <w:rPr>
          <w:rFonts w:hint="eastAsia" w:cs="Times New Roman"/>
          <w:color w:val="000000"/>
          <w:kern w:val="0"/>
          <w:szCs w:val="32"/>
          <w:shd w:val="clear" w:color="auto" w:fill="FFFFFF"/>
          <w:lang w:val="en-US" w:eastAsia="zh-CN"/>
        </w:rPr>
        <w:t>1</w:t>
      </w:r>
      <w:r>
        <w:rPr>
          <w:rFonts w:hint="default" w:ascii="Times New Roman" w:hAnsi="Times New Roman" w:cs="Times New Roman"/>
          <w:color w:val="000000"/>
          <w:kern w:val="0"/>
          <w:szCs w:val="32"/>
          <w:shd w:val="clear" w:color="auto" w:fill="FFFFFF"/>
          <w:lang w:val="zh-CN"/>
        </w:rPr>
        <w:t>分。</w:t>
      </w:r>
    </w:p>
    <w:p w14:paraId="7B87B232">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3.支出控制与进度</w:t>
      </w:r>
    </w:p>
    <w:p w14:paraId="795F5C2A">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建立“预算</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进度</w:t>
      </w:r>
      <w:r>
        <w:rPr>
          <w:rFonts w:hint="eastAsia" w:cs="Times New Roman"/>
          <w:color w:val="000000"/>
          <w:kern w:val="0"/>
          <w:szCs w:val="32"/>
          <w:shd w:val="clear" w:color="auto" w:fill="FFFFFF"/>
          <w:lang w:val="zh-CN"/>
        </w:rPr>
        <w:t>－</w:t>
      </w:r>
      <w:r>
        <w:rPr>
          <w:rFonts w:hint="default" w:ascii="Times New Roman" w:hAnsi="Times New Roman" w:cs="Times New Roman"/>
          <w:color w:val="000000"/>
          <w:kern w:val="0"/>
          <w:szCs w:val="32"/>
          <w:shd w:val="clear" w:color="auto" w:fill="FFFFFF"/>
          <w:lang w:val="zh-CN"/>
        </w:rPr>
        <w:t>绩效”动态监控机制，每月分析资金使用情况，重点保障基本药物采购、公卫服务耗材等民生支出。针对追加预算（如公卫服务扩项），及时调整资金分配，确保支出与业务进度同步，全年无超预算支出或资金沉淀。</w:t>
      </w:r>
    </w:p>
    <w:p w14:paraId="6A006378">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（二）绩效结果应用情况。</w:t>
      </w:r>
    </w:p>
    <w:p w14:paraId="3D3FEDA6">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en-US" w:eastAsia="zh-CN"/>
        </w:rPr>
        <w:t>1.</w:t>
      </w:r>
      <w:r>
        <w:rPr>
          <w:rFonts w:hint="default" w:ascii="Times New Roman" w:hAnsi="Times New Roman" w:cs="Times New Roman"/>
          <w:b/>
          <w:bCs/>
          <w:color w:val="000000"/>
          <w:kern w:val="0"/>
          <w:szCs w:val="32"/>
          <w:shd w:val="clear" w:color="auto" w:fill="FFFFFF"/>
          <w:lang w:val="zh-CN"/>
        </w:rPr>
        <w:t>内部应用</w:t>
      </w:r>
    </w:p>
    <w:p w14:paraId="0F122C28">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en-US" w:eastAsia="zh-CN"/>
        </w:rPr>
      </w:pPr>
      <w:r>
        <w:rPr>
          <w:rFonts w:hint="default" w:ascii="Times New Roman" w:hAnsi="Times New Roman" w:cs="Times New Roman"/>
          <w:color w:val="000000"/>
          <w:kern w:val="0"/>
          <w:szCs w:val="32"/>
          <w:shd w:val="clear" w:color="auto" w:fill="FFFFFF"/>
          <w:lang w:val="en-US" w:eastAsia="zh-CN"/>
        </w:rPr>
        <w:t>将预算绩效评价结果作为</w:t>
      </w:r>
      <w:r>
        <w:rPr>
          <w:rFonts w:hint="eastAsia" w:cs="Times New Roman"/>
          <w:color w:val="000000"/>
          <w:kern w:val="0"/>
          <w:szCs w:val="32"/>
          <w:shd w:val="clear" w:color="auto" w:fill="FFFFFF"/>
          <w:lang w:val="en-US" w:eastAsia="zh-CN"/>
        </w:rPr>
        <w:t>各部门</w:t>
      </w:r>
      <w:r>
        <w:rPr>
          <w:rFonts w:hint="default" w:ascii="Times New Roman" w:hAnsi="Times New Roman" w:cs="Times New Roman"/>
          <w:color w:val="000000"/>
          <w:kern w:val="0"/>
          <w:szCs w:val="32"/>
          <w:shd w:val="clear" w:color="auto" w:fill="FFFFFF"/>
          <w:lang w:val="en-US" w:eastAsia="zh-CN"/>
        </w:rPr>
        <w:t>年度预算安排的依据。</w:t>
      </w:r>
    </w:p>
    <w:p w14:paraId="29D291E9">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zh-CN"/>
        </w:rPr>
        <w:t>2.自评公开</w:t>
      </w:r>
    </w:p>
    <w:p w14:paraId="019797AE">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按规定在政府门户网站公开部门预算、绩效目标及自评报告，主动披露资金分配明细、绩效指标完成情况及问题整改措施，接受社会监督，增强财政资金使用透明度。</w:t>
      </w:r>
    </w:p>
    <w:p w14:paraId="153C5A54">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contextualSpacing/>
        <w:jc w:val="left"/>
        <w:textAlignment w:val="auto"/>
        <w:rPr>
          <w:rFonts w:hint="default" w:ascii="Times New Roman" w:hAnsi="Times New Roman" w:cs="Times New Roman"/>
          <w:b/>
          <w:bCs/>
          <w:color w:val="000000"/>
          <w:kern w:val="0"/>
          <w:szCs w:val="32"/>
          <w:shd w:val="clear" w:color="auto" w:fill="FFFFFF"/>
          <w:lang w:val="zh-CN"/>
        </w:rPr>
      </w:pPr>
      <w:r>
        <w:rPr>
          <w:rFonts w:hint="default" w:ascii="Times New Roman" w:hAnsi="Times New Roman" w:cs="Times New Roman"/>
          <w:b/>
          <w:bCs/>
          <w:color w:val="000000"/>
          <w:kern w:val="0"/>
          <w:szCs w:val="32"/>
          <w:shd w:val="clear" w:color="auto" w:fill="FFFFFF"/>
          <w:lang w:val="zh-CN"/>
        </w:rPr>
        <w:t>3.问题整改</w:t>
      </w:r>
    </w:p>
    <w:p w14:paraId="3F0E3678">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kern w:val="0"/>
          <w:szCs w:val="32"/>
          <w:shd w:val="clear" w:color="auto" w:fill="FFFFFF"/>
          <w:lang w:val="zh-CN"/>
        </w:rPr>
        <w:t>预算偏离度高：建立预算动态调整机制，每季度评估政策变化及业务需求，及时申请预算调整，减少年终追加比例；加强历史数据测算，提高年初预算精准度。</w:t>
      </w:r>
    </w:p>
    <w:p w14:paraId="48370BBE">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（三）绩效自评质量</w:t>
      </w:r>
    </w:p>
    <w:p w14:paraId="15D9C7AC">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cs="Times New Roman"/>
          <w:color w:val="000000"/>
          <w:kern w:val="0"/>
          <w:szCs w:val="32"/>
          <w:shd w:val="clear" w:color="auto" w:fill="FFFFFF"/>
        </w:rPr>
      </w:pPr>
      <w:r>
        <w:rPr>
          <w:rFonts w:hint="default" w:ascii="Times New Roman" w:hAnsi="Times New Roman" w:cs="Times New Roman"/>
          <w:color w:val="000000"/>
          <w:kern w:val="0"/>
          <w:szCs w:val="32"/>
          <w:shd w:val="clear" w:color="auto" w:fill="FFFFFF"/>
          <w:lang w:val="en-US" w:eastAsia="zh-CN"/>
        </w:rPr>
        <w:t>中心</w:t>
      </w:r>
      <w:r>
        <w:rPr>
          <w:rFonts w:hint="default" w:ascii="Times New Roman" w:hAnsi="Times New Roman" w:cs="Times New Roman"/>
          <w:color w:val="000000"/>
          <w:kern w:val="0"/>
          <w:szCs w:val="32"/>
          <w:shd w:val="clear" w:color="auto" w:fill="FFFFFF"/>
        </w:rPr>
        <w:t>自评工作严格遵循东区</w:t>
      </w:r>
      <w:r>
        <w:rPr>
          <w:rFonts w:hint="default" w:ascii="Times New Roman" w:hAnsi="Times New Roman" w:cs="Times New Roman"/>
          <w:color w:val="000000"/>
          <w:kern w:val="0"/>
          <w:szCs w:val="32"/>
          <w:shd w:val="clear" w:color="auto" w:fill="FFFFFF"/>
          <w:lang w:val="en-US" w:eastAsia="zh-CN"/>
        </w:rPr>
        <w:t>财政局相关文件要求</w:t>
      </w:r>
      <w:r>
        <w:rPr>
          <w:rFonts w:hint="default" w:ascii="Times New Roman" w:hAnsi="Times New Roman" w:cs="Times New Roman"/>
          <w:color w:val="000000"/>
          <w:kern w:val="0"/>
          <w:szCs w:val="32"/>
          <w:shd w:val="clear" w:color="auto" w:fill="FFFFFF"/>
        </w:rPr>
        <w:t>，对照附件2指标体系逐项打分，确保评价依据充分。扣分项目（如预算偏离度</w:t>
      </w:r>
      <w:r>
        <w:rPr>
          <w:rFonts w:hint="eastAsia" w:ascii="Times New Roman" w:hAnsi="Times New Roman" w:cs="Times New Roman"/>
          <w:color w:val="000000"/>
          <w:kern w:val="0"/>
          <w:szCs w:val="32"/>
          <w:shd w:val="clear" w:color="auto" w:fill="FFFFFF"/>
          <w:lang w:eastAsia="zh-CN"/>
        </w:rPr>
        <w:t>）</w:t>
      </w:r>
      <w:r>
        <w:rPr>
          <w:rFonts w:hint="default" w:ascii="Times New Roman" w:hAnsi="Times New Roman" w:cs="Times New Roman"/>
          <w:color w:val="000000"/>
          <w:kern w:val="0"/>
          <w:szCs w:val="32"/>
          <w:shd w:val="clear" w:color="auto" w:fill="FFFFFF"/>
        </w:rPr>
        <w:t>均基于实际业务情况说明，自评结果客观反映部门预算执行及履职成效，准确性达95%以上。</w:t>
      </w:r>
    </w:p>
    <w:p w14:paraId="2A941984">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黑体" w:cs="Times New Roman"/>
          <w:color w:val="000000"/>
          <w:kern w:val="0"/>
          <w:szCs w:val="32"/>
          <w:shd w:val="clear" w:color="auto" w:fill="FFFFFF"/>
          <w:lang w:val="en-US" w:eastAsia="zh-CN"/>
        </w:rPr>
      </w:pPr>
      <w:r>
        <w:rPr>
          <w:rFonts w:hint="default" w:ascii="Times New Roman" w:hAnsi="Times New Roman" w:eastAsia="黑体" w:cs="Times New Roman"/>
          <w:color w:val="000000"/>
          <w:kern w:val="0"/>
          <w:szCs w:val="32"/>
          <w:shd w:val="clear" w:color="auto" w:fill="FFFFFF"/>
        </w:rPr>
        <w:t>四、评价结论及</w:t>
      </w:r>
      <w:r>
        <w:rPr>
          <w:rFonts w:hint="eastAsia" w:eastAsia="黑体" w:cs="Times New Roman"/>
          <w:color w:val="000000"/>
          <w:kern w:val="0"/>
          <w:szCs w:val="32"/>
          <w:shd w:val="clear" w:color="auto" w:fill="FFFFFF"/>
          <w:lang w:val="en-US" w:eastAsia="zh-CN"/>
        </w:rPr>
        <w:t>后续工作计划</w:t>
      </w:r>
    </w:p>
    <w:p w14:paraId="5F11DADC">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（一）评价结论。</w:t>
      </w:r>
    </w:p>
    <w:p w14:paraId="6E490A30">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zh-CN" w:eastAsia="zh-CN" w:bidi="ar-SA"/>
        </w:rPr>
        <w:t>2024年部门预算整体支出绩效自评得分</w:t>
      </w:r>
      <w:r>
        <w:rPr>
          <w:rFonts w:hint="eastAsia" w:eastAsia="仿宋_GB2312" w:cs="Times New Roman"/>
          <w:color w:val="000000"/>
          <w:kern w:val="0"/>
          <w:sz w:val="32"/>
          <w:szCs w:val="32"/>
          <w:shd w:val="clear" w:color="auto" w:fill="FFFFFF"/>
          <w:lang w:val="en-US" w:eastAsia="zh-CN" w:bidi="ar-SA"/>
        </w:rPr>
        <w:t>72.4分，有23分本次自评按规则折算，折算得分</w:t>
      </w:r>
      <w:r>
        <w:rPr>
          <w:rFonts w:hint="default" w:ascii="Times New Roman" w:hAnsi="Times New Roman" w:eastAsia="仿宋_GB2312" w:cs="Times New Roman"/>
          <w:color w:val="000000"/>
          <w:kern w:val="0"/>
          <w:sz w:val="32"/>
          <w:szCs w:val="32"/>
          <w:shd w:val="clear" w:color="auto" w:fill="FFFFFF"/>
          <w:lang w:val="zh-CN" w:eastAsia="zh-CN" w:bidi="ar-SA"/>
        </w:rPr>
        <w:t>9</w:t>
      </w:r>
      <w:r>
        <w:rPr>
          <w:rFonts w:hint="eastAsia" w:eastAsia="仿宋_GB2312" w:cs="Times New Roman"/>
          <w:color w:val="000000"/>
          <w:kern w:val="0"/>
          <w:sz w:val="32"/>
          <w:szCs w:val="32"/>
          <w:shd w:val="clear" w:color="auto" w:fill="FFFFFF"/>
          <w:lang w:val="en-US" w:eastAsia="zh-CN" w:bidi="ar-SA"/>
        </w:rPr>
        <w:t>4</w:t>
      </w:r>
      <w:r>
        <w:rPr>
          <w:rFonts w:hint="default" w:ascii="Times New Roman" w:hAnsi="Times New Roman" w:eastAsia="仿宋_GB2312" w:cs="Times New Roman"/>
          <w:color w:val="000000"/>
          <w:kern w:val="0"/>
          <w:sz w:val="32"/>
          <w:szCs w:val="32"/>
          <w:shd w:val="clear" w:color="auto" w:fill="FFFFFF"/>
          <w:lang w:val="zh-CN" w:eastAsia="zh-CN" w:bidi="ar-SA"/>
        </w:rPr>
        <w:t>.</w:t>
      </w:r>
      <w:r>
        <w:rPr>
          <w:rFonts w:hint="eastAsia" w:eastAsia="仿宋_GB2312" w:cs="Times New Roman"/>
          <w:color w:val="000000"/>
          <w:kern w:val="0"/>
          <w:sz w:val="32"/>
          <w:szCs w:val="32"/>
          <w:shd w:val="clear" w:color="auto" w:fill="FFFFFF"/>
          <w:lang w:val="en-US" w:eastAsia="zh-CN" w:bidi="ar-SA"/>
        </w:rPr>
        <w:t>03</w:t>
      </w:r>
      <w:r>
        <w:rPr>
          <w:rFonts w:hint="default" w:ascii="Times New Roman" w:hAnsi="Times New Roman" w:eastAsia="仿宋_GB2312" w:cs="Times New Roman"/>
          <w:color w:val="000000"/>
          <w:kern w:val="0"/>
          <w:sz w:val="32"/>
          <w:szCs w:val="32"/>
          <w:shd w:val="clear" w:color="auto" w:fill="FFFFFF"/>
          <w:lang w:val="zh-CN" w:eastAsia="zh-CN" w:bidi="ar-SA"/>
        </w:rPr>
        <w:t>分，整体绩效优异。预算执行规范，基本药物制度、公卫服务、中医药特色服务等核心任务超额完成，服务对象满意度达标，财政资金使用效率较高，有效提升了基层医疗卫生服务能力。</w:t>
      </w:r>
    </w:p>
    <w:p w14:paraId="461D4AE6">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rPr>
        <w:t>（二）存在问题</w:t>
      </w:r>
    </w:p>
    <w:p w14:paraId="1A8D8F1A">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1.</w:t>
      </w:r>
      <w:r>
        <w:rPr>
          <w:rFonts w:hint="default" w:ascii="Times New Roman" w:hAnsi="Times New Roman" w:eastAsia="仿宋_GB2312" w:cs="Times New Roman"/>
          <w:color w:val="000000"/>
          <w:kern w:val="0"/>
          <w:sz w:val="32"/>
          <w:szCs w:val="32"/>
          <w:shd w:val="clear" w:color="auto" w:fill="FFFFFF"/>
          <w:lang w:val="zh-CN" w:eastAsia="zh-CN" w:bidi="ar-SA"/>
        </w:rPr>
        <w:t>预算编制精准度不足：财政拨款预算因政策追加导致偏离度较高，年初预算对突发业务需求预判不足。</w:t>
      </w:r>
    </w:p>
    <w:p w14:paraId="4DB3C6CE">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2.</w:t>
      </w:r>
      <w:r>
        <w:rPr>
          <w:rFonts w:hint="default" w:ascii="Times New Roman" w:hAnsi="Times New Roman" w:eastAsia="仿宋_GB2312" w:cs="Times New Roman"/>
          <w:color w:val="000000"/>
          <w:kern w:val="0"/>
          <w:sz w:val="32"/>
          <w:szCs w:val="32"/>
          <w:shd w:val="clear" w:color="auto" w:fill="FFFFFF"/>
          <w:lang w:val="zh-CN" w:eastAsia="zh-CN" w:bidi="ar-SA"/>
        </w:rPr>
        <w:t>资产使用效率需提升：部分超年限设备</w:t>
      </w:r>
      <w:r>
        <w:rPr>
          <w:rFonts w:hint="eastAsia" w:eastAsia="仿宋_GB2312" w:cs="Times New Roman"/>
          <w:color w:val="000000"/>
          <w:kern w:val="0"/>
          <w:sz w:val="32"/>
          <w:szCs w:val="32"/>
          <w:shd w:val="clear" w:color="auto" w:fill="FFFFFF"/>
          <w:lang w:val="zh-CN" w:eastAsia="zh-CN" w:bidi="ar-SA"/>
        </w:rPr>
        <w:t>、</w:t>
      </w:r>
      <w:r>
        <w:rPr>
          <w:rFonts w:hint="eastAsia" w:eastAsia="仿宋_GB2312" w:cs="Times New Roman"/>
          <w:color w:val="000000"/>
          <w:kern w:val="0"/>
          <w:sz w:val="32"/>
          <w:szCs w:val="32"/>
          <w:shd w:val="clear" w:color="auto" w:fill="FFFFFF"/>
          <w:lang w:val="en-US" w:eastAsia="zh-CN" w:bidi="ar-SA"/>
        </w:rPr>
        <w:t>办公家具利用率低于区域行政事业单位平均水平</w:t>
      </w:r>
      <w:r>
        <w:rPr>
          <w:rFonts w:hint="default" w:ascii="Times New Roman" w:hAnsi="Times New Roman" w:eastAsia="仿宋_GB2312" w:cs="Times New Roman"/>
          <w:color w:val="000000"/>
          <w:kern w:val="0"/>
          <w:sz w:val="32"/>
          <w:szCs w:val="32"/>
          <w:shd w:val="clear" w:color="auto" w:fill="FFFFFF"/>
          <w:lang w:val="zh-CN" w:eastAsia="zh-CN" w:bidi="ar-SA"/>
        </w:rPr>
        <w:t>。</w:t>
      </w:r>
    </w:p>
    <w:p w14:paraId="2A23CDD3">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楷体_GB2312" w:cs="Times New Roman"/>
          <w:color w:val="000000"/>
          <w:kern w:val="0"/>
          <w:szCs w:val="32"/>
          <w:shd w:val="clear" w:color="auto" w:fill="FFFFFF"/>
          <w:lang w:val="zh-CN" w:eastAsia="zh-CN"/>
        </w:rPr>
        <w:t>（</w:t>
      </w:r>
      <w:r>
        <w:rPr>
          <w:rFonts w:hint="default" w:ascii="Times New Roman" w:hAnsi="Times New Roman" w:eastAsia="楷体_GB2312" w:cs="Times New Roman"/>
          <w:color w:val="000000"/>
          <w:kern w:val="0"/>
          <w:szCs w:val="32"/>
          <w:shd w:val="clear" w:color="auto" w:fill="FFFFFF"/>
          <w:lang w:val="en-US" w:eastAsia="zh-CN"/>
        </w:rPr>
        <w:t>三</w:t>
      </w:r>
      <w:r>
        <w:rPr>
          <w:rFonts w:hint="default" w:ascii="Times New Roman" w:hAnsi="Times New Roman" w:eastAsia="楷体_GB2312" w:cs="Times New Roman"/>
          <w:color w:val="000000"/>
          <w:kern w:val="0"/>
          <w:szCs w:val="32"/>
          <w:shd w:val="clear" w:color="auto" w:fill="FFFFFF"/>
          <w:lang w:val="zh-CN" w:eastAsia="zh-CN"/>
        </w:rPr>
        <w:t>）整改措施</w:t>
      </w:r>
    </w:p>
    <w:p w14:paraId="41ADFEBD">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1.强化预算精细化管理</w:t>
      </w:r>
    </w:p>
    <w:p w14:paraId="1D4AFF8A">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建立“政策研读</w:t>
      </w:r>
      <w:r>
        <w:rPr>
          <w:rFonts w:hint="eastAsia" w:cs="Times New Roman"/>
          <w:color w:val="000000"/>
          <w:kern w:val="0"/>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en-US" w:eastAsia="zh-CN" w:bidi="ar-SA"/>
        </w:rPr>
        <w:t>业务预判</w:t>
      </w:r>
      <w:r>
        <w:rPr>
          <w:rFonts w:hint="eastAsia" w:cs="Times New Roman"/>
          <w:color w:val="000000"/>
          <w:kern w:val="0"/>
          <w:szCs w:val="32"/>
          <w:shd w:val="clear" w:color="auto" w:fill="FFFFFF"/>
          <w:lang w:val="zh-CN"/>
        </w:rPr>
        <w:t>－</w:t>
      </w:r>
      <w:r>
        <w:rPr>
          <w:rFonts w:hint="default" w:ascii="Times New Roman" w:hAnsi="Times New Roman" w:eastAsia="仿宋_GB2312" w:cs="Times New Roman"/>
          <w:color w:val="000000"/>
          <w:kern w:val="0"/>
          <w:sz w:val="32"/>
          <w:szCs w:val="32"/>
          <w:shd w:val="clear" w:color="auto" w:fill="FFFFFF"/>
          <w:lang w:val="en-US" w:eastAsia="zh-CN" w:bidi="ar-SA"/>
        </w:rPr>
        <w:t>成本测算”三级编制机制，结合历年数据及当年政策文件，科学预估资金需求，将预算偏离度控制在10%以内。</w:t>
      </w:r>
    </w:p>
    <w:p w14:paraId="07D7A160">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针对追加预算项目，严格履行事前评估程序，确保资金分配合理合规。</w:t>
      </w:r>
    </w:p>
    <w:p w14:paraId="47D57F5A">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2.优化资产管理与配置</w:t>
      </w:r>
    </w:p>
    <w:p w14:paraId="6883EA60">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eastAsia" w:eastAsia="仿宋_GB2312" w:cs="Times New Roman"/>
          <w:color w:val="000000"/>
          <w:kern w:val="0"/>
          <w:sz w:val="32"/>
          <w:szCs w:val="32"/>
          <w:shd w:val="clear" w:color="auto" w:fill="FFFFFF"/>
          <w:lang w:val="en-US" w:eastAsia="zh-CN" w:bidi="ar-SA"/>
        </w:rPr>
        <w:t>深挖资产潜能，降低资产更新率，</w:t>
      </w:r>
      <w:r>
        <w:rPr>
          <w:rFonts w:hint="default" w:ascii="Times New Roman" w:hAnsi="Times New Roman" w:eastAsia="仿宋_GB2312" w:cs="Times New Roman"/>
          <w:color w:val="000000"/>
          <w:kern w:val="0"/>
          <w:sz w:val="32"/>
          <w:szCs w:val="32"/>
          <w:shd w:val="clear" w:color="auto" w:fill="FFFFFF"/>
          <w:lang w:val="en-US" w:eastAsia="zh-CN" w:bidi="ar-SA"/>
        </w:rPr>
        <w:t>建立资产使用效率考核机制，将设备利用率纳入科室绩效，避免资产闲置浪费。</w:t>
      </w:r>
    </w:p>
    <w:p w14:paraId="7A6B23E9">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default" w:ascii="Times New Roman" w:hAnsi="Times New Roman" w:eastAsia="楷体_GB2312" w:cs="Times New Roman"/>
          <w:color w:val="000000"/>
          <w:kern w:val="0"/>
          <w:szCs w:val="32"/>
          <w:shd w:val="clear" w:color="auto" w:fill="FFFFFF"/>
          <w:lang w:val="zh-CN" w:eastAsia="zh-CN"/>
        </w:rPr>
      </w:pPr>
      <w:r>
        <w:rPr>
          <w:rFonts w:hint="default" w:ascii="Times New Roman" w:hAnsi="Times New Roman" w:eastAsia="楷体_GB2312" w:cs="Times New Roman"/>
          <w:color w:val="000000"/>
          <w:kern w:val="0"/>
          <w:szCs w:val="32"/>
          <w:shd w:val="clear" w:color="auto" w:fill="FFFFFF"/>
          <w:lang w:val="zh-CN" w:eastAsia="zh-CN"/>
        </w:rPr>
        <w:t>（四）下一步计划</w:t>
      </w:r>
    </w:p>
    <w:p w14:paraId="0324A707">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color w:val="000000"/>
          <w:kern w:val="0"/>
          <w:sz w:val="32"/>
          <w:szCs w:val="32"/>
          <w:shd w:val="clear" w:color="auto" w:fill="FFFFFF"/>
          <w:lang w:val="en-US" w:eastAsia="zh-CN" w:bidi="ar-SA"/>
        </w:rPr>
        <w:t>以预算绩效管理为抓手，聚焦“健康中国”基层服务要求，持续提升基本医疗与公卫服务质量，深化中医药特色服务内涵，加强预算编制与资产采购的统筹协调，确保财政资金精准用于保障居民健康，为辖区群众提供更优质</w:t>
      </w:r>
      <w:r>
        <w:rPr>
          <w:rFonts w:hint="eastAsia" w:eastAsia="仿宋_GB2312" w:cs="Times New Roman"/>
          <w:color w:val="000000"/>
          <w:kern w:val="0"/>
          <w:sz w:val="32"/>
          <w:szCs w:val="32"/>
          <w:shd w:val="clear" w:color="auto" w:fill="FFFFFF"/>
          <w:lang w:val="en-US" w:eastAsia="zh-CN" w:bidi="ar-SA"/>
        </w:rPr>
        <w:t>、更</w:t>
      </w:r>
      <w:r>
        <w:rPr>
          <w:rFonts w:hint="default" w:ascii="Times New Roman" w:hAnsi="Times New Roman" w:eastAsia="仿宋_GB2312" w:cs="Times New Roman"/>
          <w:color w:val="000000"/>
          <w:kern w:val="0"/>
          <w:sz w:val="32"/>
          <w:szCs w:val="32"/>
          <w:shd w:val="clear" w:color="auto" w:fill="FFFFFF"/>
          <w:lang w:val="en-US" w:eastAsia="zh-CN" w:bidi="ar-SA"/>
        </w:rPr>
        <w:t>高效</w:t>
      </w:r>
      <w:r>
        <w:rPr>
          <w:rFonts w:hint="eastAsia" w:eastAsia="仿宋_GB2312" w:cs="Times New Roman"/>
          <w:color w:val="000000"/>
          <w:kern w:val="0"/>
          <w:sz w:val="32"/>
          <w:szCs w:val="32"/>
          <w:shd w:val="clear" w:color="auto" w:fill="FFFFFF"/>
          <w:lang w:val="en-US" w:eastAsia="zh-CN" w:bidi="ar-SA"/>
        </w:rPr>
        <w:t>、</w:t>
      </w:r>
      <w:r>
        <w:rPr>
          <w:rFonts w:hint="default" w:ascii="Times New Roman" w:hAnsi="Times New Roman" w:eastAsia="仿宋_GB2312" w:cs="Times New Roman"/>
          <w:color w:val="000000"/>
          <w:kern w:val="0"/>
          <w:sz w:val="32"/>
          <w:szCs w:val="32"/>
          <w:shd w:val="clear" w:color="auto" w:fill="FFFFFF"/>
          <w:lang w:val="en-US" w:eastAsia="zh-CN" w:bidi="ar-SA"/>
        </w:rPr>
        <w:t>可持续的基层医疗卫生服务。</w:t>
      </w:r>
    </w:p>
    <w:p w14:paraId="1439A8A3">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仿宋_GB2312" w:cs="Times New Roman"/>
          <w:color w:val="000000"/>
          <w:kern w:val="0"/>
          <w:sz w:val="32"/>
          <w:szCs w:val="32"/>
          <w:shd w:val="clear" w:color="auto" w:fill="FFFFFF"/>
          <w:lang w:val="zh-CN" w:eastAsia="zh-CN" w:bidi="ar-SA"/>
        </w:rPr>
      </w:pPr>
    </w:p>
    <w:p w14:paraId="72D489C4">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仿宋_GB2312" w:cs="Times New Roman"/>
          <w:color w:val="000000"/>
          <w:kern w:val="0"/>
          <w:sz w:val="32"/>
          <w:szCs w:val="32"/>
          <w:shd w:val="clear" w:color="auto" w:fill="FFFFFF"/>
          <w:lang w:val="zh-CN" w:eastAsia="zh-CN" w:bidi="ar-SA"/>
        </w:rPr>
      </w:pPr>
    </w:p>
    <w:p w14:paraId="12D6B770">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仿宋_GB2312" w:cs="Times New Roman"/>
          <w:color w:val="000000"/>
          <w:kern w:val="0"/>
          <w:sz w:val="32"/>
          <w:szCs w:val="32"/>
          <w:shd w:val="clear" w:color="auto" w:fill="FFFFFF"/>
          <w:lang w:val="zh-CN" w:eastAsia="zh-CN" w:bidi="ar-SA"/>
        </w:rPr>
      </w:pPr>
      <w:r>
        <w:rPr>
          <w:rFonts w:hint="default" w:ascii="Times New Roman" w:hAnsi="Times New Roman" w:eastAsia="仿宋_GB2312" w:cs="Times New Roman"/>
          <w:color w:val="000000"/>
          <w:kern w:val="0"/>
          <w:sz w:val="32"/>
          <w:szCs w:val="32"/>
          <w:shd w:val="clear" w:color="auto" w:fill="FFFFFF"/>
          <w:lang w:val="zh-CN" w:eastAsia="zh-CN" w:bidi="ar-SA"/>
        </w:rPr>
        <w:t>攀枝花市东区瓜子坪社区卫生服务中心</w:t>
      </w:r>
    </w:p>
    <w:p w14:paraId="6478DAA1">
      <w:pPr>
        <w:jc w:val="center"/>
        <w:rPr>
          <w:rFonts w:hint="default"/>
          <w:lang w:val="en-US" w:eastAsia="zh-CN"/>
        </w:rPr>
      </w:pPr>
      <w:r>
        <w:rPr>
          <w:rFonts w:hint="eastAsia" w:cs="Times New Roman"/>
          <w:color w:val="000000"/>
          <w:kern w:val="0"/>
          <w:sz w:val="32"/>
          <w:szCs w:val="32"/>
          <w:shd w:val="clear" w:color="auto" w:fill="FFFFFF"/>
          <w:lang w:val="en-US" w:eastAsia="zh-CN" w:bidi="ar-SA"/>
        </w:rPr>
        <w:t>2025年4月25日</w:t>
      </w:r>
    </w:p>
    <w:sectPr>
      <w:headerReference r:id="rId3" w:type="default"/>
      <w:footerReference r:id="rId4" w:type="default"/>
      <w:footerReference r:id="rId5" w:type="even"/>
      <w:pgSz w:w="11906" w:h="16838"/>
      <w:pgMar w:top="2098" w:right="1417" w:bottom="1984" w:left="1417"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131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4B3F5">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74B3F5">
                    <w:pPr>
                      <w:pStyle w:val="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0984BB47">
        <w:pPr>
          <w:pStyle w:val="7"/>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2DDDB313">
    <w:pPr>
      <w:pStyle w:val="7"/>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E31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44F3D74"/>
    <w:rsid w:val="05E03627"/>
    <w:rsid w:val="0DC31556"/>
    <w:rsid w:val="0F1F368A"/>
    <w:rsid w:val="0F4C6100"/>
    <w:rsid w:val="13C5311D"/>
    <w:rsid w:val="1A3D6143"/>
    <w:rsid w:val="1C013801"/>
    <w:rsid w:val="1C811A89"/>
    <w:rsid w:val="226502B5"/>
    <w:rsid w:val="2BA96E6D"/>
    <w:rsid w:val="2D527252"/>
    <w:rsid w:val="2EAE55F2"/>
    <w:rsid w:val="2EDF4302"/>
    <w:rsid w:val="47550EBA"/>
    <w:rsid w:val="529C7CEA"/>
    <w:rsid w:val="56F968D3"/>
    <w:rsid w:val="5C757D4C"/>
    <w:rsid w:val="5F084DB3"/>
    <w:rsid w:val="64307F83"/>
    <w:rsid w:val="6636451A"/>
    <w:rsid w:val="68773ED8"/>
    <w:rsid w:val="6ED3703B"/>
    <w:rsid w:val="6EF65E9C"/>
    <w:rsid w:val="71397E03"/>
    <w:rsid w:val="77FFA8F9"/>
    <w:rsid w:val="7839522C"/>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5">
    <w:name w:val="Document Map"/>
    <w:basedOn w:val="1"/>
    <w:link w:val="16"/>
    <w:qFormat/>
    <w:uiPriority w:val="0"/>
    <w:rPr>
      <w:rFonts w:ascii="宋体" w:eastAsia="宋体"/>
      <w:sz w:val="18"/>
      <w:szCs w:val="18"/>
    </w:rPr>
  </w:style>
  <w:style w:type="paragraph" w:styleId="6">
    <w:name w:val="Balloon Text"/>
    <w:basedOn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rFonts w:eastAsia="宋体"/>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四号正文"/>
    <w:basedOn w:val="1"/>
    <w:link w:val="15"/>
    <w:qFormat/>
    <w:uiPriority w:val="0"/>
    <w:pPr>
      <w:spacing w:line="360" w:lineRule="auto"/>
    </w:pPr>
    <w:rPr>
      <w:rFonts w:ascii="??" w:hAnsi="??" w:eastAsia="宋体" w:cs="宋体"/>
      <w:color w:val="000000"/>
      <w:kern w:val="0"/>
      <w:sz w:val="28"/>
      <w:szCs w:val="21"/>
    </w:rPr>
  </w:style>
  <w:style w:type="character" w:customStyle="1" w:styleId="15">
    <w:name w:val="四号正文 Char"/>
    <w:basedOn w:val="11"/>
    <w:link w:val="14"/>
    <w:qFormat/>
    <w:uiPriority w:val="0"/>
    <w:rPr>
      <w:rFonts w:ascii="??" w:hAnsi="??" w:eastAsia="宋体" w:cs="宋体"/>
      <w:color w:val="000000"/>
      <w:sz w:val="28"/>
      <w:szCs w:val="21"/>
      <w:lang w:val="en-US" w:eastAsia="zh-CN" w:bidi="ar-SA"/>
    </w:rPr>
  </w:style>
  <w:style w:type="character" w:customStyle="1" w:styleId="16">
    <w:name w:val="文档结构图 字符"/>
    <w:basedOn w:val="11"/>
    <w:link w:val="5"/>
    <w:qFormat/>
    <w:uiPriority w:val="0"/>
    <w:rPr>
      <w:rFonts w:ascii="宋体"/>
      <w:kern w:val="2"/>
      <w:sz w:val="18"/>
      <w:szCs w:val="18"/>
    </w:rPr>
  </w:style>
  <w:style w:type="paragraph" w:customStyle="1" w:styleId="17">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页脚 字符"/>
    <w:basedOn w:val="11"/>
    <w:link w:val="7"/>
    <w:qFormat/>
    <w:uiPriority w:val="99"/>
    <w:rPr>
      <w:kern w:val="2"/>
      <w:sz w:val="18"/>
      <w:szCs w:val="18"/>
    </w:rPr>
  </w:style>
  <w:style w:type="character" w:customStyle="1" w:styleId="19">
    <w:name w:val="font3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7</Pages>
  <Words>2725</Words>
  <Characters>2901</Characters>
  <Lines>2</Lines>
  <Paragraphs>1</Paragraphs>
  <TotalTime>225</TotalTime>
  <ScaleCrop>false</ScaleCrop>
  <LinksUpToDate>false</LinksUpToDate>
  <CharactersWithSpaces>2905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YZH</cp:lastModifiedBy>
  <cp:lastPrinted>2023-04-07T02:36:00Z</cp:lastPrinted>
  <dcterms:modified xsi:type="dcterms:W3CDTF">2025-05-14T06:49:36Z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83CB796F42FB46F881865F91D6A07C99</vt:lpwstr>
  </property>
  <property fmtid="{D5CDD505-2E9C-101B-9397-08002B2CF9AE}" pid="4" name="KSOTemplateDocerSaveRecord">
    <vt:lpwstr>eyJoZGlkIjoiZjA0ZTdiYjdkMTlkYjJkOGI4MWEyMWFiODkxNTUyYzMiLCJ1c2VySWQiOiI0Njk2NTI1In0=</vt:lpwstr>
  </property>
</Properties>
</file>