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5E4ED9">
      <w:pPr>
        <w:spacing w:line="560" w:lineRule="exact"/>
        <w:rPr>
          <w:rFonts w:hint="default" w:ascii="仿宋_GB2312" w:hAnsi="仿宋_GB2312" w:eastAsia="仿宋_GB2312" w:cs="仿宋_GB2312"/>
          <w:color w:val="auto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color w:val="auto"/>
        </w:rPr>
        <w:t>附件</w:t>
      </w:r>
      <w:r>
        <w:rPr>
          <w:rFonts w:hint="eastAsia" w:ascii="仿宋_GB2312" w:hAnsi="仿宋_GB2312" w:cs="仿宋_GB2312"/>
          <w:color w:val="auto"/>
          <w:lang w:val="en-US" w:eastAsia="zh-CN"/>
        </w:rPr>
        <w:t>10</w:t>
      </w:r>
    </w:p>
    <w:p w14:paraId="3AA36FBE">
      <w:pPr>
        <w:tabs>
          <w:tab w:val="left" w:pos="1440"/>
        </w:tabs>
        <w:spacing w:line="560" w:lineRule="exact"/>
        <w:rPr>
          <w:rFonts w:ascii="宋体" w:hAnsi="宋体" w:eastAsia="宋体"/>
          <w:color w:val="auto"/>
          <w:sz w:val="30"/>
          <w:szCs w:val="30"/>
        </w:rPr>
      </w:pPr>
    </w:p>
    <w:p w14:paraId="40C8A689">
      <w:pPr>
        <w:pStyle w:val="6"/>
        <w:spacing w:line="560" w:lineRule="exact"/>
        <w:jc w:val="center"/>
        <w:rPr>
          <w:rFonts w:hint="eastAsia" w:ascii="方正小标宋简体" w:hAnsi="宋体" w:eastAsia="方正小标宋简体"/>
          <w:color w:val="auto"/>
          <w:sz w:val="44"/>
          <w:szCs w:val="44"/>
          <w:lang w:eastAsia="zh-CN"/>
        </w:rPr>
      </w:pPr>
      <w:r>
        <w:rPr>
          <w:rFonts w:hint="eastAsia" w:ascii="方正小标宋简体" w:hAnsi="宋体" w:eastAsia="方正小标宋简体"/>
          <w:color w:val="auto"/>
          <w:sz w:val="44"/>
          <w:szCs w:val="44"/>
          <w:lang w:val="en-US"/>
        </w:rPr>
        <w:t>202</w:t>
      </w:r>
      <w:r>
        <w:rPr>
          <w:rFonts w:hint="eastAsia" w:ascii="方正小标宋简体" w:hAnsi="宋体" w:eastAsia="方正小标宋简体"/>
          <w:color w:val="auto"/>
          <w:sz w:val="44"/>
          <w:szCs w:val="44"/>
          <w:lang w:val="en-US" w:eastAsia="zh-CN"/>
        </w:rPr>
        <w:t>4</w:t>
      </w:r>
      <w:r>
        <w:rPr>
          <w:rFonts w:hint="eastAsia" w:ascii="方正小标宋简体" w:hAnsi="宋体" w:eastAsia="方正小标宋简体"/>
          <w:color w:val="auto"/>
          <w:sz w:val="44"/>
          <w:szCs w:val="44"/>
          <w:lang w:val="en-US"/>
        </w:rPr>
        <w:t>年度</w:t>
      </w:r>
      <w:r>
        <w:rPr>
          <w:rFonts w:hint="eastAsia" w:ascii="方正小标宋简体" w:hAnsi="宋体" w:eastAsia="方正小标宋简体"/>
          <w:color w:val="auto"/>
          <w:sz w:val="44"/>
          <w:szCs w:val="44"/>
        </w:rPr>
        <w:t>项目（政策）支出绩效</w:t>
      </w:r>
      <w:r>
        <w:rPr>
          <w:rFonts w:hint="eastAsia" w:ascii="方正小标宋简体" w:hAnsi="宋体" w:eastAsia="方正小标宋简体"/>
          <w:color w:val="auto"/>
          <w:sz w:val="44"/>
          <w:szCs w:val="44"/>
          <w:lang w:eastAsia="zh-CN"/>
        </w:rPr>
        <w:t>评价</w:t>
      </w:r>
    </w:p>
    <w:p w14:paraId="74B6FE41">
      <w:pPr>
        <w:pStyle w:val="6"/>
        <w:spacing w:line="560" w:lineRule="exact"/>
        <w:jc w:val="center"/>
        <w:rPr>
          <w:rFonts w:hint="eastAsia" w:ascii="方正小标宋简体" w:hAnsi="宋体" w:eastAsia="方正小标宋简体"/>
          <w:color w:val="auto"/>
          <w:sz w:val="44"/>
          <w:szCs w:val="44"/>
          <w:lang w:eastAsia="zh-CN"/>
        </w:rPr>
      </w:pPr>
      <w:r>
        <w:rPr>
          <w:rFonts w:hint="eastAsia" w:ascii="方正小标宋简体" w:hAnsi="宋体" w:eastAsia="方正小标宋简体"/>
          <w:color w:val="auto"/>
          <w:sz w:val="44"/>
          <w:szCs w:val="44"/>
        </w:rPr>
        <w:t>自评报告</w:t>
      </w:r>
    </w:p>
    <w:p w14:paraId="44277371">
      <w:pPr>
        <w:pStyle w:val="6"/>
        <w:spacing w:line="560" w:lineRule="exact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仿宋_GB2312" w:hAnsi="宋体" w:eastAsia="仿宋_GB2312"/>
          <w:color w:val="auto"/>
          <w:kern w:val="2"/>
          <w:sz w:val="32"/>
          <w:szCs w:val="32"/>
        </w:rPr>
        <w:t>（城管执法外勤补助）</w:t>
      </w:r>
    </w:p>
    <w:p w14:paraId="3B70BF72">
      <w:pPr>
        <w:pStyle w:val="6"/>
        <w:spacing w:line="560" w:lineRule="exact"/>
        <w:ind w:firstLine="640"/>
        <w:jc w:val="center"/>
        <w:rPr>
          <w:rFonts w:ascii="宋体" w:hAnsi="宋体"/>
          <w:color w:val="auto"/>
          <w:kern w:val="2"/>
          <w:sz w:val="32"/>
          <w:szCs w:val="32"/>
        </w:rPr>
      </w:pPr>
    </w:p>
    <w:p w14:paraId="33DE16CD">
      <w:pPr>
        <w:adjustRightInd w:val="0"/>
        <w:snapToGrid w:val="0"/>
        <w:spacing w:line="560" w:lineRule="exact"/>
        <w:ind w:firstLine="720"/>
        <w:rPr>
          <w:rFonts w:ascii="黑体" w:hAnsi="宋体" w:eastAsia="黑体"/>
          <w:color w:val="auto"/>
          <w:lang w:val="zh-CN"/>
        </w:rPr>
      </w:pPr>
      <w:r>
        <w:rPr>
          <w:rFonts w:hint="eastAsia" w:ascii="黑体" w:hAnsi="宋体" w:eastAsia="黑体"/>
          <w:color w:val="auto"/>
        </w:rPr>
        <w:t>一、</w:t>
      </w:r>
      <w:r>
        <w:rPr>
          <w:rFonts w:hint="eastAsia" w:ascii="黑体" w:hAnsi="宋体" w:eastAsia="黑体"/>
          <w:color w:val="auto"/>
          <w:lang w:val="zh-CN"/>
        </w:rPr>
        <w:t>项目概况</w:t>
      </w:r>
    </w:p>
    <w:p w14:paraId="35BA2015"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（一）项目资金申报及批复情况。</w:t>
      </w:r>
    </w:p>
    <w:p w14:paraId="1DADC849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1.攀枝花市东区人民政府</w:t>
      </w:r>
      <w:r>
        <w:rPr>
          <w:rFonts w:hint="eastAsia"/>
          <w:color w:val="auto"/>
          <w:lang w:val="zh-CN"/>
        </w:rPr>
        <w:t>东华</w:t>
      </w:r>
      <w:r>
        <w:rPr>
          <w:color w:val="auto"/>
          <w:lang w:val="zh-CN"/>
        </w:rPr>
        <w:t>街道办事处是该项目的具体实施主体。</w:t>
      </w:r>
    </w:p>
    <w:p w14:paraId="50995B62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2.项目立项、资金申报的依据是：根据《关于编制2</w:t>
      </w:r>
      <w:r>
        <w:rPr>
          <w:rFonts w:hint="eastAsia"/>
          <w:color w:val="auto"/>
          <w:lang w:val="zh-CN"/>
        </w:rPr>
        <w:t>02</w:t>
      </w:r>
      <w:r>
        <w:rPr>
          <w:rFonts w:hint="eastAsia"/>
          <w:color w:val="auto"/>
          <w:lang w:val="en-US" w:eastAsia="zh-CN"/>
        </w:rPr>
        <w:t>4</w:t>
      </w:r>
      <w:r>
        <w:rPr>
          <w:color w:val="auto"/>
          <w:lang w:val="zh-CN"/>
        </w:rPr>
        <w:t>年区本级部门预算的通知》</w:t>
      </w:r>
      <w:r>
        <w:rPr>
          <w:rFonts w:hint="eastAsia"/>
          <w:color w:val="auto"/>
          <w:lang w:val="zh-CN"/>
        </w:rPr>
        <w:t>，编制202</w:t>
      </w:r>
      <w:r>
        <w:rPr>
          <w:rFonts w:hint="eastAsia"/>
          <w:color w:val="auto"/>
          <w:lang w:val="en-US" w:eastAsia="zh-CN"/>
        </w:rPr>
        <w:t>4</w:t>
      </w:r>
      <w:r>
        <w:rPr>
          <w:rFonts w:hint="eastAsia"/>
          <w:color w:val="auto"/>
          <w:lang w:val="zh-CN"/>
        </w:rPr>
        <w:t>年</w:t>
      </w:r>
      <w:r>
        <w:rPr>
          <w:rFonts w:hint="eastAsia"/>
          <w:color w:val="auto"/>
        </w:rPr>
        <w:t>城管执法外勤补助</w:t>
      </w:r>
      <w:r>
        <w:rPr>
          <w:rFonts w:hint="eastAsia"/>
          <w:color w:val="auto"/>
          <w:lang w:val="en-US" w:eastAsia="zh-CN"/>
        </w:rPr>
        <w:t>4.86</w:t>
      </w:r>
      <w:r>
        <w:rPr>
          <w:rFonts w:hint="eastAsia"/>
          <w:color w:val="auto"/>
          <w:lang w:val="zh-CN"/>
        </w:rPr>
        <w:t>万元整。</w:t>
      </w:r>
    </w:p>
    <w:p w14:paraId="5F0B6EEF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3</w:t>
      </w:r>
      <w:r>
        <w:rPr>
          <w:rFonts w:hint="eastAsia"/>
          <w:color w:val="auto"/>
          <w:lang w:val="zh-CN"/>
        </w:rPr>
        <w:t>.</w:t>
      </w:r>
      <w:r>
        <w:rPr>
          <w:color w:val="auto"/>
          <w:lang w:val="zh-CN"/>
        </w:rPr>
        <w:t>资金管理办法制定情况，资金支持具体项目的条件、范围与支持方式概况</w:t>
      </w:r>
      <w:r>
        <w:rPr>
          <w:rFonts w:hint="eastAsia"/>
          <w:color w:val="auto"/>
          <w:lang w:val="zh-CN"/>
        </w:rPr>
        <w:t>：此资金只能用于对海德堡登山步道进行清扫，对绿化进行常日管护。</w:t>
      </w:r>
    </w:p>
    <w:p w14:paraId="002CC17C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4</w:t>
      </w:r>
      <w:r>
        <w:rPr>
          <w:rFonts w:hint="eastAsia"/>
          <w:color w:val="auto"/>
          <w:lang w:val="zh-CN"/>
        </w:rPr>
        <w:t>.</w:t>
      </w:r>
      <w:r>
        <w:rPr>
          <w:color w:val="auto"/>
          <w:lang w:val="zh-CN"/>
        </w:rPr>
        <w:t>资金分配的原则及考虑因素</w:t>
      </w:r>
      <w:r>
        <w:rPr>
          <w:rFonts w:hint="eastAsia"/>
          <w:color w:val="auto"/>
          <w:lang w:val="zh-CN"/>
        </w:rPr>
        <w:t>：资金分配用于海德堡登山步道进行清扫，对绿化进行常日管护。</w:t>
      </w:r>
    </w:p>
    <w:p w14:paraId="4EF01928"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（二）项目绩效目标。</w:t>
      </w:r>
    </w:p>
    <w:p w14:paraId="3B1340C3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1</w:t>
      </w:r>
      <w:r>
        <w:rPr>
          <w:rFonts w:hint="eastAsia"/>
          <w:color w:val="auto"/>
          <w:lang w:val="zh-CN"/>
        </w:rPr>
        <w:t>.</w:t>
      </w:r>
      <w:r>
        <w:rPr>
          <w:color w:val="auto"/>
          <w:lang w:val="zh-CN"/>
        </w:rPr>
        <w:t>项目主要内容</w:t>
      </w:r>
      <w:r>
        <w:rPr>
          <w:rFonts w:hint="eastAsia"/>
          <w:color w:val="auto"/>
          <w:lang w:val="zh-CN"/>
        </w:rPr>
        <w:t>：对主次干道占道经营进行清理，规范商家经营，清理乱堆乱放，清理小广告。</w:t>
      </w:r>
    </w:p>
    <w:p w14:paraId="20948A34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2</w:t>
      </w:r>
      <w:r>
        <w:rPr>
          <w:rFonts w:hint="eastAsia"/>
          <w:color w:val="auto"/>
          <w:lang w:val="zh-CN"/>
        </w:rPr>
        <w:t>.</w:t>
      </w:r>
      <w:r>
        <w:rPr>
          <w:color w:val="auto"/>
          <w:lang w:val="zh-CN"/>
        </w:rPr>
        <w:t>项目应实现的具体绩效目标</w:t>
      </w:r>
      <w:r>
        <w:rPr>
          <w:rFonts w:hint="eastAsia"/>
          <w:color w:val="auto"/>
          <w:lang w:val="zh-CN"/>
        </w:rPr>
        <w:t>：确保干净、整洁、畅通，，促进社会和谐发展，此项目已按计划认真落实了。</w:t>
      </w:r>
    </w:p>
    <w:p w14:paraId="6F1D99E1"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color w:val="auto"/>
          <w:lang w:val="zh-CN"/>
        </w:rPr>
      </w:pPr>
      <w:r>
        <w:rPr>
          <w:color w:val="auto"/>
          <w:lang w:val="zh-CN"/>
        </w:rPr>
        <w:t>3</w:t>
      </w:r>
      <w:r>
        <w:rPr>
          <w:rFonts w:hint="eastAsia"/>
          <w:color w:val="auto"/>
          <w:lang w:val="zh-CN"/>
        </w:rPr>
        <w:t>.项目</w:t>
      </w:r>
      <w:r>
        <w:rPr>
          <w:color w:val="auto"/>
          <w:lang w:val="zh-CN"/>
        </w:rPr>
        <w:t>申报内容是否与实际相符</w:t>
      </w:r>
      <w:r>
        <w:rPr>
          <w:rFonts w:hint="eastAsia"/>
          <w:color w:val="auto"/>
          <w:lang w:val="zh-CN"/>
        </w:rPr>
        <w:t>，</w:t>
      </w:r>
      <w:r>
        <w:rPr>
          <w:color w:val="auto"/>
          <w:lang w:val="zh-CN"/>
        </w:rPr>
        <w:t>申报目标是否合理可行</w:t>
      </w:r>
      <w:r>
        <w:rPr>
          <w:rFonts w:hint="eastAsia"/>
          <w:color w:val="auto"/>
          <w:lang w:val="zh-CN"/>
        </w:rPr>
        <w:t>：通过自评，申报内容与实际相符，申报目标合理可行。</w:t>
      </w:r>
    </w:p>
    <w:p w14:paraId="0BE898FD"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（三）项目资金申报相符性。</w:t>
      </w:r>
    </w:p>
    <w:p w14:paraId="142AE8FA">
      <w:pPr>
        <w:adjustRightInd w:val="0"/>
        <w:snapToGrid w:val="0"/>
        <w:spacing w:line="560" w:lineRule="exact"/>
        <w:ind w:firstLine="720"/>
        <w:rPr>
          <w:rFonts w:ascii="仿宋_GB2312" w:hAnsi="宋体"/>
          <w:color w:val="auto"/>
          <w:lang w:val="zh-CN"/>
        </w:rPr>
      </w:pPr>
      <w:r>
        <w:rPr>
          <w:rFonts w:hint="eastAsia"/>
          <w:color w:val="auto"/>
          <w:lang w:val="zh-CN"/>
        </w:rPr>
        <w:t>通过查阅合同等相关纸质资料等方式</w:t>
      </w:r>
      <w:r>
        <w:rPr>
          <w:color w:val="auto"/>
          <w:lang w:val="zh-CN"/>
        </w:rPr>
        <w:t>进行评价</w:t>
      </w:r>
      <w:r>
        <w:rPr>
          <w:rFonts w:hint="eastAsia"/>
          <w:color w:val="auto"/>
          <w:lang w:val="zh-CN"/>
        </w:rPr>
        <w:t>；二是从与街道职工交流交谈进行评价</w:t>
      </w:r>
      <w:r>
        <w:rPr>
          <w:color w:val="auto"/>
          <w:lang w:val="zh-CN"/>
        </w:rPr>
        <w:t>。</w:t>
      </w:r>
    </w:p>
    <w:p w14:paraId="39A5A42B">
      <w:pPr>
        <w:adjustRightInd w:val="0"/>
        <w:snapToGrid w:val="0"/>
        <w:spacing w:line="560" w:lineRule="exact"/>
        <w:ind w:firstLine="720"/>
        <w:rPr>
          <w:rFonts w:ascii="黑体" w:hAnsi="宋体" w:eastAsia="黑体"/>
          <w:color w:val="auto"/>
        </w:rPr>
      </w:pPr>
      <w:r>
        <w:rPr>
          <w:rFonts w:hint="eastAsia" w:ascii="黑体" w:hAnsi="宋体" w:eastAsia="黑体"/>
          <w:color w:val="auto"/>
        </w:rPr>
        <w:t>二、项目实施及管理情况</w:t>
      </w:r>
    </w:p>
    <w:p w14:paraId="328B974A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color w:val="auto"/>
          <w:lang w:val="zh-CN"/>
        </w:rPr>
      </w:pPr>
      <w:r>
        <w:rPr>
          <w:rFonts w:hint="eastAsia" w:ascii="仿宋_GB2312" w:hAnsi="宋体"/>
          <w:color w:val="auto"/>
          <w:lang w:val="zh-CN"/>
        </w:rPr>
        <w:tab/>
      </w:r>
      <w:r>
        <w:rPr>
          <w:rFonts w:hint="eastAsia" w:ascii="楷体_GB2312" w:hAnsi="宋体" w:eastAsia="楷体_GB2312"/>
          <w:b/>
          <w:color w:val="auto"/>
          <w:lang w:val="zh-CN"/>
        </w:rPr>
        <w:t>（一）资金计划、到位及使用情况。</w:t>
      </w:r>
    </w:p>
    <w:p w14:paraId="5049C0B8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1</w:t>
      </w:r>
      <w:r>
        <w:rPr>
          <w:rFonts w:hint="eastAsia"/>
          <w:color w:val="auto"/>
          <w:lang w:val="zh-CN"/>
        </w:rPr>
        <w:t>.</w:t>
      </w:r>
      <w:r>
        <w:rPr>
          <w:color w:val="auto"/>
          <w:lang w:val="zh-CN"/>
        </w:rPr>
        <w:t>资金计划</w:t>
      </w:r>
      <w:r>
        <w:rPr>
          <w:rFonts w:hint="eastAsia"/>
          <w:color w:val="auto"/>
          <w:lang w:val="zh-CN"/>
        </w:rPr>
        <w:t>。该项目属区级预算项目经费。</w:t>
      </w:r>
    </w:p>
    <w:p w14:paraId="320418B3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2</w:t>
      </w:r>
      <w:r>
        <w:rPr>
          <w:rFonts w:hint="eastAsia"/>
          <w:color w:val="auto"/>
          <w:lang w:val="zh-CN"/>
        </w:rPr>
        <w:t>.</w:t>
      </w:r>
      <w:r>
        <w:rPr>
          <w:color w:val="auto"/>
          <w:lang w:val="zh-CN"/>
        </w:rPr>
        <w:t>资金到位</w:t>
      </w:r>
      <w:r>
        <w:rPr>
          <w:rFonts w:hint="eastAsia"/>
          <w:color w:val="auto"/>
          <w:lang w:val="zh-CN"/>
        </w:rPr>
        <w:t>。已全部到位。</w:t>
      </w:r>
    </w:p>
    <w:p w14:paraId="5C3973FA">
      <w:pPr>
        <w:adjustRightInd w:val="0"/>
        <w:snapToGrid w:val="0"/>
        <w:spacing w:line="560" w:lineRule="exact"/>
        <w:ind w:firstLine="720"/>
        <w:rPr>
          <w:rFonts w:ascii="仿宋_GB2312" w:hAnsi="宋体"/>
          <w:color w:val="auto"/>
          <w:lang w:val="zh-CN"/>
        </w:rPr>
      </w:pPr>
      <w:r>
        <w:rPr>
          <w:color w:val="auto"/>
          <w:lang w:val="zh-CN"/>
        </w:rPr>
        <w:t>3</w:t>
      </w:r>
      <w:r>
        <w:rPr>
          <w:rFonts w:hint="eastAsia"/>
          <w:color w:val="auto"/>
          <w:lang w:val="zh-CN"/>
        </w:rPr>
        <w:t>.</w:t>
      </w:r>
      <w:r>
        <w:rPr>
          <w:color w:val="auto"/>
          <w:lang w:val="zh-CN"/>
        </w:rPr>
        <w:t>资金使用</w:t>
      </w:r>
      <w:r>
        <w:rPr>
          <w:rFonts w:hint="eastAsia"/>
          <w:color w:val="auto"/>
          <w:lang w:val="zh-CN"/>
        </w:rPr>
        <w:t>。单位根据日常工作实际开展情况列支费用，该项目资金财政已在202</w:t>
      </w:r>
      <w:r>
        <w:rPr>
          <w:rFonts w:hint="eastAsia"/>
          <w:color w:val="auto"/>
          <w:lang w:val="en-US" w:eastAsia="zh-CN"/>
        </w:rPr>
        <w:t>4</w:t>
      </w:r>
      <w:r>
        <w:rPr>
          <w:rFonts w:hint="eastAsia"/>
          <w:color w:val="auto"/>
          <w:lang w:val="zh-CN"/>
        </w:rPr>
        <w:t>年内按规定要求使用完毕。资金的支付范围、支付标准、支付依据等是合规合法、与预算相符。</w:t>
      </w:r>
    </w:p>
    <w:p w14:paraId="1D25CA9D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（二）项目财务管理情况。</w:t>
      </w:r>
    </w:p>
    <w:p w14:paraId="437D7B9D">
      <w:pPr>
        <w:adjustRightInd w:val="0"/>
        <w:snapToGrid w:val="0"/>
        <w:spacing w:line="560" w:lineRule="exact"/>
        <w:ind w:firstLine="720"/>
        <w:rPr>
          <w:rFonts w:ascii="仿宋_GB2312" w:hAnsi="宋体"/>
          <w:color w:val="auto"/>
          <w:lang w:val="zh-CN"/>
        </w:rPr>
      </w:pPr>
      <w:r>
        <w:rPr>
          <w:rFonts w:hint="eastAsia"/>
          <w:color w:val="auto"/>
          <w:lang w:val="zh-CN"/>
        </w:rPr>
        <w:t>街道有健全的财务制度，对项目预算、资金拨付严格按照制度进行管理，确保保证专款专用。街道财务人员严格按照财务制度进行资金的审核、支付和核算，在具体支付时，凭证手续完善，报账程序合规，不存在虚假会计凭证的情况，会计严格执行财务管理制度，财务处理及时，核算规范。</w:t>
      </w:r>
    </w:p>
    <w:p w14:paraId="22D24DEE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（三）项目组织实施情况。</w:t>
      </w:r>
    </w:p>
    <w:p w14:paraId="1DEA8AE7">
      <w:pPr>
        <w:pStyle w:val="9"/>
        <w:numPr>
          <w:ilvl w:val="0"/>
          <w:numId w:val="0"/>
        </w:numPr>
        <w:autoSpaceDE w:val="0"/>
        <w:autoSpaceDN w:val="0"/>
        <w:adjustRightInd w:val="0"/>
        <w:spacing w:line="580" w:lineRule="exact"/>
        <w:ind w:firstLine="640"/>
        <w:jc w:val="left"/>
        <w:rPr>
          <w:rFonts w:hint="eastAsia"/>
          <w:color w:val="auto"/>
          <w:lang w:val="zh-CN"/>
        </w:rPr>
      </w:pPr>
      <w:r>
        <w:rPr>
          <w:color w:val="auto"/>
          <w:lang w:val="zh-CN"/>
        </w:rPr>
        <w:t>结合项目组织实施管理办法，重点围绕以下</w:t>
      </w:r>
      <w:r>
        <w:rPr>
          <w:rFonts w:hint="eastAsia"/>
          <w:color w:val="auto"/>
          <w:lang w:val="zh-CN"/>
        </w:rPr>
        <w:t>几个方面</w:t>
      </w:r>
      <w:r>
        <w:rPr>
          <w:color w:val="auto"/>
          <w:lang w:val="zh-CN"/>
        </w:rPr>
        <w:t>进行分析评价，并对自评中发现的问题分析说明</w:t>
      </w:r>
      <w:r>
        <w:rPr>
          <w:rFonts w:hint="eastAsia"/>
          <w:color w:val="auto"/>
          <w:lang w:val="zh-CN"/>
        </w:rPr>
        <w:t>：</w:t>
      </w:r>
    </w:p>
    <w:p w14:paraId="6D40D4E6">
      <w:pPr>
        <w:pStyle w:val="9"/>
        <w:numPr>
          <w:ilvl w:val="0"/>
          <w:numId w:val="0"/>
        </w:numPr>
        <w:autoSpaceDE w:val="0"/>
        <w:autoSpaceDN w:val="0"/>
        <w:adjustRightInd w:val="0"/>
        <w:spacing w:line="580" w:lineRule="exact"/>
        <w:ind w:firstLine="640"/>
        <w:jc w:val="left"/>
        <w:rPr>
          <w:rFonts w:eastAsia="楷体_GB2312"/>
          <w:b/>
          <w:color w:val="auto"/>
        </w:rPr>
      </w:pPr>
      <w:r>
        <w:rPr>
          <w:rFonts w:hint="eastAsia" w:eastAsia="楷体_GB2312"/>
          <w:b/>
          <w:color w:val="auto"/>
          <w:lang w:val="en-US" w:eastAsia="zh-CN"/>
        </w:rPr>
        <w:t>1.</w:t>
      </w:r>
      <w:r>
        <w:rPr>
          <w:rFonts w:eastAsia="楷体_GB2312"/>
          <w:b/>
          <w:color w:val="auto"/>
          <w:lang w:val="zh-CN"/>
        </w:rPr>
        <w:t>项目组织架构及实施流程。</w:t>
      </w:r>
      <w:r>
        <w:rPr>
          <w:rFonts w:hint="eastAsia"/>
          <w:color w:val="auto"/>
          <w:lang w:val="zh-CN"/>
        </w:rPr>
        <w:t>经东区财政局根据预算项目下达批复并拨付项目经费后，由预算单位进行项目实施计划。经费使用时，按照财务费用报销流程，由分管领导审批该笔业务的真实性，并最后呈报街道主要负责人审核并批复同意支付。</w:t>
      </w:r>
    </w:p>
    <w:p w14:paraId="6A6CE70C">
      <w:pPr>
        <w:autoSpaceDE w:val="0"/>
        <w:autoSpaceDN w:val="0"/>
        <w:adjustRightInd w:val="0"/>
        <w:spacing w:line="580" w:lineRule="exact"/>
        <w:ind w:firstLine="643" w:firstLineChars="200"/>
        <w:jc w:val="left"/>
        <w:rPr>
          <w:color w:val="auto"/>
          <w:lang w:val="zh-CN"/>
        </w:rPr>
      </w:pPr>
      <w:r>
        <w:rPr>
          <w:rFonts w:hint="eastAsia" w:eastAsia="楷体_GB2312"/>
          <w:b/>
          <w:color w:val="auto"/>
          <w:lang w:val="en-US" w:eastAsia="zh-CN"/>
        </w:rPr>
        <w:t>2.</w:t>
      </w:r>
      <w:r>
        <w:rPr>
          <w:rFonts w:eastAsia="楷体_GB2312"/>
          <w:b/>
          <w:color w:val="auto"/>
          <w:lang w:val="zh-CN"/>
        </w:rPr>
        <w:t>项目管理情况。</w:t>
      </w:r>
      <w:r>
        <w:rPr>
          <w:rFonts w:hint="eastAsia"/>
          <w:color w:val="auto"/>
          <w:lang w:val="zh-CN"/>
        </w:rPr>
        <w:t>项目由区财政纳入年度预算，</w:t>
      </w:r>
      <w:r>
        <w:rPr>
          <w:rFonts w:hint="eastAsia"/>
          <w:color w:val="auto"/>
          <w:lang w:val="en-US" w:eastAsia="zh-CN"/>
        </w:rPr>
        <w:t>东华</w:t>
      </w:r>
      <w:r>
        <w:rPr>
          <w:rFonts w:hint="eastAsia"/>
          <w:color w:val="auto"/>
          <w:lang w:val="zh-CN"/>
        </w:rPr>
        <w:t>街道严格安照项目要求和财经纪律严格落实。</w:t>
      </w:r>
    </w:p>
    <w:p w14:paraId="4B2C1540">
      <w:pPr>
        <w:autoSpaceDE w:val="0"/>
        <w:autoSpaceDN w:val="0"/>
        <w:adjustRightInd w:val="0"/>
        <w:spacing w:line="580" w:lineRule="exact"/>
        <w:ind w:firstLine="643" w:firstLineChars="200"/>
        <w:jc w:val="left"/>
        <w:rPr>
          <w:color w:val="auto"/>
          <w:lang w:val="zh-CN"/>
        </w:rPr>
      </w:pPr>
      <w:r>
        <w:rPr>
          <w:rFonts w:hint="eastAsia" w:eastAsia="楷体_GB2312"/>
          <w:b/>
          <w:color w:val="auto"/>
          <w:lang w:val="en-US" w:eastAsia="zh-CN"/>
        </w:rPr>
        <w:t>3.</w:t>
      </w:r>
      <w:r>
        <w:rPr>
          <w:rFonts w:eastAsia="楷体_GB2312"/>
          <w:b/>
          <w:color w:val="auto"/>
          <w:lang w:val="zh-CN"/>
        </w:rPr>
        <w:t>项目监管情况。</w:t>
      </w:r>
      <w:r>
        <w:rPr>
          <w:rFonts w:hint="eastAsia"/>
          <w:color w:val="auto"/>
          <w:lang w:val="zh-CN"/>
        </w:rPr>
        <w:t>项目完成情况每年都要向上级财政部门填写相关的绩效分析评价，并上报相关对口管理部门检查。</w:t>
      </w:r>
    </w:p>
    <w:p w14:paraId="64320ADA">
      <w:pPr>
        <w:adjustRightInd w:val="0"/>
        <w:snapToGrid w:val="0"/>
        <w:spacing w:line="560" w:lineRule="exact"/>
        <w:ind w:firstLine="720"/>
        <w:rPr>
          <w:rFonts w:ascii="仿宋_GB2312" w:hAnsi="宋体"/>
          <w:color w:val="auto"/>
          <w:lang w:val="zh-CN"/>
        </w:rPr>
      </w:pPr>
      <w:r>
        <w:rPr>
          <w:rFonts w:hint="eastAsia" w:ascii="黑体" w:hAnsi="宋体" w:eastAsia="黑体"/>
          <w:color w:val="auto"/>
        </w:rPr>
        <w:t>三、项目绩效情况</w:t>
      </w:r>
      <w:r>
        <w:rPr>
          <w:rFonts w:hint="eastAsia" w:ascii="仿宋_GB2312" w:hAnsi="宋体"/>
          <w:color w:val="auto"/>
          <w:lang w:val="zh-CN"/>
        </w:rPr>
        <w:tab/>
      </w:r>
    </w:p>
    <w:p w14:paraId="67C48CA3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（一）项目完成情况。</w:t>
      </w:r>
    </w:p>
    <w:p w14:paraId="019C024D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rFonts w:hint="eastAsia"/>
          <w:color w:val="auto"/>
          <w:lang w:val="zh-CN"/>
        </w:rPr>
        <w:t>1.数量指标：对主次干道占道经营进行清理，规范商家经营，清理乱堆乱放，清理小广告。</w:t>
      </w:r>
    </w:p>
    <w:p w14:paraId="1C730955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rFonts w:hint="eastAsia"/>
          <w:color w:val="auto"/>
          <w:lang w:val="zh-CN"/>
        </w:rPr>
        <w:t>2.质量指标：加强日常监督检查，确保工作有序开展。</w:t>
      </w:r>
    </w:p>
    <w:p w14:paraId="2B15A436">
      <w:pPr>
        <w:spacing w:line="580" w:lineRule="exact"/>
        <w:ind w:firstLine="640" w:firstLineChars="200"/>
        <w:rPr>
          <w:color w:val="auto"/>
          <w:lang w:val="zh-CN"/>
        </w:rPr>
      </w:pPr>
      <w:r>
        <w:rPr>
          <w:rFonts w:hint="eastAsia"/>
          <w:color w:val="auto"/>
          <w:lang w:val="zh-CN"/>
        </w:rPr>
        <w:t>3.时效指标：项目实施时间为202</w:t>
      </w:r>
      <w:r>
        <w:rPr>
          <w:rFonts w:hint="eastAsia"/>
          <w:color w:val="auto"/>
          <w:lang w:val="en-US" w:eastAsia="zh-CN"/>
        </w:rPr>
        <w:t>4</w:t>
      </w:r>
      <w:r>
        <w:rPr>
          <w:rFonts w:hint="eastAsia"/>
          <w:color w:val="auto"/>
          <w:lang w:val="zh-CN"/>
        </w:rPr>
        <w:t>年1月至12月。</w:t>
      </w:r>
    </w:p>
    <w:p w14:paraId="3830A058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color w:val="auto"/>
          <w:lang w:val="zh-CN"/>
        </w:rPr>
      </w:pPr>
      <w:r>
        <w:rPr>
          <w:rFonts w:hint="eastAsia"/>
          <w:color w:val="auto"/>
          <w:lang w:val="zh-CN"/>
        </w:rPr>
        <w:t>4.成本指标：人员补助每人每月225员，全年预算指标为</w:t>
      </w:r>
      <w:r>
        <w:rPr>
          <w:rFonts w:hint="eastAsia"/>
          <w:color w:val="auto"/>
          <w:lang w:val="en-US" w:eastAsia="zh-CN"/>
        </w:rPr>
        <w:t>4.86</w:t>
      </w:r>
      <w:r>
        <w:rPr>
          <w:rFonts w:hint="eastAsia"/>
          <w:color w:val="auto"/>
          <w:lang w:val="zh-CN"/>
        </w:rPr>
        <w:t>万元，实际支出为</w:t>
      </w:r>
      <w:r>
        <w:rPr>
          <w:rFonts w:hint="eastAsia"/>
          <w:color w:val="auto"/>
          <w:lang w:val="en-US" w:eastAsia="zh-CN"/>
        </w:rPr>
        <w:t>4.66</w:t>
      </w:r>
      <w:r>
        <w:rPr>
          <w:rFonts w:hint="eastAsia"/>
          <w:color w:val="auto"/>
          <w:lang w:val="zh-CN"/>
        </w:rPr>
        <w:t>万元。</w:t>
      </w:r>
    </w:p>
    <w:p w14:paraId="425120B8">
      <w:pPr>
        <w:autoSpaceDE w:val="0"/>
        <w:autoSpaceDN w:val="0"/>
        <w:adjustRightInd w:val="0"/>
        <w:spacing w:line="580" w:lineRule="exact"/>
        <w:ind w:firstLine="643" w:firstLineChars="200"/>
        <w:jc w:val="left"/>
        <w:rPr>
          <w:rFonts w:hint="eastAsia"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（二）项目效益情况。</w:t>
      </w:r>
    </w:p>
    <w:p w14:paraId="19C1C365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rFonts w:hint="eastAsia"/>
          <w:color w:val="auto"/>
          <w:lang w:val="zh-CN"/>
        </w:rPr>
        <w:t>1.社会效益指标：加强日常检查监督，发现问题立即整改，提高城市管理、食品安全、环境保护质量。</w:t>
      </w:r>
    </w:p>
    <w:p w14:paraId="42F9E226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rFonts w:hint="eastAsia"/>
          <w:color w:val="auto"/>
          <w:lang w:val="zh-CN"/>
        </w:rPr>
        <w:t>2.可持续影响指标：促进城市经济社会健康发展。</w:t>
      </w:r>
    </w:p>
    <w:p w14:paraId="190046C5">
      <w:pPr>
        <w:adjustRightInd w:val="0"/>
        <w:snapToGrid w:val="0"/>
        <w:spacing w:line="560" w:lineRule="exact"/>
        <w:rPr>
          <w:rFonts w:hint="eastAsia"/>
          <w:color w:val="auto"/>
          <w:lang w:val="zh-CN"/>
        </w:rPr>
      </w:pPr>
      <w:r>
        <w:rPr>
          <w:rFonts w:hint="eastAsia"/>
          <w:color w:val="auto"/>
          <w:lang w:val="zh-CN"/>
        </w:rPr>
        <w:t>　　3.服务对象满意度指标：居民群众满意度95%以上。</w:t>
      </w:r>
    </w:p>
    <w:p w14:paraId="4D7D81D8">
      <w:pPr>
        <w:adjustRightInd w:val="0"/>
        <w:snapToGrid w:val="0"/>
        <w:spacing w:line="560" w:lineRule="exact"/>
        <w:ind w:firstLine="720"/>
        <w:rPr>
          <w:rFonts w:hint="eastAsia" w:ascii="黑体" w:hAnsi="宋体" w:eastAsia="黑体"/>
          <w:color w:val="auto"/>
          <w:lang w:eastAsia="zh-CN"/>
        </w:rPr>
      </w:pPr>
      <w:r>
        <w:rPr>
          <w:rFonts w:hint="eastAsia" w:ascii="黑体" w:hAnsi="宋体" w:eastAsia="黑体"/>
          <w:color w:val="auto"/>
        </w:rPr>
        <w:t>四、问题及</w:t>
      </w:r>
      <w:r>
        <w:rPr>
          <w:rFonts w:hint="eastAsia" w:ascii="黑体" w:hAnsi="宋体" w:eastAsia="黑体"/>
          <w:color w:val="auto"/>
          <w:lang w:eastAsia="zh-CN"/>
        </w:rPr>
        <w:t>整改措施</w:t>
      </w:r>
    </w:p>
    <w:p w14:paraId="643BEFB7"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（一）存在的问题。</w:t>
      </w:r>
    </w:p>
    <w:p w14:paraId="1C88C8D9">
      <w:pPr>
        <w:adjustRightInd w:val="0"/>
        <w:snapToGrid w:val="0"/>
        <w:spacing w:line="560" w:lineRule="exact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　　无。</w:t>
      </w:r>
    </w:p>
    <w:p w14:paraId="4CE7C233"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整改措施。</w:t>
      </w:r>
    </w:p>
    <w:p w14:paraId="0E52DCCD">
      <w:pPr>
        <w:numPr>
          <w:ilvl w:val="0"/>
          <w:numId w:val="0"/>
        </w:numPr>
        <w:adjustRightInd w:val="0"/>
        <w:snapToGrid w:val="0"/>
        <w:spacing w:line="560" w:lineRule="exact"/>
        <w:rPr>
          <w:color w:val="auto"/>
        </w:rPr>
      </w:pPr>
      <w:r>
        <w:rPr>
          <w:rFonts w:hint="eastAsia" w:ascii="仿宋_GB2312" w:hAnsi="宋体" w:eastAsia="楷体_GB2312"/>
          <w:color w:val="auto"/>
          <w:lang w:val="en-US" w:eastAsia="zh-CN"/>
        </w:rPr>
        <w:t>　　无</w:t>
      </w:r>
      <w:r>
        <w:rPr>
          <w:rFonts w:hint="eastAsia" w:ascii="仿宋_GB2312" w:hAnsi="宋体"/>
          <w:color w:val="auto"/>
          <w:lang w:val="zh-CN"/>
        </w:rPr>
        <w:t>。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362AE0C"/>
    <w:multiLevelType w:val="singleLevel"/>
    <w:tmpl w:val="1362AE0C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455A"/>
    <w:rsid w:val="000B348F"/>
    <w:rsid w:val="00105ACC"/>
    <w:rsid w:val="003414A3"/>
    <w:rsid w:val="004A4012"/>
    <w:rsid w:val="00515A0C"/>
    <w:rsid w:val="00866E99"/>
    <w:rsid w:val="0740448A"/>
    <w:rsid w:val="09017D1E"/>
    <w:rsid w:val="0EDB478C"/>
    <w:rsid w:val="0F1A4E68"/>
    <w:rsid w:val="16112FC4"/>
    <w:rsid w:val="1ED73C92"/>
    <w:rsid w:val="291C455A"/>
    <w:rsid w:val="34675FDF"/>
    <w:rsid w:val="36926D0C"/>
    <w:rsid w:val="4DAF2BCF"/>
    <w:rsid w:val="4DDB6F66"/>
    <w:rsid w:val="792F2AEE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7">
    <w:name w:val="页眉 Char"/>
    <w:basedOn w:val="5"/>
    <w:link w:val="3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8">
    <w:name w:val="页脚 Char"/>
    <w:basedOn w:val="5"/>
    <w:link w:val="2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3</Pages>
  <Words>1276</Words>
  <Characters>1318</Characters>
  <Lines>6</Lines>
  <Paragraphs>1</Paragraphs>
  <TotalTime>3</TotalTime>
  <ScaleCrop>false</ScaleCrop>
  <LinksUpToDate>false</LinksUpToDate>
  <CharactersWithSpaces>1326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tmj</cp:lastModifiedBy>
  <cp:lastPrinted>2025-03-25T05:01:00Z</cp:lastPrinted>
  <dcterms:modified xsi:type="dcterms:W3CDTF">2025-04-21T01:58:21Z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C3A85E54888E460092C7A0D4667C862E</vt:lpwstr>
  </property>
  <property fmtid="{D5CDD505-2E9C-101B-9397-08002B2CF9AE}" pid="4" name="KSOTemplateDocerSaveRecord">
    <vt:lpwstr>eyJoZGlkIjoiOGZlZjg5YTIwOGRjOTFkZDJlMDhiOTdlZWY1ZTRjODQifQ==</vt:lpwstr>
  </property>
</Properties>
</file>