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cs="仿宋_GB2312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绿地管护费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4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</w:t>
      </w:r>
      <w:r>
        <w:rPr>
          <w:rFonts w:hint="eastAsia"/>
        </w:rPr>
        <w:t>绿地管护费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color w:val="auto"/>
          <w:kern w:val="0"/>
          <w:lang w:val="en-US" w:eastAsia="zh-CN"/>
        </w:rPr>
        <w:t>40.36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FF0000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：辖区绿地养护到位，设施完好，达到</w:t>
      </w:r>
      <w:r>
        <w:rPr>
          <w:rFonts w:hint="eastAsia"/>
          <w:lang w:val="zh-CN"/>
        </w:rPr>
        <w:t>美化效果，满足辖区居民对环境的需求，为居民休闲纳凉提供良好场地。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</w:rPr>
      </w:pPr>
      <w:r>
        <w:rPr>
          <w:rFonts w:hint="eastAsia" w:eastAsia="楷体_GB2312"/>
          <w:b/>
          <w:lang w:val="en-US" w:eastAsia="zh-CN"/>
        </w:rPr>
        <w:t>1.</w:t>
      </w:r>
      <w:r>
        <w:rPr>
          <w:rFonts w:eastAsia="楷体_GB2312"/>
          <w:b/>
          <w:lang w:val="zh-CN"/>
        </w:rPr>
        <w:t>项目组织架构及实施流程。</w:t>
      </w:r>
      <w:r>
        <w:rPr>
          <w:rFonts w:hint="eastAsia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2.</w:t>
      </w:r>
      <w:r>
        <w:rPr>
          <w:rFonts w:eastAsia="楷体_GB2312"/>
          <w:b/>
          <w:lang w:val="zh-CN"/>
        </w:rPr>
        <w:t>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3.</w:t>
      </w:r>
      <w:r>
        <w:rPr>
          <w:rFonts w:eastAsia="楷体_GB2312"/>
          <w:b/>
          <w:lang w:val="zh-CN"/>
        </w:rPr>
        <w:t>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1.数量指标：对辖区42038平方米绿地进行管护。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FF0000"/>
          <w:lang w:val="zh-CN"/>
        </w:rPr>
      </w:pPr>
      <w:r>
        <w:rPr>
          <w:rFonts w:hint="eastAsia"/>
          <w:color w:val="auto"/>
          <w:lang w:val="zh-CN"/>
        </w:rPr>
        <w:t>4.成本指标：主要用于绿地管护劳务费、购置苗木费、</w:t>
      </w:r>
      <w:r>
        <w:rPr>
          <w:rFonts w:hint="eastAsia"/>
          <w:lang w:val="zh-CN"/>
        </w:rPr>
        <w:t>修复整治修枝劳务费等，全年预算指标为</w:t>
      </w:r>
      <w:r>
        <w:rPr>
          <w:rFonts w:hint="eastAsia"/>
          <w:lang w:val="en-US" w:eastAsia="zh-CN"/>
        </w:rPr>
        <w:t>40.36</w:t>
      </w:r>
      <w:r>
        <w:rPr>
          <w:rFonts w:hint="eastAsia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40.36</w:t>
      </w:r>
      <w:r>
        <w:rPr>
          <w:rFonts w:hint="eastAsia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bookmarkStart w:id="0" w:name="_GoBack"/>
      <w:r>
        <w:rPr>
          <w:rFonts w:hint="eastAsia"/>
          <w:color w:val="auto"/>
          <w:lang w:val="zh-CN"/>
        </w:rPr>
        <w:t>1.社会效益指标：为辖区群众提供了更好的居住环境。</w:t>
      </w:r>
    </w:p>
    <w:bookmarkEnd w:id="0"/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lang w:val="zh-CN"/>
        </w:rPr>
      </w:pPr>
      <w:r>
        <w:rPr>
          <w:rFonts w:hint="eastAsia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eastAsia="zh-CN"/>
        </w:rPr>
      </w:pPr>
      <w:r>
        <w:rPr>
          <w:rFonts w:hint="eastAsia" w:ascii="黑体" w:hAnsi="宋体" w:eastAsia="黑体"/>
        </w:rPr>
        <w:t>四、问题及</w:t>
      </w:r>
      <w:r>
        <w:rPr>
          <w:rFonts w:hint="eastAsia" w:ascii="黑体" w:hAnsi="宋体" w:eastAsia="黑体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</w:pPr>
      <w:r>
        <w:rPr>
          <w:rFonts w:hint="eastAsia" w:ascii="仿宋_GB2312" w:hAnsi="宋体" w:eastAsia="楷体_GB2312"/>
          <w:lang w:val="en-US" w:eastAsia="zh-CN"/>
        </w:rPr>
        <w:t>　　无</w:t>
      </w:r>
      <w:r>
        <w:rPr>
          <w:rFonts w:hint="eastAsia" w:ascii="仿宋_GB2312" w:hAnsi="宋体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0D6282E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0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2025-04-16T09:34:58Z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