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（城市管理日常经费）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城市管理日常经费</w:t>
      </w:r>
      <w:r>
        <w:rPr>
          <w:rFonts w:hint="eastAsia"/>
          <w:color w:val="auto"/>
          <w:lang w:val="en-US" w:eastAsia="zh-CN"/>
        </w:rPr>
        <w:t>14.96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：对主次干道占道经营进行清理，规范商家经营，清理乱堆乱放，清理小广告。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1.数量指标：对主次干道占道经营</w:t>
      </w:r>
      <w:bookmarkStart w:id="0" w:name="_GoBack"/>
      <w:bookmarkEnd w:id="0"/>
      <w:r>
        <w:rPr>
          <w:rFonts w:hint="eastAsia"/>
          <w:color w:val="auto"/>
          <w:lang w:val="zh-CN"/>
        </w:rPr>
        <w:t>进行清理，规范商家经营，清理乱堆乱放，清理小广告。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4.成本指标：维修费、油费；误餐费、加班费，全年预算指标为1</w:t>
      </w:r>
      <w:r>
        <w:rPr>
          <w:rFonts w:hint="eastAsia"/>
          <w:color w:val="auto"/>
          <w:lang w:val="en-US" w:eastAsia="zh-CN"/>
        </w:rPr>
        <w:t>4.96</w:t>
      </w:r>
      <w:r>
        <w:rPr>
          <w:rFonts w:hint="eastAsia"/>
          <w:color w:val="auto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11.71</w:t>
      </w:r>
      <w:r>
        <w:rPr>
          <w:rFonts w:hint="eastAsia"/>
          <w:color w:val="auto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1.社会效益指标：加强日常检查监督，发现问题立即整改，提高城市管理、食品安全、环境保护质量。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ED73C92"/>
    <w:rsid w:val="291C455A"/>
    <w:rsid w:val="34675FDF"/>
    <w:rsid w:val="36926D0C"/>
    <w:rsid w:val="4DAF2BCF"/>
    <w:rsid w:val="4DDB6F66"/>
    <w:rsid w:val="5CCA148B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1276</Words>
  <Characters>1318</Characters>
  <Lines>6</Lines>
  <Paragraphs>1</Paragraphs>
  <TotalTime>1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2025-04-21T02:01:36Z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