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9929">
      <w:pPr>
        <w:widowControl/>
        <w:spacing w:line="580" w:lineRule="exact"/>
        <w:contextualSpacing/>
        <w:jc w:val="center"/>
        <w:rPr>
          <w:rFonts w:eastAsia="宋体"/>
          <w:b/>
          <w:sz w:val="44"/>
          <w:szCs w:val="44"/>
          <w:shd w:val="clear" w:color="auto" w:fill="FFFFFF"/>
        </w:rPr>
      </w:pPr>
    </w:p>
    <w:p w14:paraId="332F1291">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rPr>
      </w:pPr>
      <w:r>
        <w:rPr>
          <w:rFonts w:hint="eastAsia" w:ascii="方正小标宋简体" w:hAnsi="方正小标宋简体" w:eastAsia="方正小标宋简体" w:cs="方正小标宋简体"/>
          <w:b/>
          <w:sz w:val="44"/>
          <w:szCs w:val="44"/>
          <w:shd w:val="clear" w:color="auto" w:fill="FFFFFF"/>
        </w:rPr>
        <w:t>202</w:t>
      </w:r>
      <w:r>
        <w:rPr>
          <w:rFonts w:hint="eastAsia" w:ascii="方正小标宋简体" w:hAnsi="方正小标宋简体" w:eastAsia="方正小标宋简体" w:cs="方正小标宋简体"/>
          <w:b/>
          <w:sz w:val="44"/>
          <w:szCs w:val="44"/>
          <w:shd w:val="clear" w:color="auto" w:fill="FFFFFF"/>
          <w:lang w:val="en-US" w:eastAsia="zh-CN"/>
        </w:rPr>
        <w:t>4</w:t>
      </w:r>
      <w:r>
        <w:rPr>
          <w:rFonts w:hint="eastAsia" w:ascii="方正小标宋简体" w:hAnsi="方正小标宋简体" w:eastAsia="方正小标宋简体" w:cs="方正小标宋简体"/>
          <w:b/>
          <w:sz w:val="44"/>
          <w:szCs w:val="44"/>
          <w:shd w:val="clear" w:color="auto" w:fill="FFFFFF"/>
        </w:rPr>
        <w:t>年度部门</w:t>
      </w:r>
      <w:r>
        <w:rPr>
          <w:rFonts w:hint="eastAsia" w:ascii="方正小标宋简体" w:hAnsi="方正小标宋简体" w:eastAsia="方正小标宋简体" w:cs="方正小标宋简体"/>
          <w:b/>
          <w:sz w:val="44"/>
          <w:szCs w:val="44"/>
          <w:shd w:val="clear" w:color="auto" w:fill="FFFFFF"/>
          <w:lang w:eastAsia="zh-CN"/>
        </w:rPr>
        <w:t>预算</w:t>
      </w:r>
      <w:r>
        <w:rPr>
          <w:rFonts w:hint="eastAsia" w:ascii="方正小标宋简体" w:hAnsi="方正小标宋简体" w:eastAsia="方正小标宋简体" w:cs="方正小标宋简体"/>
          <w:b/>
          <w:sz w:val="44"/>
          <w:szCs w:val="44"/>
          <w:shd w:val="clear" w:color="auto" w:fill="FFFFFF"/>
        </w:rPr>
        <w:t>整体支出绩效评价</w:t>
      </w:r>
    </w:p>
    <w:p w14:paraId="076FBC35">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lang w:eastAsia="zh-CN"/>
        </w:rPr>
      </w:pPr>
      <w:r>
        <w:rPr>
          <w:rFonts w:hint="eastAsia" w:ascii="方正小标宋简体" w:hAnsi="方正小标宋简体" w:eastAsia="方正小标宋简体" w:cs="方正小标宋简体"/>
          <w:b/>
          <w:sz w:val="44"/>
          <w:szCs w:val="44"/>
          <w:shd w:val="clear" w:color="auto" w:fill="FFFFFF"/>
          <w:lang w:eastAsia="zh-CN"/>
        </w:rPr>
        <w:t>自评</w:t>
      </w:r>
      <w:r>
        <w:rPr>
          <w:rFonts w:hint="eastAsia" w:ascii="方正小标宋简体" w:hAnsi="方正小标宋简体" w:eastAsia="方正小标宋简体" w:cs="方正小标宋简体"/>
          <w:b/>
          <w:sz w:val="44"/>
          <w:szCs w:val="44"/>
          <w:shd w:val="clear" w:color="auto" w:fill="FFFFFF"/>
        </w:rPr>
        <w:t>报告</w:t>
      </w:r>
    </w:p>
    <w:p w14:paraId="6D45B048">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14:paraId="43CA9686">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14:paraId="755CF30B">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14:paraId="3EA1FDBA">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仿宋_GB2312" w:hAnsi="仿宋_GB2312" w:eastAsia="仿宋_GB2312" w:cs="仿宋_GB2312"/>
          <w:bCs w:val="0"/>
          <w:sz w:val="32"/>
          <w:szCs w:val="32"/>
        </w:rPr>
        <w:t>攀枝花市东区</w:t>
      </w:r>
      <w:r>
        <w:rPr>
          <w:rFonts w:hint="eastAsia" w:ascii="仿宋_GB2312" w:hAnsi="仿宋_GB2312" w:cs="仿宋_GB2312"/>
          <w:bCs w:val="0"/>
          <w:sz w:val="32"/>
          <w:szCs w:val="32"/>
          <w:lang w:eastAsia="zh-CN"/>
        </w:rPr>
        <w:t>大渡口社区卫生</w:t>
      </w:r>
      <w:r>
        <w:rPr>
          <w:rFonts w:hint="eastAsia" w:ascii="仿宋_GB2312" w:hAnsi="仿宋_GB2312" w:eastAsia="仿宋_GB2312" w:cs="仿宋_GB2312"/>
          <w:bCs w:val="0"/>
          <w:sz w:val="32"/>
          <w:szCs w:val="32"/>
        </w:rPr>
        <w:t>服务中心</w:t>
      </w:r>
      <w:r>
        <w:rPr>
          <w:rFonts w:hint="eastAsia" w:ascii="仿宋_GB2312" w:hAnsi="仿宋_GB2312" w:cs="仿宋_GB2312"/>
          <w:bCs w:val="0"/>
          <w:sz w:val="32"/>
          <w:szCs w:val="32"/>
          <w:lang w:eastAsia="zh-CN"/>
        </w:rPr>
        <w:t>是</w:t>
      </w:r>
      <w:r>
        <w:rPr>
          <w:rFonts w:hint="eastAsia" w:ascii="仿宋_GB2312" w:hAnsi="仿宋_GB2312" w:eastAsia="仿宋_GB2312" w:cs="仿宋_GB2312"/>
          <w:bCs w:val="0"/>
          <w:sz w:val="32"/>
          <w:szCs w:val="32"/>
        </w:rPr>
        <w:t>攀枝花市东区</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局所属公益一类事业单位</w:t>
      </w:r>
      <w:r>
        <w:rPr>
          <w:rFonts w:hint="eastAsia" w:ascii="仿宋_GB2312" w:hAnsi="仿宋_GB2312" w:cs="仿宋_GB2312"/>
          <w:sz w:val="32"/>
          <w:szCs w:val="32"/>
          <w:lang w:eastAsia="zh-CN"/>
        </w:rPr>
        <w:t>，与东区妇幼为合署办公单位。</w:t>
      </w:r>
    </w:p>
    <w:p w14:paraId="2D71A6FC">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（二）机构职能。</w:t>
      </w:r>
    </w:p>
    <w:p w14:paraId="130746B3">
      <w:pPr>
        <w:snapToGrid w:val="0"/>
        <w:spacing w:line="520" w:lineRule="exact"/>
        <w:ind w:firstLine="640" w:firstLineChars="200"/>
        <w:rPr>
          <w:color w:val="000000"/>
          <w:kern w:val="0"/>
          <w:szCs w:val="32"/>
          <w:shd w:val="clear" w:color="auto" w:fill="FFFFFF"/>
          <w:lang w:val="zh-CN"/>
        </w:rPr>
      </w:pPr>
      <w:r>
        <w:rPr>
          <w:rFonts w:hint="eastAsia" w:ascii="仿宋_GB2312" w:hAnsi="仿宋_GB2312" w:eastAsia="仿宋_GB2312" w:cs="仿宋_GB2312"/>
          <w:bCs w:val="0"/>
          <w:sz w:val="32"/>
          <w:szCs w:val="32"/>
        </w:rPr>
        <w:t>攀枝花市东区</w:t>
      </w:r>
      <w:r>
        <w:rPr>
          <w:rFonts w:hint="eastAsia" w:ascii="仿宋_GB2312" w:hAnsi="仿宋_GB2312" w:cs="仿宋_GB2312"/>
          <w:bCs w:val="0"/>
          <w:sz w:val="32"/>
          <w:szCs w:val="32"/>
          <w:lang w:eastAsia="zh-CN"/>
        </w:rPr>
        <w:t>大渡口社区卫生</w:t>
      </w:r>
      <w:r>
        <w:rPr>
          <w:rFonts w:hint="eastAsia" w:ascii="仿宋_GB2312" w:hAnsi="仿宋_GB2312" w:eastAsia="仿宋_GB2312" w:cs="仿宋_GB2312"/>
          <w:bCs w:val="0"/>
          <w:sz w:val="32"/>
          <w:szCs w:val="32"/>
        </w:rPr>
        <w:t>服务中心</w:t>
      </w:r>
      <w:r>
        <w:rPr>
          <w:rFonts w:hint="eastAsia" w:ascii="仿宋_GB2312" w:hAnsi="仿宋_GB2312" w:eastAsia="仿宋_GB2312" w:cs="仿宋_GB2312"/>
          <w:sz w:val="32"/>
          <w:szCs w:val="32"/>
        </w:rPr>
        <w:t>主要职责是</w:t>
      </w:r>
      <w:r>
        <w:rPr>
          <w:rFonts w:hint="eastAsia" w:ascii="仿宋_GB2312" w:hAnsi="仿宋_GB2312" w:eastAsia="仿宋_GB2312" w:cs="仿宋_GB2312"/>
          <w:sz w:val="32"/>
          <w:szCs w:val="32"/>
          <w:lang w:eastAsia="zh-CN"/>
        </w:rPr>
        <w:t>为居民提供全面、连续、便捷的医疗卫生服务，促进居民健康水平的提高。开展国家基本公共卫生服务</w:t>
      </w:r>
      <w:r>
        <w:rPr>
          <w:rFonts w:hint="eastAsia" w:ascii="仿宋_GB2312" w:hAnsi="仿宋_GB2312" w:eastAsia="仿宋_GB2312" w:cs="仿宋_GB2312"/>
          <w:sz w:val="32"/>
          <w:szCs w:val="32"/>
          <w:lang w:val="en-US" w:eastAsia="zh-CN"/>
        </w:rPr>
        <w:t>12项，包含：</w:t>
      </w:r>
      <w:r>
        <w:rPr>
          <w:rFonts w:hint="eastAsia" w:ascii="仿宋_GB2312" w:hAnsi="仿宋_GB2312" w:eastAsia="仿宋_GB2312" w:cs="仿宋_GB2312"/>
          <w:bCs w:val="0"/>
          <w:sz w:val="32"/>
          <w:szCs w:val="32"/>
        </w:rPr>
        <w:t>居民健康档案管理、0-6岁儿童</w:t>
      </w:r>
      <w:r>
        <w:rPr>
          <w:rFonts w:hint="eastAsia" w:ascii="仿宋_GB2312" w:hAnsi="仿宋_GB2312" w:eastAsia="仿宋_GB2312" w:cs="仿宋_GB2312"/>
          <w:bCs w:val="0"/>
          <w:sz w:val="32"/>
          <w:szCs w:val="32"/>
          <w:lang w:eastAsia="zh-CN"/>
        </w:rPr>
        <w:t>健康</w:t>
      </w:r>
      <w:r>
        <w:rPr>
          <w:rFonts w:hint="eastAsia" w:ascii="仿宋_GB2312" w:hAnsi="仿宋_GB2312" w:eastAsia="仿宋_GB2312" w:cs="仿宋_GB2312"/>
          <w:bCs w:val="0"/>
          <w:sz w:val="32"/>
          <w:szCs w:val="32"/>
        </w:rPr>
        <w:t>管理、预防接种、孕产妇健康管理、</w:t>
      </w:r>
      <w:r>
        <w:rPr>
          <w:rFonts w:hint="eastAsia" w:ascii="仿宋_GB2312" w:hAnsi="仿宋_GB2312" w:eastAsia="仿宋_GB2312" w:cs="仿宋_GB2312"/>
          <w:bCs w:val="0"/>
          <w:sz w:val="32"/>
          <w:szCs w:val="32"/>
          <w:lang w:eastAsia="zh-CN"/>
        </w:rPr>
        <w:t>慢病患者健康</w:t>
      </w:r>
      <w:r>
        <w:rPr>
          <w:rFonts w:hint="eastAsia" w:ascii="仿宋_GB2312" w:hAnsi="仿宋_GB2312" w:eastAsia="仿宋_GB2312" w:cs="仿宋_GB2312"/>
          <w:bCs w:val="0"/>
          <w:sz w:val="32"/>
          <w:szCs w:val="32"/>
        </w:rPr>
        <w:t>管理、老年人健康管理、</w:t>
      </w:r>
      <w:r>
        <w:rPr>
          <w:rFonts w:hint="eastAsia" w:ascii="仿宋_GB2312" w:hAnsi="仿宋_GB2312" w:eastAsia="仿宋_GB2312" w:cs="仿宋_GB2312"/>
          <w:bCs w:val="0"/>
          <w:sz w:val="32"/>
          <w:szCs w:val="32"/>
          <w:lang w:eastAsia="zh-CN"/>
        </w:rPr>
        <w:t>严重精神障碍患者</w:t>
      </w:r>
      <w:r>
        <w:rPr>
          <w:rFonts w:hint="eastAsia" w:ascii="仿宋_GB2312" w:hAnsi="仿宋_GB2312" w:eastAsia="仿宋_GB2312" w:cs="仿宋_GB2312"/>
          <w:bCs w:val="0"/>
          <w:sz w:val="32"/>
          <w:szCs w:val="32"/>
        </w:rPr>
        <w:t>管理、</w:t>
      </w:r>
      <w:r>
        <w:rPr>
          <w:rFonts w:hint="eastAsia" w:ascii="仿宋_GB2312" w:hAnsi="仿宋_GB2312" w:eastAsia="仿宋_GB2312" w:cs="仿宋_GB2312"/>
          <w:bCs w:val="0"/>
          <w:sz w:val="32"/>
          <w:szCs w:val="32"/>
          <w:lang w:eastAsia="zh-CN"/>
        </w:rPr>
        <w:t>肺结核患者健康</w:t>
      </w:r>
      <w:r>
        <w:rPr>
          <w:rFonts w:hint="eastAsia" w:ascii="仿宋_GB2312" w:hAnsi="仿宋_GB2312" w:eastAsia="仿宋_GB2312" w:cs="仿宋_GB2312"/>
          <w:bCs w:val="0"/>
          <w:sz w:val="32"/>
          <w:szCs w:val="32"/>
        </w:rPr>
        <w:t>管理、健康教育、卫生</w:t>
      </w:r>
      <w:r>
        <w:rPr>
          <w:rFonts w:hint="eastAsia" w:ascii="仿宋_GB2312" w:hAnsi="仿宋_GB2312" w:eastAsia="仿宋_GB2312" w:cs="仿宋_GB2312"/>
          <w:bCs w:val="0"/>
          <w:sz w:val="32"/>
          <w:szCs w:val="32"/>
          <w:lang w:eastAsia="zh-CN"/>
        </w:rPr>
        <w:t>计生</w:t>
      </w:r>
      <w:r>
        <w:rPr>
          <w:rFonts w:hint="eastAsia" w:ascii="仿宋_GB2312" w:hAnsi="仿宋_GB2312" w:eastAsia="仿宋_GB2312" w:cs="仿宋_GB2312"/>
          <w:bCs w:val="0"/>
          <w:sz w:val="32"/>
          <w:szCs w:val="32"/>
        </w:rPr>
        <w:t>监督协管、传染病和突发公共卫生事件报告</w:t>
      </w:r>
      <w:r>
        <w:rPr>
          <w:rFonts w:hint="eastAsia" w:ascii="仿宋_GB2312" w:hAnsi="仿宋_GB2312" w:eastAsia="仿宋_GB2312" w:cs="仿宋_GB2312"/>
          <w:bCs w:val="0"/>
          <w:sz w:val="32"/>
          <w:szCs w:val="32"/>
          <w:lang w:eastAsia="zh-CN"/>
        </w:rPr>
        <w:t>和处理</w:t>
      </w:r>
      <w:r>
        <w:rPr>
          <w:rFonts w:hint="eastAsia" w:ascii="仿宋_GB2312" w:hAnsi="仿宋_GB2312" w:eastAsia="仿宋_GB2312" w:cs="仿宋_GB2312"/>
          <w:bCs w:val="0"/>
          <w:sz w:val="32"/>
          <w:szCs w:val="32"/>
        </w:rPr>
        <w:t>、中医药</w:t>
      </w:r>
      <w:r>
        <w:rPr>
          <w:rFonts w:hint="eastAsia" w:ascii="仿宋_GB2312" w:hAnsi="仿宋_GB2312" w:eastAsia="仿宋_GB2312" w:cs="仿宋_GB2312"/>
          <w:bCs w:val="0"/>
          <w:sz w:val="32"/>
          <w:szCs w:val="32"/>
          <w:lang w:eastAsia="zh-CN"/>
        </w:rPr>
        <w:t>健康</w:t>
      </w:r>
      <w:r>
        <w:rPr>
          <w:rFonts w:hint="eastAsia" w:ascii="仿宋_GB2312" w:hAnsi="仿宋_GB2312" w:eastAsia="仿宋_GB2312" w:cs="仿宋_GB2312"/>
          <w:bCs w:val="0"/>
          <w:sz w:val="32"/>
          <w:szCs w:val="32"/>
        </w:rPr>
        <w:t>管理等</w:t>
      </w:r>
      <w:r>
        <w:rPr>
          <w:rFonts w:hint="eastAsia" w:ascii="仿宋_GB2312" w:hAnsi="仿宋_GB2312" w:eastAsia="仿宋_GB2312" w:cs="仿宋_GB2312"/>
          <w:sz w:val="32"/>
          <w:szCs w:val="32"/>
          <w:lang w:val="en-US" w:eastAsia="zh-CN"/>
        </w:rPr>
        <w:t>；提供常见病、多发病、 康复治疗和康复指导等基本医疗诊疗服务。</w:t>
      </w:r>
    </w:p>
    <w:p w14:paraId="6A8717D3">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p>
    <w:p w14:paraId="241E0F61">
      <w:pPr>
        <w:snapToGrid w:val="0"/>
        <w:spacing w:line="520" w:lineRule="exact"/>
        <w:ind w:firstLine="640" w:firstLineChars="200"/>
        <w:rPr>
          <w:rFonts w:hint="eastAsia" w:eastAsia="仿宋_GB2312"/>
          <w:kern w:val="0"/>
          <w:sz w:val="32"/>
          <w:szCs w:val="32"/>
          <w:lang w:val="en-US" w:eastAsia="zh-CN"/>
        </w:rPr>
      </w:pPr>
      <w:r>
        <w:rPr>
          <w:rFonts w:hint="eastAsia" w:eastAsia="仿宋_GB2312"/>
          <w:kern w:val="0"/>
          <w:sz w:val="32"/>
          <w:szCs w:val="32"/>
        </w:rPr>
        <w:t>202</w:t>
      </w:r>
      <w:r>
        <w:rPr>
          <w:rFonts w:hint="eastAsia" w:eastAsia="仿宋_GB2312"/>
          <w:kern w:val="0"/>
          <w:sz w:val="32"/>
          <w:szCs w:val="32"/>
          <w:lang w:val="en-US" w:eastAsia="zh-CN"/>
        </w:rPr>
        <w:t>4</w:t>
      </w:r>
      <w:r>
        <w:rPr>
          <w:rFonts w:hint="eastAsia" w:eastAsia="仿宋_GB2312"/>
          <w:kern w:val="0"/>
          <w:sz w:val="32"/>
          <w:szCs w:val="32"/>
        </w:rPr>
        <w:t>年</w:t>
      </w:r>
      <w:r>
        <w:rPr>
          <w:rFonts w:hint="eastAsia" w:eastAsia="仿宋_GB2312"/>
          <w:kern w:val="0"/>
          <w:sz w:val="32"/>
          <w:szCs w:val="32"/>
          <w:lang w:eastAsia="zh-CN"/>
        </w:rPr>
        <w:t>年末</w:t>
      </w:r>
      <w:r>
        <w:rPr>
          <w:rFonts w:hint="eastAsia" w:eastAsia="仿宋_GB2312"/>
          <w:kern w:val="0"/>
          <w:sz w:val="32"/>
          <w:szCs w:val="32"/>
        </w:rPr>
        <w:t>在职人数</w:t>
      </w:r>
      <w:r>
        <w:rPr>
          <w:rFonts w:hint="eastAsia" w:eastAsia="仿宋_GB2312"/>
          <w:kern w:val="0"/>
          <w:sz w:val="32"/>
          <w:szCs w:val="32"/>
          <w:lang w:val="en-US" w:eastAsia="zh-CN"/>
        </w:rPr>
        <w:t>82</w:t>
      </w:r>
      <w:r>
        <w:rPr>
          <w:rFonts w:hint="eastAsia" w:eastAsia="仿宋_GB2312"/>
          <w:kern w:val="0"/>
          <w:sz w:val="32"/>
          <w:szCs w:val="32"/>
        </w:rPr>
        <w:t>人，其中：</w:t>
      </w:r>
      <w:r>
        <w:rPr>
          <w:rFonts w:hint="eastAsia" w:eastAsia="仿宋_GB2312"/>
          <w:kern w:val="0"/>
          <w:sz w:val="32"/>
          <w:szCs w:val="32"/>
          <w:lang w:val="en-US" w:eastAsia="zh-CN"/>
        </w:rPr>
        <w:t>在编</w:t>
      </w:r>
      <w:r>
        <w:rPr>
          <w:rFonts w:hint="eastAsia" w:eastAsia="仿宋_GB2312"/>
          <w:kern w:val="0"/>
          <w:sz w:val="32"/>
          <w:szCs w:val="32"/>
        </w:rPr>
        <w:t>人数</w:t>
      </w:r>
      <w:r>
        <w:rPr>
          <w:rFonts w:hint="eastAsia" w:eastAsia="仿宋_GB2312"/>
          <w:kern w:val="0"/>
          <w:sz w:val="32"/>
          <w:szCs w:val="32"/>
          <w:lang w:val="en-US" w:eastAsia="zh-CN"/>
        </w:rPr>
        <w:t>29</w:t>
      </w:r>
      <w:r>
        <w:rPr>
          <w:rFonts w:hint="eastAsia" w:eastAsia="仿宋_GB2312"/>
          <w:kern w:val="0"/>
          <w:sz w:val="32"/>
          <w:szCs w:val="32"/>
        </w:rPr>
        <w:t>人</w:t>
      </w:r>
      <w:r>
        <w:rPr>
          <w:rFonts w:hint="eastAsia"/>
          <w:kern w:val="0"/>
          <w:sz w:val="32"/>
          <w:szCs w:val="32"/>
          <w:lang w:eastAsia="zh-CN"/>
        </w:rPr>
        <w:t>（</w:t>
      </w:r>
      <w:r>
        <w:rPr>
          <w:rFonts w:hint="eastAsia" w:eastAsia="仿宋_GB2312"/>
          <w:kern w:val="0"/>
          <w:sz w:val="32"/>
          <w:szCs w:val="32"/>
          <w:lang w:val="en-US" w:eastAsia="zh-CN"/>
        </w:rPr>
        <w:t>2024年新进26名人才引进人员</w:t>
      </w:r>
      <w:r>
        <w:rPr>
          <w:rFonts w:hint="eastAsia"/>
          <w:kern w:val="0"/>
          <w:sz w:val="32"/>
          <w:szCs w:val="32"/>
          <w:lang w:val="en-US" w:eastAsia="zh-CN"/>
        </w:rPr>
        <w:t>）</w:t>
      </w:r>
      <w:r>
        <w:rPr>
          <w:rFonts w:hint="eastAsia" w:eastAsia="仿宋_GB2312"/>
          <w:kern w:val="0"/>
          <w:sz w:val="32"/>
          <w:szCs w:val="32"/>
          <w:lang w:val="en-US" w:eastAsia="zh-CN"/>
        </w:rPr>
        <w:t>；社区编（岗编分离）35人；自聘人员18人。</w:t>
      </w:r>
    </w:p>
    <w:p w14:paraId="0BD26EBC">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14:paraId="435B33E5">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14:paraId="5B2705E6">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2024年全年度东区大渡口社区卫生服务中心财政资金收入</w:t>
      </w:r>
      <w:r>
        <w:rPr>
          <w:rFonts w:hint="eastAsia" w:ascii="仿宋_GB2312" w:hAnsi="仿宋"/>
          <w:sz w:val="32"/>
          <w:szCs w:val="32"/>
          <w:highlight w:val="none"/>
          <w:lang w:val="en-US" w:eastAsia="zh-CN"/>
        </w:rPr>
        <w:t>1422.59</w:t>
      </w:r>
      <w:r>
        <w:rPr>
          <w:rFonts w:hint="eastAsia"/>
          <w:color w:val="000000"/>
          <w:kern w:val="0"/>
          <w:szCs w:val="32"/>
          <w:shd w:val="clear" w:color="auto" w:fill="FFFFFF"/>
          <w:lang w:val="en-US" w:eastAsia="zh-CN"/>
        </w:rPr>
        <w:t>万元，一般公共预算财政拨款收入1113.36万元，事业收入（财政专户资金）309.23万元。</w:t>
      </w:r>
    </w:p>
    <w:p w14:paraId="27B18B1C">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（二）部门财政资金支出情况。</w:t>
      </w:r>
    </w:p>
    <w:p w14:paraId="028FBDD2">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hint="eastAsia"/>
          <w:color w:val="000000"/>
          <w:kern w:val="0"/>
          <w:szCs w:val="32"/>
          <w:shd w:val="clear" w:color="auto" w:fill="FFFFFF"/>
          <w:lang w:val="en-US" w:eastAsia="zh-CN"/>
        </w:rPr>
        <w:t>2024年全年度东区大渡口社区卫生服务中心财政资金支出1473.4万元。其中：人员经费支出560.09万元（包含自聘人员），占总支出38.01 %；日常公用经费支出303.21万元，占总支出20.58%；专项项目支出610.1万元，占总支出41.41%。</w:t>
      </w:r>
    </w:p>
    <w:p w14:paraId="495A0D8B">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三、部门预算整体绩效管理情况</w:t>
      </w:r>
    </w:p>
    <w:p w14:paraId="49D4BDB0">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（一）绩效管理。</w:t>
      </w:r>
    </w:p>
    <w:p w14:paraId="777353AE">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2024年度东区大渡口社区卫生服务中心部门整体预算执行情况较好，各项业务指标均达到年初预算绩效，主要从以下几个方面简述：</w:t>
      </w:r>
    </w:p>
    <w:p w14:paraId="14439B61">
      <w:pPr>
        <w:widowControl/>
        <w:adjustRightInd w:val="0"/>
        <w:snapToGrid w:val="0"/>
        <w:spacing w:line="580" w:lineRule="exact"/>
        <w:ind w:firstLine="640" w:firstLineChars="200"/>
        <w:contextualSpacing/>
        <w:jc w:val="left"/>
        <w:rPr>
          <w:rFonts w:hint="eastAsia"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1.人员类：年初预算安排517.54万元，追加预算38.51万元；实际支出492.95万元，资金执行率88.65%。主要用于支付单位在编人员工资福利支出、社会保险缴费、住房公积金等。在人员经费支付过程中，严格按照相关政策要求，无任何违规行为。</w:t>
      </w:r>
    </w:p>
    <w:p w14:paraId="07ABE33D">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运转类：年初预算安排39.62万元，实际支出28.52万元，资金执行率71.98%。主要用于支付日常水费、电费、办公费、邮电费等。偏差原因主要是：中心积极响应全区过“紧日子”，厉行节约等政策，日常公用经费有结余。在公用经费支付过程中，各项费用均按照资金原有用途规范使用，无挤占、挪用，无任何违规行为。</w:t>
      </w:r>
    </w:p>
    <w:p w14:paraId="318C3B0F">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特定目标类（区级资金）：年初预算安排595.43万元，上年结转资金14.2万元（盘活资金）。实际支出574.34万元，其中上年结转资金支出14.2万元，资金执行进度94.21%。在经费使用过程中，严审票据的合规性、合理性，无任何违规行为。</w:t>
      </w:r>
    </w:p>
    <w:p w14:paraId="1EFC2FDF">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color w:val="000000"/>
          <w:kern w:val="0"/>
          <w:szCs w:val="32"/>
          <w:shd w:val="clear" w:color="auto" w:fill="FFFFFF"/>
          <w:lang w:val="en-US" w:eastAsia="zh-CN"/>
        </w:rPr>
        <w:t>4.特定目标类（上级补助资金）：2024年实际下达指标579.26万元，其中2023年结转资金49.68万元。2024年实际支出552.56万元，其中使用结转资金39.33万元。主要包含基本公共卫生服务项目、实施基本药物制度、重大传染病防治项目等。在经费使用的过程中，做到专款专用，严格执行财经纪律，无任何挤占、挪用。</w:t>
      </w:r>
    </w:p>
    <w:p w14:paraId="1F2BF9B4">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（二）绩效结果应用情况。</w:t>
      </w:r>
    </w:p>
    <w:p w14:paraId="644CB81A">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包括内部应用、自评公开、问题整改和应用反馈等情况。</w:t>
      </w:r>
    </w:p>
    <w:p w14:paraId="2E77F3A5">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内部应用：项目绩效自评结果为中心管理者提供了客观的数据支持，可作为制定决策、调整预算项目方向和资源分配的依据。通过对绩效评估结果的分析，中心管理层可以及时发现项目执行中存在的问题和风险，采取相应措施加以解决，确保项目目标的实现。</w:t>
      </w:r>
    </w:p>
    <w:p w14:paraId="637C9025">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2.自评公开：我中心整体预算绩效自评情况均按照相关要求，及时通过“攀枝花市东区人民政府”网站予以公开。</w:t>
      </w:r>
    </w:p>
    <w:p w14:paraId="173A1965">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3.问题整改：近年来，绩效评价的自评结果及第三方机构审计结果发现的问题，中心领导高度重视，组织相关人员查找问题根源，对症下药。同时，评价结果将作为下一年预算及绩效目标编制的重要依据。</w:t>
      </w:r>
    </w:p>
    <w:p w14:paraId="1479EF04">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（三）绩效自评质量。</w:t>
      </w:r>
    </w:p>
    <w:p w14:paraId="5E14C2D7">
      <w:pPr>
        <w:widowControl/>
        <w:adjustRightInd w:val="0"/>
        <w:snapToGrid w:val="0"/>
        <w:spacing w:line="580" w:lineRule="exact"/>
        <w:ind w:firstLine="640" w:firstLineChars="200"/>
        <w:contextualSpacing/>
        <w:jc w:val="left"/>
        <w:rPr>
          <w:rFonts w:hint="eastAsia"/>
          <w:color w:val="000000"/>
          <w:kern w:val="0"/>
          <w:szCs w:val="32"/>
          <w:shd w:val="clear" w:color="auto" w:fill="FFFFFF"/>
          <w:lang w:eastAsia="zh-CN"/>
        </w:rPr>
      </w:pPr>
      <w:r>
        <w:rPr>
          <w:color w:val="000000"/>
          <w:kern w:val="0"/>
          <w:szCs w:val="32"/>
          <w:shd w:val="clear" w:color="auto" w:fill="FFFFFF"/>
        </w:rPr>
        <w:t xml:space="preserve"> </w:t>
      </w:r>
      <w:r>
        <w:rPr>
          <w:rFonts w:hint="eastAsia"/>
          <w:color w:val="000000"/>
          <w:kern w:val="0"/>
          <w:szCs w:val="32"/>
          <w:shd w:val="clear" w:color="auto" w:fill="FFFFFF"/>
          <w:lang w:eastAsia="zh-CN"/>
        </w:rPr>
        <w:t>中心严格按照《攀枝花市东区财政局关于开展</w:t>
      </w:r>
      <w:r>
        <w:rPr>
          <w:rFonts w:hint="eastAsia"/>
          <w:color w:val="000000"/>
          <w:kern w:val="0"/>
          <w:szCs w:val="32"/>
          <w:shd w:val="clear" w:color="auto" w:fill="FFFFFF"/>
          <w:lang w:val="en-US" w:eastAsia="zh-CN"/>
        </w:rPr>
        <w:t>2024年度预算绩效自评工作的通知</w:t>
      </w:r>
      <w:r>
        <w:rPr>
          <w:rFonts w:hint="eastAsia"/>
          <w:color w:val="000000"/>
          <w:kern w:val="0"/>
          <w:szCs w:val="32"/>
          <w:shd w:val="clear" w:color="auto" w:fill="FFFFFF"/>
          <w:lang w:eastAsia="zh-CN"/>
        </w:rPr>
        <w:t>》的文件要求开展自评工作，认真研究绩效评价指标体系的计分标准，本着单位的实际情况自评打分。</w:t>
      </w:r>
    </w:p>
    <w:p w14:paraId="3AF5EE0E">
      <w:pPr>
        <w:widowControl/>
        <w:adjustRightInd w:val="0"/>
        <w:snapToGrid w:val="0"/>
        <w:spacing w:line="580" w:lineRule="exact"/>
        <w:ind w:firstLine="640" w:firstLineChars="200"/>
        <w:contextualSpacing/>
        <w:jc w:val="left"/>
        <w:rPr>
          <w:rFonts w:hint="eastAsia" w:eastAsia="黑体"/>
          <w:color w:val="000000"/>
          <w:kern w:val="0"/>
          <w:szCs w:val="32"/>
          <w:shd w:val="clear" w:color="auto" w:fill="FFFFFF"/>
          <w:lang w:eastAsia="zh-CN"/>
        </w:rPr>
      </w:pPr>
      <w:r>
        <w:rPr>
          <w:rFonts w:eastAsia="黑体"/>
          <w:color w:val="000000"/>
          <w:kern w:val="0"/>
          <w:szCs w:val="32"/>
          <w:shd w:val="clear" w:color="auto" w:fill="FFFFFF"/>
        </w:rPr>
        <w:t>四、评价结论及</w:t>
      </w:r>
    </w:p>
    <w:p w14:paraId="1BEF80BC">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（一）评价结论。</w:t>
      </w:r>
    </w:p>
    <w:p w14:paraId="588498D0">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en-US" w:eastAsia="zh-CN"/>
        </w:rPr>
        <w:t>根据收集的预决算、财务资料和部门整体工作开展情况的相关资料、通过实地核查并结合2024年实际履职情况，依据设定的评价指标逐一进行评分，自评总得分为8</w:t>
      </w:r>
      <w:r>
        <w:rPr>
          <w:rFonts w:hint="eastAsia" w:cs="Times New Roman"/>
          <w:color w:val="000000"/>
          <w:kern w:val="0"/>
          <w:szCs w:val="32"/>
          <w:shd w:val="clear" w:color="auto" w:fill="FFFFFF"/>
          <w:lang w:val="en-US" w:eastAsia="zh-CN"/>
        </w:rPr>
        <w:t>4.02</w:t>
      </w:r>
      <w:bookmarkStart w:id="0" w:name="_GoBack"/>
      <w:bookmarkEnd w:id="0"/>
      <w:r>
        <w:rPr>
          <w:rFonts w:hint="eastAsia" w:ascii="Times New Roman" w:hAnsi="Times New Roman" w:cs="Times New Roman"/>
          <w:color w:val="000000"/>
          <w:kern w:val="0"/>
          <w:szCs w:val="32"/>
          <w:shd w:val="clear" w:color="auto" w:fill="FFFFFF"/>
          <w:lang w:val="en-US" w:eastAsia="zh-CN"/>
        </w:rPr>
        <w:t>分。中心2024年度部门整体支出绩效良好，很好地完成了年初预算计划的各项工作，履行了部门各项职责，</w:t>
      </w:r>
      <w:r>
        <w:rPr>
          <w:rFonts w:hint="eastAsia" w:cs="Times New Roman"/>
          <w:color w:val="000000"/>
          <w:kern w:val="0"/>
          <w:szCs w:val="32"/>
          <w:shd w:val="clear" w:color="auto" w:fill="FFFFFF"/>
          <w:lang w:val="en-US" w:eastAsia="zh-CN"/>
        </w:rPr>
        <w:t>基本</w:t>
      </w:r>
      <w:r>
        <w:rPr>
          <w:rFonts w:hint="eastAsia" w:ascii="Times New Roman" w:hAnsi="Times New Roman" w:cs="Times New Roman"/>
          <w:color w:val="000000"/>
          <w:kern w:val="0"/>
          <w:szCs w:val="32"/>
          <w:shd w:val="clear" w:color="auto" w:fill="FFFFFF"/>
          <w:lang w:val="en-US" w:eastAsia="zh-CN"/>
        </w:rPr>
        <w:t>达到了预算所设立的主要目标。</w:t>
      </w:r>
    </w:p>
    <w:p w14:paraId="001C6CB2">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（二）存在问题。</w:t>
      </w:r>
    </w:p>
    <w:p w14:paraId="1336E076">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1.</w:t>
      </w:r>
      <w:r>
        <w:rPr>
          <w:rFonts w:hint="default" w:ascii="Times New Roman" w:hAnsi="Times New Roman" w:eastAsia="仿宋_GB2312" w:cs="Times New Roman"/>
          <w:color w:val="000000"/>
          <w:kern w:val="0"/>
          <w:sz w:val="32"/>
          <w:szCs w:val="32"/>
          <w:shd w:val="clear" w:color="auto" w:fill="FFFFFF"/>
          <w:lang w:val="en-US" w:eastAsia="zh-CN" w:bidi="ar-SA"/>
        </w:rPr>
        <w:t>绩效指标设置不规范，细化量化程度不足</w:t>
      </w:r>
      <w:r>
        <w:rPr>
          <w:rFonts w:hint="eastAsia" w:ascii="Times New Roman" w:hAnsi="Times New Roman" w:eastAsia="仿宋_GB2312" w:cs="Times New Roman"/>
          <w:color w:val="000000"/>
          <w:kern w:val="0"/>
          <w:sz w:val="32"/>
          <w:szCs w:val="32"/>
          <w:shd w:val="clear" w:color="auto" w:fill="FFFFFF"/>
          <w:lang w:val="en-US" w:eastAsia="zh-CN" w:bidi="ar-SA"/>
        </w:rPr>
        <w:t xml:space="preserve">     有些项目绩效指标设置太笼统，无法量化，不利于后期绩效评价工作的开展。</w:t>
      </w:r>
    </w:p>
    <w:p w14:paraId="147409B9">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（三）</w:t>
      </w:r>
      <w:r>
        <w:rPr>
          <w:rFonts w:hint="eastAsia" w:ascii="楷体_GB2312" w:hAnsi="楷体_GB2312" w:eastAsia="楷体_GB2312" w:cs="楷体_GB2312"/>
          <w:color w:val="000000"/>
          <w:kern w:val="0"/>
          <w:szCs w:val="32"/>
          <w:shd w:val="clear" w:color="auto" w:fill="FFFFFF"/>
          <w:lang w:val="zh-CN" w:eastAsia="zh-CN"/>
        </w:rPr>
        <w:t>整改措施</w:t>
      </w:r>
      <w:r>
        <w:rPr>
          <w:rFonts w:hint="eastAsia" w:ascii="楷体_GB2312" w:hAnsi="楷体_GB2312" w:eastAsia="楷体_GB2312" w:cs="楷体_GB2312"/>
          <w:color w:val="000000"/>
          <w:kern w:val="0"/>
          <w:szCs w:val="32"/>
          <w:shd w:val="clear" w:color="auto" w:fill="FFFFFF"/>
          <w:lang w:val="zh-CN"/>
        </w:rPr>
        <w:t>。</w:t>
      </w:r>
    </w:p>
    <w:p w14:paraId="77CB8286">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ascii="楷体_GB2312" w:hAnsi="楷体_GB2312" w:eastAsia="楷体_GB2312" w:cs="楷体_GB2312"/>
          <w:color w:val="000000"/>
          <w:kern w:val="0"/>
          <w:szCs w:val="32"/>
          <w:shd w:val="clear" w:color="auto" w:fill="FFFFFF"/>
          <w:lang w:val="en-US" w:eastAsia="zh-CN"/>
        </w:rPr>
        <w:t>1.</w:t>
      </w:r>
      <w:r>
        <w:rPr>
          <w:rFonts w:hint="eastAsia"/>
          <w:color w:val="000000"/>
          <w:kern w:val="0"/>
          <w:szCs w:val="32"/>
          <w:shd w:val="clear" w:color="auto" w:fill="FFFFFF"/>
          <w:lang w:val="en-US" w:eastAsia="zh-CN"/>
        </w:rPr>
        <w:t>持续加强业财融合   财务人员加强与业务科室沟通交流，了解业务开展内容，才能更好地将财政资金用好、用活，利于项目工作的优质开展。</w:t>
      </w:r>
    </w:p>
    <w:p w14:paraId="53FCC82F">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2.提升预算绩效目标编制质量   在设定预算绩效指标时，参考前期的评价结果，总结以往的经验教训，避免出现同样的问题。</w:t>
      </w:r>
    </w:p>
    <w:p w14:paraId="34374F8C">
      <w:pPr>
        <w:widowControl/>
        <w:adjustRightInd w:val="0"/>
        <w:snapToGrid w:val="0"/>
        <w:spacing w:line="580" w:lineRule="exact"/>
        <w:ind w:firstLine="640" w:firstLineChars="200"/>
        <w:contextualSpacing/>
        <w:jc w:val="left"/>
        <w:rPr>
          <w:rFonts w:hint="default" w:ascii="楷体_GB2312" w:hAnsi="楷体_GB2312" w:eastAsia="楷体_GB2312" w:cs="楷体_GB2312"/>
          <w:color w:val="000000"/>
          <w:kern w:val="0"/>
          <w:szCs w:val="32"/>
          <w:shd w:val="clear" w:color="auto" w:fill="FFFFFF"/>
          <w:lang w:val="en-US" w:eastAsia="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3BD7A8B7">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2AFDDE9F">
    <w:pPr>
      <w:pStyle w:val="7"/>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117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9F5A76"/>
    <w:rsid w:val="0DC31556"/>
    <w:rsid w:val="10DF470C"/>
    <w:rsid w:val="1A3D6143"/>
    <w:rsid w:val="1C013801"/>
    <w:rsid w:val="23EC2D20"/>
    <w:rsid w:val="23F36F7C"/>
    <w:rsid w:val="2BA96E6D"/>
    <w:rsid w:val="2D527252"/>
    <w:rsid w:val="2EAE55F2"/>
    <w:rsid w:val="2EDF4302"/>
    <w:rsid w:val="47550EBA"/>
    <w:rsid w:val="489839F7"/>
    <w:rsid w:val="4AEA7E71"/>
    <w:rsid w:val="50F9124B"/>
    <w:rsid w:val="56F968D3"/>
    <w:rsid w:val="5B261524"/>
    <w:rsid w:val="5C502AD1"/>
    <w:rsid w:val="5C757D4C"/>
    <w:rsid w:val="5CA81BE4"/>
    <w:rsid w:val="5CEB0141"/>
    <w:rsid w:val="5FF05EEC"/>
    <w:rsid w:val="6636451A"/>
    <w:rsid w:val="6ED3703B"/>
    <w:rsid w:val="6EF65E9C"/>
    <w:rsid w:val="71397E0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Document Map"/>
    <w:basedOn w:val="1"/>
    <w:link w:val="15"/>
    <w:qFormat/>
    <w:uiPriority w:val="0"/>
    <w:rPr>
      <w:rFonts w:ascii="宋体" w:eastAsia="宋体"/>
      <w:sz w:val="18"/>
      <w:szCs w:val="18"/>
    </w:rPr>
  </w:style>
  <w:style w:type="paragraph" w:styleId="5">
    <w:name w:val="Plain Text"/>
    <w:basedOn w:val="1"/>
    <w:qFormat/>
    <w:uiPriority w:val="0"/>
    <w:rPr>
      <w:rFonts w:ascii="宋体" w:hAnsi="Courier New"/>
    </w:r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四号正文"/>
    <w:basedOn w:val="1"/>
    <w:link w:val="14"/>
    <w:qFormat/>
    <w:uiPriority w:val="0"/>
    <w:pPr>
      <w:spacing w:line="360" w:lineRule="auto"/>
    </w:pPr>
    <w:rPr>
      <w:rFonts w:ascii="??" w:hAnsi="??" w:eastAsia="宋体" w:cs="宋体"/>
      <w:color w:val="000000"/>
      <w:kern w:val="0"/>
      <w:sz w:val="28"/>
      <w:szCs w:val="21"/>
    </w:rPr>
  </w:style>
  <w:style w:type="character" w:customStyle="1" w:styleId="14">
    <w:name w:val="四号正文 Char"/>
    <w:basedOn w:val="11"/>
    <w:link w:val="13"/>
    <w:qFormat/>
    <w:uiPriority w:val="0"/>
    <w:rPr>
      <w:rFonts w:ascii="??" w:hAnsi="??" w:eastAsia="宋体" w:cs="宋体"/>
      <w:color w:val="000000"/>
      <w:sz w:val="28"/>
      <w:szCs w:val="21"/>
      <w:lang w:val="en-US" w:eastAsia="zh-CN" w:bidi="ar-SA"/>
    </w:rPr>
  </w:style>
  <w:style w:type="character" w:customStyle="1" w:styleId="15">
    <w:name w:val="文档结构图 字符"/>
    <w:basedOn w:val="11"/>
    <w:link w:val="4"/>
    <w:qFormat/>
    <w:uiPriority w:val="0"/>
    <w:rPr>
      <w:rFonts w:ascii="宋体"/>
      <w:kern w:val="2"/>
      <w:sz w:val="18"/>
      <w:szCs w:val="18"/>
    </w:rPr>
  </w:style>
  <w:style w:type="paragraph" w:customStyle="1" w:styleId="16">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页脚 字符"/>
    <w:basedOn w:val="11"/>
    <w:link w:val="7"/>
    <w:qFormat/>
    <w:uiPriority w:val="99"/>
    <w:rPr>
      <w:kern w:val="2"/>
      <w:sz w:val="18"/>
      <w:szCs w:val="18"/>
    </w:rPr>
  </w:style>
  <w:style w:type="character" w:customStyle="1" w:styleId="18">
    <w:name w:val="font31"/>
    <w:basedOn w:val="11"/>
    <w:qFormat/>
    <w:uiPriority w:val="0"/>
    <w:rPr>
      <w:rFonts w:hint="eastAsia" w:ascii="宋体" w:hAnsi="宋体" w:eastAsia="宋体" w:cs="宋体"/>
      <w:color w:val="000000"/>
      <w:sz w:val="24"/>
      <w:szCs w:val="24"/>
      <w:u w:val="none"/>
    </w:rPr>
  </w:style>
  <w:style w:type="paragraph" w:customStyle="1" w:styleId="19">
    <w:name w:val="擎业正文"/>
    <w:basedOn w:val="1"/>
    <w:qFormat/>
    <w:uiPriority w:val="0"/>
    <w:pPr>
      <w:spacing w:line="600" w:lineRule="exact"/>
      <w:ind w:firstLine="640"/>
      <w:jc w:val="both"/>
    </w:pPr>
    <w:rPr>
      <w:rFonts w:ascii="仿宋_GB2312" w:hAnsi="仿宋_GB2312" w:eastAsia="仿宋_GB2312" w:cs="仿宋_GB2312"/>
      <w:color w:val="000000"/>
      <w:szCs w:val="32"/>
      <w:lang w:val="zh-CN" w:eastAsia="en-US"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4</Pages>
  <Words>1794</Words>
  <Characters>1967</Characters>
  <Lines>2</Lines>
  <Paragraphs>1</Paragraphs>
  <TotalTime>19</TotalTime>
  <ScaleCrop>false</ScaleCrop>
  <LinksUpToDate>false</LinksUpToDate>
  <CharactersWithSpaces>1981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2023-04-07T02:36:00Z</cp:lastPrinted>
  <dcterms:modified xsi:type="dcterms:W3CDTF">2025-04-27T10:41:18Z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83CB796F42FB46F881865F91D6A07C99</vt:lpwstr>
  </property>
  <property fmtid="{D5CDD505-2E9C-101B-9397-08002B2CF9AE}" pid="4" name="KSOTemplateDocerSaveRecord">
    <vt:lpwstr>eyJoZGlkIjoiYjRlZWYyY2E0NTlhY2Y5ZmVjYTI0NmJjMGJjNjBjOTMifQ==</vt:lpwstr>
  </property>
</Properties>
</file>