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24AD">
      <w:pPr>
        <w:widowControl/>
        <w:spacing w:line="580" w:lineRule="exact"/>
        <w:contextualSpacing/>
        <w:jc w:val="center"/>
        <w:rPr>
          <w:rFonts w:eastAsia="宋体"/>
          <w:b/>
          <w:sz w:val="44"/>
          <w:szCs w:val="44"/>
          <w:shd w:val="clear" w:color="auto" w:fill="FFFFFF"/>
        </w:rPr>
      </w:pPr>
      <w:bookmarkStart w:id="0" w:name="_GoBack"/>
      <w:bookmarkEnd w:id="0"/>
    </w:p>
    <w:p w14:paraId="4D0308D1">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lang w:val="en-US" w:eastAsia="zh-CN"/>
        </w:rPr>
      </w:pPr>
      <w:r>
        <w:rPr>
          <w:rFonts w:hint="eastAsia" w:ascii="方正小标宋简体" w:hAnsi="方正小标宋简体" w:eastAsia="方正小标宋简体" w:cs="方正小标宋简体"/>
          <w:b/>
          <w:sz w:val="44"/>
          <w:szCs w:val="44"/>
          <w:shd w:val="clear" w:color="auto" w:fill="FFFFFF"/>
          <w:lang w:val="en-US" w:eastAsia="zh-CN"/>
        </w:rPr>
        <w:t>攀枝花市东区疾病预防控制中心</w:t>
      </w:r>
    </w:p>
    <w:p w14:paraId="57CD977A">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rPr>
      </w:pPr>
      <w:r>
        <w:rPr>
          <w:rFonts w:hint="eastAsia" w:ascii="方正小标宋简体" w:hAnsi="方正小标宋简体" w:eastAsia="方正小标宋简体" w:cs="方正小标宋简体"/>
          <w:b/>
          <w:sz w:val="44"/>
          <w:szCs w:val="44"/>
          <w:shd w:val="clear" w:color="auto" w:fill="FFFFFF"/>
        </w:rPr>
        <w:t>202</w:t>
      </w:r>
      <w:r>
        <w:rPr>
          <w:rFonts w:hint="eastAsia" w:ascii="方正小标宋简体" w:hAnsi="方正小标宋简体" w:eastAsia="方正小标宋简体" w:cs="方正小标宋简体"/>
          <w:b/>
          <w:sz w:val="44"/>
          <w:szCs w:val="44"/>
          <w:shd w:val="clear" w:color="auto" w:fill="FFFFFF"/>
          <w:lang w:val="en-US" w:eastAsia="zh-CN"/>
        </w:rPr>
        <w:t>4</w:t>
      </w:r>
      <w:r>
        <w:rPr>
          <w:rFonts w:hint="eastAsia" w:ascii="方正小标宋简体" w:hAnsi="方正小标宋简体" w:eastAsia="方正小标宋简体" w:cs="方正小标宋简体"/>
          <w:b/>
          <w:sz w:val="44"/>
          <w:szCs w:val="44"/>
          <w:shd w:val="clear" w:color="auto" w:fill="FFFFFF"/>
        </w:rPr>
        <w:t>年度部门</w:t>
      </w:r>
      <w:r>
        <w:rPr>
          <w:rFonts w:hint="eastAsia" w:ascii="方正小标宋简体" w:hAnsi="方正小标宋简体" w:eastAsia="方正小标宋简体" w:cs="方正小标宋简体"/>
          <w:b/>
          <w:sz w:val="44"/>
          <w:szCs w:val="44"/>
          <w:shd w:val="clear" w:color="auto" w:fill="FFFFFF"/>
          <w:lang w:eastAsia="zh-CN"/>
        </w:rPr>
        <w:t>预算</w:t>
      </w:r>
      <w:r>
        <w:rPr>
          <w:rFonts w:hint="eastAsia" w:ascii="方正小标宋简体" w:hAnsi="方正小标宋简体" w:eastAsia="方正小标宋简体" w:cs="方正小标宋简体"/>
          <w:b/>
          <w:sz w:val="44"/>
          <w:szCs w:val="44"/>
          <w:shd w:val="clear" w:color="auto" w:fill="FFFFFF"/>
        </w:rPr>
        <w:t>整体支出绩效评价</w:t>
      </w:r>
    </w:p>
    <w:p w14:paraId="4576A566">
      <w:pPr>
        <w:widowControl/>
        <w:spacing w:line="580" w:lineRule="exact"/>
        <w:contextualSpacing/>
        <w:jc w:val="center"/>
        <w:rPr>
          <w:szCs w:val="32"/>
          <w:shd w:val="clear" w:color="auto" w:fill="FFFFFF"/>
        </w:rPr>
      </w:pPr>
      <w:r>
        <w:rPr>
          <w:rFonts w:hint="eastAsia" w:ascii="方正小标宋简体" w:hAnsi="方正小标宋简体" w:eastAsia="方正小标宋简体" w:cs="方正小标宋简体"/>
          <w:b/>
          <w:sz w:val="44"/>
          <w:szCs w:val="44"/>
          <w:shd w:val="clear" w:color="auto" w:fill="FFFFFF"/>
          <w:lang w:eastAsia="zh-CN"/>
        </w:rPr>
        <w:t>自评</w:t>
      </w:r>
      <w:r>
        <w:rPr>
          <w:rFonts w:hint="eastAsia" w:ascii="方正小标宋简体" w:hAnsi="方正小标宋简体" w:eastAsia="方正小标宋简体" w:cs="方正小标宋简体"/>
          <w:b/>
          <w:sz w:val="44"/>
          <w:szCs w:val="44"/>
          <w:shd w:val="clear" w:color="auto" w:fill="FFFFFF"/>
        </w:rPr>
        <w:t>报告</w:t>
      </w:r>
    </w:p>
    <w:p w14:paraId="507458DB">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14:paraId="4E7989D5">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14:paraId="5296EC9D">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14:paraId="2E3189AC">
      <w:pPr>
        <w:shd w:val="solid" w:color="FFFFFF" w:fill="auto"/>
        <w:autoSpaceDN w:val="0"/>
        <w:adjustRightInd w:val="0"/>
        <w:spacing w:line="353" w:lineRule="auto"/>
        <w:ind w:firstLine="640" w:firstLineChars="200"/>
        <w:rPr>
          <w:rFonts w:hint="eastAsia"/>
          <w:color w:val="auto"/>
          <w:szCs w:val="32"/>
          <w:lang w:val="zh-CN"/>
        </w:rPr>
      </w:pPr>
      <w:r>
        <w:rPr>
          <w:rFonts w:hint="eastAsia"/>
          <w:color w:val="auto"/>
          <w:szCs w:val="32"/>
        </w:rPr>
        <w:t>东区疾控中心成立于2004年8月，为区财政全额拨款事业单位，2015年11月列为独立财政核算单位。内设股室9个，分别为:慢性病地方病综合防控股、公共卫生综合股、传染病综合防控股、免疫规划股、检验股、质量管理股、重大传染病防控股、健康教育股和办公室。</w:t>
      </w:r>
    </w:p>
    <w:p w14:paraId="6E166E98">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（二）机构职能。</w:t>
      </w:r>
    </w:p>
    <w:p w14:paraId="30A5A939">
      <w:pPr>
        <w:shd w:val="solid" w:color="FFFFFF" w:fill="auto"/>
        <w:autoSpaceDN w:val="0"/>
        <w:adjustRightInd w:val="0"/>
        <w:spacing w:line="353" w:lineRule="auto"/>
        <w:ind w:firstLine="640" w:firstLineChars="200"/>
        <w:rPr>
          <w:rFonts w:hint="eastAsia"/>
          <w:color w:val="auto"/>
          <w:szCs w:val="32"/>
          <w:lang w:val="zh-CN"/>
        </w:rPr>
      </w:pPr>
      <w:r>
        <w:rPr>
          <w:rFonts w:hint="eastAsia"/>
          <w:color w:val="auto"/>
          <w:szCs w:val="32"/>
        </w:rPr>
        <w:t>承担全区传染病、地方病、慢性非传染性疾病的预防控制；负责疫情监测预警、报告和突发公共卫生事件应急处置工作；负责健康相关因素信息管理、免疫规划实施和疫苗管理；进行实验室检测分析与评价；开展食品卫生、生活饮水卫生、学校卫生、职业卫生、放射卫生和环境卫生等领城健康危害团素监测与干预等工作；开展健康教育与健康促进工作；疾病预防控制技术管理与应用研究指导；其他疾病预防控制工作。</w:t>
      </w:r>
    </w:p>
    <w:p w14:paraId="681F565A">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人员概况。</w:t>
      </w:r>
    </w:p>
    <w:p w14:paraId="50005C93">
      <w:pPr>
        <w:widowControl/>
        <w:numPr>
          <w:ilvl w:val="0"/>
          <w:numId w:val="0"/>
        </w:numPr>
        <w:adjustRightInd w:val="0"/>
        <w:snapToGrid w:val="0"/>
        <w:spacing w:line="580" w:lineRule="exact"/>
        <w:contextualSpacing/>
        <w:jc w:val="left"/>
        <w:rPr>
          <w:rFonts w:hint="default"/>
          <w:color w:val="auto"/>
          <w:szCs w:val="32"/>
          <w:lang w:val="en-US" w:eastAsia="zh-CN"/>
        </w:rPr>
      </w:pPr>
      <w:r>
        <w:rPr>
          <w:rFonts w:hint="eastAsia"/>
          <w:color w:val="000000"/>
          <w:kern w:val="0"/>
          <w:szCs w:val="32"/>
          <w:shd w:val="clear" w:color="auto" w:fill="FFFFFF"/>
          <w:lang w:val="en-US" w:eastAsia="zh-CN"/>
        </w:rPr>
        <w:t xml:space="preserve">  </w:t>
      </w:r>
      <w:r>
        <w:rPr>
          <w:rFonts w:hint="eastAsia"/>
          <w:color w:val="auto"/>
          <w:szCs w:val="32"/>
          <w:lang w:val="en-US" w:eastAsia="zh-CN"/>
        </w:rPr>
        <w:t xml:space="preserve"> </w:t>
      </w:r>
      <w:r>
        <w:rPr>
          <w:rFonts w:hint="eastAsia"/>
          <w:color w:val="auto"/>
          <w:szCs w:val="32"/>
        </w:rPr>
        <w:t>中心编制数33人,在编31人，空编2人。其中：26人在疾控中心工作，5名在卫健局和爱卫办工作。此外，中心财聘3人，临聘7人，公共卫生服务岗3人，基层医疗机构借聘3人。实际工作人员47人。离退休人员14人。实际工作47人中，学历：研究生2人、本科27人、大专15人、中专3人。职称：专业技术岗高级4人、中级8人、初级14人，管理岗位七级3人、八级2人、九级1人。</w:t>
      </w:r>
    </w:p>
    <w:p w14:paraId="07148E27">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14:paraId="04E71AEA">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14:paraId="2D65B4BA">
      <w:pPr>
        <w:shd w:val="solid" w:color="FFFFFF" w:fill="auto"/>
        <w:autoSpaceDN w:val="0"/>
        <w:adjustRightInd w:val="0"/>
        <w:spacing w:line="353" w:lineRule="auto"/>
        <w:ind w:firstLine="643" w:firstLineChars="200"/>
        <w:rPr>
          <w:b/>
          <w:bCs/>
          <w:color w:val="000000"/>
          <w:szCs w:val="32"/>
        </w:rPr>
      </w:pPr>
      <w:r>
        <w:rPr>
          <w:rFonts w:hint="eastAsia"/>
          <w:b/>
          <w:bCs/>
          <w:color w:val="000000"/>
          <w:szCs w:val="32"/>
        </w:rPr>
        <w:t>1. 基本支出收入情况。</w:t>
      </w:r>
    </w:p>
    <w:p w14:paraId="5C105A15">
      <w:pPr>
        <w:shd w:val="solid" w:color="FFFFFF" w:fill="auto"/>
        <w:autoSpaceDN w:val="0"/>
        <w:adjustRightInd w:val="0"/>
        <w:spacing w:line="353" w:lineRule="auto"/>
        <w:ind w:firstLine="640" w:firstLineChars="200"/>
        <w:rPr>
          <w:color w:val="auto"/>
          <w:szCs w:val="32"/>
        </w:rPr>
      </w:pPr>
      <w:r>
        <w:rPr>
          <w:rFonts w:hint="eastAsia"/>
          <w:color w:val="auto"/>
          <w:szCs w:val="32"/>
        </w:rPr>
        <w:t xml:space="preserve"> 202</w:t>
      </w:r>
      <w:r>
        <w:rPr>
          <w:rFonts w:hint="eastAsia"/>
          <w:color w:val="auto"/>
          <w:szCs w:val="32"/>
          <w:lang w:val="en-US" w:eastAsia="zh-CN"/>
        </w:rPr>
        <w:t>4</w:t>
      </w:r>
      <w:r>
        <w:rPr>
          <w:rFonts w:hint="eastAsia"/>
          <w:color w:val="auto"/>
          <w:szCs w:val="32"/>
        </w:rPr>
        <w:t>年基本支出预算安排共计</w:t>
      </w:r>
      <w:r>
        <w:rPr>
          <w:rFonts w:hint="eastAsia"/>
          <w:color w:val="auto"/>
          <w:szCs w:val="32"/>
          <w:lang w:val="en-US" w:eastAsia="zh-CN"/>
        </w:rPr>
        <w:t>736.16</w:t>
      </w:r>
      <w:r>
        <w:rPr>
          <w:rFonts w:hint="eastAsia"/>
          <w:color w:val="auto"/>
          <w:szCs w:val="32"/>
        </w:rPr>
        <w:t>万元，其中：</w:t>
      </w:r>
      <w:r>
        <w:rPr>
          <w:rFonts w:hint="eastAsia"/>
          <w:color w:val="auto"/>
          <w:szCs w:val="32"/>
          <w:lang w:val="en-US" w:eastAsia="zh-CN"/>
        </w:rPr>
        <w:t>人员类</w:t>
      </w:r>
      <w:r>
        <w:rPr>
          <w:rFonts w:hint="eastAsia"/>
          <w:color w:val="auto"/>
          <w:szCs w:val="32"/>
        </w:rPr>
        <w:t>支出</w:t>
      </w:r>
      <w:r>
        <w:rPr>
          <w:rFonts w:hint="eastAsia"/>
          <w:color w:val="auto"/>
          <w:szCs w:val="32"/>
          <w:lang w:val="en-US" w:eastAsia="zh-CN"/>
        </w:rPr>
        <w:t>678.74</w:t>
      </w:r>
      <w:r>
        <w:rPr>
          <w:rFonts w:hint="eastAsia"/>
          <w:color w:val="auto"/>
          <w:szCs w:val="32"/>
        </w:rPr>
        <w:t>万元，</w:t>
      </w:r>
      <w:r>
        <w:rPr>
          <w:rFonts w:hint="eastAsia"/>
          <w:color w:val="auto"/>
          <w:szCs w:val="32"/>
          <w:lang w:val="en-US" w:eastAsia="zh-CN"/>
        </w:rPr>
        <w:t>运转类</w:t>
      </w:r>
      <w:r>
        <w:rPr>
          <w:rFonts w:hint="eastAsia"/>
          <w:color w:val="auto"/>
          <w:szCs w:val="32"/>
        </w:rPr>
        <w:t>支出</w:t>
      </w:r>
      <w:r>
        <w:rPr>
          <w:rFonts w:hint="eastAsia"/>
          <w:color w:val="auto"/>
          <w:szCs w:val="32"/>
          <w:lang w:val="en-US" w:eastAsia="zh-CN"/>
        </w:rPr>
        <w:t>57.42</w:t>
      </w:r>
      <w:r>
        <w:rPr>
          <w:rFonts w:hint="eastAsia"/>
          <w:color w:val="auto"/>
          <w:szCs w:val="32"/>
        </w:rPr>
        <w:t>万元。</w:t>
      </w:r>
    </w:p>
    <w:p w14:paraId="4DB64F39">
      <w:pPr>
        <w:numPr>
          <w:ilvl w:val="0"/>
          <w:numId w:val="2"/>
        </w:numPr>
        <w:shd w:val="solid" w:color="FFFFFF" w:fill="auto"/>
        <w:autoSpaceDN w:val="0"/>
        <w:adjustRightInd w:val="0"/>
        <w:spacing w:line="353" w:lineRule="auto"/>
        <w:ind w:firstLine="643" w:firstLineChars="200"/>
        <w:rPr>
          <w:b/>
          <w:bCs/>
          <w:color w:val="auto"/>
          <w:szCs w:val="32"/>
        </w:rPr>
      </w:pPr>
      <w:r>
        <w:rPr>
          <w:rFonts w:hint="eastAsia"/>
          <w:b/>
          <w:bCs/>
          <w:color w:val="auto"/>
          <w:szCs w:val="32"/>
        </w:rPr>
        <w:t>部门预算项目收入情况。</w:t>
      </w:r>
    </w:p>
    <w:p w14:paraId="48869772">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auto"/>
          <w:szCs w:val="32"/>
        </w:rPr>
        <w:t xml:space="preserve"> 202</w:t>
      </w:r>
      <w:r>
        <w:rPr>
          <w:rFonts w:hint="eastAsia"/>
          <w:color w:val="auto"/>
          <w:szCs w:val="32"/>
          <w:lang w:val="en-US" w:eastAsia="zh-CN"/>
        </w:rPr>
        <w:t>4</w:t>
      </w:r>
      <w:r>
        <w:rPr>
          <w:rFonts w:hint="eastAsia"/>
          <w:color w:val="auto"/>
          <w:szCs w:val="32"/>
        </w:rPr>
        <w:t>年预算项目安排共计</w:t>
      </w:r>
      <w:r>
        <w:rPr>
          <w:rFonts w:hint="eastAsia"/>
          <w:color w:val="auto"/>
          <w:szCs w:val="32"/>
          <w:lang w:val="en-US" w:eastAsia="zh-CN"/>
        </w:rPr>
        <w:t>1260.12</w:t>
      </w:r>
      <w:r>
        <w:rPr>
          <w:rFonts w:hint="eastAsia"/>
          <w:color w:val="auto"/>
          <w:szCs w:val="32"/>
        </w:rPr>
        <w:t>万元，其中：国家级慢性病综合防控示范区项目</w:t>
      </w:r>
      <w:r>
        <w:rPr>
          <w:rFonts w:hint="eastAsia"/>
          <w:color w:val="auto"/>
          <w:szCs w:val="32"/>
          <w:lang w:val="en-US" w:eastAsia="zh-CN"/>
        </w:rPr>
        <w:t>25</w:t>
      </w:r>
      <w:r>
        <w:rPr>
          <w:rFonts w:hint="eastAsia"/>
          <w:color w:val="auto"/>
          <w:szCs w:val="32"/>
        </w:rPr>
        <w:t>万元；传染病综合防治项目</w:t>
      </w:r>
      <w:r>
        <w:rPr>
          <w:rFonts w:hint="eastAsia"/>
          <w:color w:val="auto"/>
          <w:szCs w:val="32"/>
          <w:lang w:val="en-US" w:eastAsia="zh-CN"/>
        </w:rPr>
        <w:t>5</w:t>
      </w:r>
      <w:r>
        <w:rPr>
          <w:rFonts w:hint="eastAsia"/>
          <w:color w:val="auto"/>
          <w:szCs w:val="32"/>
        </w:rPr>
        <w:t>万元；免疫规划工作项目</w:t>
      </w:r>
      <w:r>
        <w:rPr>
          <w:rFonts w:hint="eastAsia"/>
          <w:color w:val="auto"/>
          <w:szCs w:val="32"/>
          <w:lang w:val="en-US" w:eastAsia="zh-CN"/>
        </w:rPr>
        <w:t>18</w:t>
      </w:r>
      <w:r>
        <w:rPr>
          <w:rFonts w:hint="eastAsia"/>
          <w:color w:val="auto"/>
          <w:szCs w:val="32"/>
        </w:rPr>
        <w:t>万元；实验室运转维护</w:t>
      </w:r>
      <w:r>
        <w:rPr>
          <w:rFonts w:hint="eastAsia"/>
          <w:color w:val="auto"/>
          <w:szCs w:val="32"/>
          <w:lang w:val="en-US" w:eastAsia="zh-CN"/>
        </w:rPr>
        <w:t>22</w:t>
      </w:r>
      <w:r>
        <w:rPr>
          <w:rFonts w:hint="eastAsia"/>
          <w:color w:val="auto"/>
          <w:szCs w:val="32"/>
        </w:rPr>
        <w:t>万元；从业人员体检</w:t>
      </w:r>
      <w:r>
        <w:rPr>
          <w:rFonts w:hint="eastAsia"/>
          <w:color w:val="auto"/>
          <w:szCs w:val="32"/>
          <w:lang w:val="en-US" w:eastAsia="zh-CN"/>
        </w:rPr>
        <w:t>30.8</w:t>
      </w:r>
      <w:r>
        <w:rPr>
          <w:rFonts w:hint="eastAsia"/>
          <w:color w:val="auto"/>
          <w:szCs w:val="32"/>
        </w:rPr>
        <w:t>万元；健康教育2.4万元；重大传染病（艾滋病、结核病）</w:t>
      </w:r>
      <w:r>
        <w:rPr>
          <w:rFonts w:hint="eastAsia"/>
          <w:color w:val="auto"/>
          <w:szCs w:val="32"/>
          <w:lang w:val="en-US" w:eastAsia="zh-CN"/>
        </w:rPr>
        <w:t>29.64</w:t>
      </w:r>
      <w:r>
        <w:rPr>
          <w:rFonts w:hint="eastAsia"/>
          <w:color w:val="auto"/>
          <w:szCs w:val="32"/>
        </w:rPr>
        <w:t>万元</w:t>
      </w:r>
      <w:r>
        <w:rPr>
          <w:rFonts w:hint="eastAsia"/>
          <w:color w:val="auto"/>
          <w:szCs w:val="32"/>
          <w:lang w:eastAsia="zh-CN"/>
        </w:rPr>
        <w:t>；</w:t>
      </w:r>
      <w:r>
        <w:rPr>
          <w:rFonts w:hint="eastAsia"/>
          <w:color w:val="auto"/>
          <w:szCs w:val="32"/>
          <w:lang w:val="en-US" w:eastAsia="zh-CN"/>
        </w:rPr>
        <w:t>新疾控大楼搬迁项目8万元；攀枝花市东区疾病预防控制中心和突发公共卫生事件指挥中心建设项目1000万元；新大楼食堂建设项目30万元；非免疫规划疫苗款89.28万元</w:t>
      </w:r>
      <w:r>
        <w:rPr>
          <w:rFonts w:hint="eastAsia"/>
          <w:color w:val="auto"/>
          <w:szCs w:val="32"/>
        </w:rPr>
        <w:t>。</w:t>
      </w:r>
    </w:p>
    <w:p w14:paraId="112ABCBC">
      <w:pPr>
        <w:widowControl/>
        <w:numPr>
          <w:ilvl w:val="0"/>
          <w:numId w:val="3"/>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部门财政资金支出情况。</w:t>
      </w:r>
    </w:p>
    <w:p w14:paraId="61957CFA">
      <w:pPr>
        <w:widowControl/>
        <w:numPr>
          <w:ilvl w:val="0"/>
          <w:numId w:val="4"/>
        </w:numPr>
        <w:adjustRightInd w:val="0"/>
        <w:snapToGrid w:val="0"/>
        <w:spacing w:line="580" w:lineRule="exact"/>
        <w:ind w:firstLine="643" w:firstLineChars="200"/>
        <w:contextualSpacing/>
        <w:jc w:val="left"/>
        <w:rPr>
          <w:b/>
          <w:bCs/>
          <w:color w:val="auto"/>
          <w:szCs w:val="32"/>
        </w:rPr>
      </w:pPr>
      <w:r>
        <w:rPr>
          <w:rFonts w:hint="eastAsia"/>
          <w:b/>
          <w:bCs/>
          <w:color w:val="auto"/>
          <w:szCs w:val="32"/>
        </w:rPr>
        <w:t>基本支出使用情况</w:t>
      </w:r>
    </w:p>
    <w:p w14:paraId="396A2ED4">
      <w:pPr>
        <w:shd w:val="solid" w:color="FFFFFF" w:fill="auto"/>
        <w:autoSpaceDN w:val="0"/>
        <w:adjustRightInd w:val="0"/>
        <w:spacing w:line="353" w:lineRule="auto"/>
        <w:ind w:firstLine="640" w:firstLineChars="200"/>
        <w:rPr>
          <w:color w:val="auto"/>
          <w:szCs w:val="32"/>
        </w:rPr>
      </w:pPr>
      <w:r>
        <w:rPr>
          <w:rFonts w:hint="eastAsia"/>
          <w:color w:val="auto"/>
          <w:szCs w:val="32"/>
        </w:rPr>
        <w:t>202</w:t>
      </w:r>
      <w:r>
        <w:rPr>
          <w:rFonts w:hint="eastAsia"/>
          <w:color w:val="auto"/>
          <w:szCs w:val="32"/>
          <w:lang w:val="en-US" w:eastAsia="zh-CN"/>
        </w:rPr>
        <w:t>4</w:t>
      </w:r>
      <w:r>
        <w:rPr>
          <w:rFonts w:hint="eastAsia"/>
          <w:color w:val="auto"/>
          <w:szCs w:val="32"/>
        </w:rPr>
        <w:t>年1-12月基本支出共计使用</w:t>
      </w:r>
      <w:r>
        <w:rPr>
          <w:rFonts w:hint="eastAsia"/>
          <w:color w:val="auto"/>
          <w:szCs w:val="32"/>
          <w:lang w:val="en-US" w:eastAsia="zh-CN"/>
        </w:rPr>
        <w:t>781.22</w:t>
      </w:r>
      <w:r>
        <w:rPr>
          <w:rFonts w:hint="eastAsia"/>
          <w:color w:val="auto"/>
          <w:szCs w:val="32"/>
        </w:rPr>
        <w:t>万元，其中:</w:t>
      </w:r>
      <w:r>
        <w:rPr>
          <w:rFonts w:hint="eastAsia"/>
          <w:color w:val="auto"/>
          <w:szCs w:val="32"/>
          <w:lang w:val="en-US" w:eastAsia="zh-CN"/>
        </w:rPr>
        <w:t>人员类</w:t>
      </w:r>
      <w:r>
        <w:rPr>
          <w:rFonts w:hint="eastAsia"/>
          <w:color w:val="auto"/>
          <w:szCs w:val="32"/>
        </w:rPr>
        <w:t>支出</w:t>
      </w:r>
      <w:r>
        <w:rPr>
          <w:rFonts w:hint="eastAsia"/>
          <w:color w:val="auto"/>
          <w:szCs w:val="32"/>
          <w:lang w:val="en-US" w:eastAsia="zh-CN"/>
        </w:rPr>
        <w:t>739.11</w:t>
      </w:r>
      <w:r>
        <w:rPr>
          <w:rFonts w:hint="eastAsia"/>
          <w:color w:val="auto"/>
          <w:szCs w:val="32"/>
        </w:rPr>
        <w:t>万元，</w:t>
      </w:r>
      <w:r>
        <w:rPr>
          <w:rFonts w:hint="eastAsia"/>
          <w:color w:val="auto"/>
          <w:szCs w:val="32"/>
          <w:lang w:val="en-US" w:eastAsia="zh-CN"/>
        </w:rPr>
        <w:t>运转类</w:t>
      </w:r>
      <w:r>
        <w:rPr>
          <w:rFonts w:hint="eastAsia"/>
          <w:color w:val="auto"/>
          <w:szCs w:val="32"/>
        </w:rPr>
        <w:t>支出</w:t>
      </w:r>
      <w:r>
        <w:rPr>
          <w:rFonts w:hint="eastAsia"/>
          <w:color w:val="auto"/>
          <w:szCs w:val="32"/>
          <w:lang w:val="en-US" w:eastAsia="zh-CN"/>
        </w:rPr>
        <w:t>42.11</w:t>
      </w:r>
      <w:r>
        <w:rPr>
          <w:rFonts w:hint="eastAsia"/>
          <w:color w:val="auto"/>
          <w:szCs w:val="32"/>
        </w:rPr>
        <w:t>万元。</w:t>
      </w:r>
    </w:p>
    <w:p w14:paraId="553B20E9">
      <w:pPr>
        <w:shd w:val="solid" w:color="FFFFFF" w:fill="auto"/>
        <w:autoSpaceDN w:val="0"/>
        <w:adjustRightInd w:val="0"/>
        <w:spacing w:line="353" w:lineRule="auto"/>
        <w:ind w:firstLine="640" w:firstLineChars="200"/>
        <w:rPr>
          <w:color w:val="auto"/>
          <w:szCs w:val="32"/>
        </w:rPr>
      </w:pPr>
      <w:r>
        <w:rPr>
          <w:rFonts w:hint="eastAsia"/>
          <w:color w:val="auto"/>
          <w:szCs w:val="32"/>
        </w:rPr>
        <w:t>2.</w:t>
      </w:r>
      <w:r>
        <w:rPr>
          <w:rFonts w:hint="eastAsia"/>
          <w:b/>
          <w:bCs/>
          <w:color w:val="auto"/>
          <w:szCs w:val="32"/>
        </w:rPr>
        <w:t>部门预算项目使用情况</w:t>
      </w:r>
    </w:p>
    <w:p w14:paraId="7DE91BBB">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auto"/>
          <w:szCs w:val="32"/>
        </w:rPr>
        <w:t>202</w:t>
      </w:r>
      <w:r>
        <w:rPr>
          <w:rFonts w:hint="eastAsia"/>
          <w:color w:val="auto"/>
          <w:szCs w:val="32"/>
          <w:lang w:val="en-US" w:eastAsia="zh-CN"/>
        </w:rPr>
        <w:t>4</w:t>
      </w:r>
      <w:r>
        <w:rPr>
          <w:rFonts w:hint="eastAsia"/>
          <w:color w:val="auto"/>
          <w:szCs w:val="32"/>
        </w:rPr>
        <w:t>年项目共计支出</w:t>
      </w:r>
      <w:r>
        <w:rPr>
          <w:rFonts w:hint="eastAsia"/>
          <w:color w:val="auto"/>
          <w:szCs w:val="32"/>
          <w:lang w:val="en-US" w:eastAsia="zh-CN"/>
        </w:rPr>
        <w:t>243.38</w:t>
      </w:r>
      <w:r>
        <w:rPr>
          <w:rFonts w:hint="eastAsia"/>
          <w:color w:val="auto"/>
          <w:szCs w:val="32"/>
        </w:rPr>
        <w:t>万元，其中：国家级慢性病综合防控示范区项目</w:t>
      </w:r>
      <w:r>
        <w:rPr>
          <w:rFonts w:hint="eastAsia"/>
          <w:color w:val="auto"/>
          <w:szCs w:val="32"/>
          <w:lang w:val="en-US" w:eastAsia="zh-CN"/>
        </w:rPr>
        <w:t>19.55</w:t>
      </w:r>
      <w:r>
        <w:rPr>
          <w:rFonts w:hint="eastAsia"/>
          <w:color w:val="auto"/>
          <w:szCs w:val="32"/>
        </w:rPr>
        <w:t>万元；传染病综合防治项目</w:t>
      </w:r>
      <w:r>
        <w:rPr>
          <w:rFonts w:hint="eastAsia"/>
          <w:color w:val="auto"/>
          <w:szCs w:val="32"/>
          <w:lang w:val="en-US" w:eastAsia="zh-CN"/>
        </w:rPr>
        <w:t>2.74</w:t>
      </w:r>
      <w:r>
        <w:rPr>
          <w:rFonts w:hint="eastAsia"/>
          <w:color w:val="auto"/>
          <w:szCs w:val="32"/>
        </w:rPr>
        <w:t>万元；免疫规划工作项目</w:t>
      </w:r>
      <w:r>
        <w:rPr>
          <w:rFonts w:hint="eastAsia"/>
          <w:color w:val="auto"/>
          <w:szCs w:val="32"/>
          <w:lang w:val="en-US" w:eastAsia="zh-CN"/>
        </w:rPr>
        <w:t>15.38</w:t>
      </w:r>
      <w:r>
        <w:rPr>
          <w:rFonts w:hint="eastAsia"/>
          <w:color w:val="auto"/>
          <w:szCs w:val="32"/>
        </w:rPr>
        <w:t>万元；实验室运转维护</w:t>
      </w:r>
      <w:r>
        <w:rPr>
          <w:rFonts w:hint="eastAsia"/>
          <w:color w:val="auto"/>
          <w:szCs w:val="32"/>
          <w:lang w:val="en-US" w:eastAsia="zh-CN"/>
        </w:rPr>
        <w:t>21.2</w:t>
      </w:r>
      <w:r>
        <w:rPr>
          <w:rFonts w:hint="eastAsia"/>
          <w:color w:val="auto"/>
          <w:szCs w:val="32"/>
        </w:rPr>
        <w:t>万元；从业人员体检</w:t>
      </w:r>
      <w:r>
        <w:rPr>
          <w:rFonts w:hint="eastAsia"/>
          <w:color w:val="auto"/>
          <w:szCs w:val="32"/>
          <w:lang w:val="en-US" w:eastAsia="zh-CN"/>
        </w:rPr>
        <w:t>29.43</w:t>
      </w:r>
      <w:r>
        <w:rPr>
          <w:rFonts w:hint="eastAsia"/>
          <w:color w:val="auto"/>
          <w:szCs w:val="32"/>
        </w:rPr>
        <w:t>万元；健康教育</w:t>
      </w:r>
      <w:r>
        <w:rPr>
          <w:rFonts w:hint="eastAsia"/>
          <w:color w:val="auto"/>
          <w:szCs w:val="32"/>
          <w:lang w:val="en-US" w:eastAsia="zh-CN"/>
        </w:rPr>
        <w:t>0.96</w:t>
      </w:r>
      <w:r>
        <w:rPr>
          <w:rFonts w:hint="eastAsia"/>
          <w:color w:val="auto"/>
          <w:szCs w:val="32"/>
        </w:rPr>
        <w:t>万元；重大传染病（艾滋病、结核病）</w:t>
      </w:r>
      <w:r>
        <w:rPr>
          <w:rFonts w:hint="eastAsia"/>
          <w:color w:val="auto"/>
          <w:szCs w:val="32"/>
          <w:lang w:val="en-US" w:eastAsia="zh-CN"/>
        </w:rPr>
        <w:t>27.32</w:t>
      </w:r>
      <w:r>
        <w:rPr>
          <w:rFonts w:hint="eastAsia"/>
          <w:color w:val="auto"/>
          <w:szCs w:val="32"/>
        </w:rPr>
        <w:t>万元</w:t>
      </w:r>
      <w:r>
        <w:rPr>
          <w:rFonts w:hint="eastAsia"/>
          <w:color w:val="auto"/>
          <w:szCs w:val="32"/>
          <w:lang w:eastAsia="zh-CN"/>
        </w:rPr>
        <w:t>；</w:t>
      </w:r>
      <w:r>
        <w:rPr>
          <w:rFonts w:hint="eastAsia"/>
          <w:color w:val="auto"/>
          <w:szCs w:val="32"/>
          <w:lang w:val="en-US" w:eastAsia="zh-CN"/>
        </w:rPr>
        <w:t>新疾控大楼搬迁项目8万元；攀枝花市东区疾病预防控制中心和突发公共卫生事件指挥中心建设项目1.11万元；新大楼食堂建设项目28.41万元；非免疫规划疫苗款89.28万元</w:t>
      </w:r>
      <w:r>
        <w:rPr>
          <w:rFonts w:hint="eastAsia"/>
          <w:color w:val="auto"/>
          <w:szCs w:val="32"/>
        </w:rPr>
        <w:t>。</w:t>
      </w:r>
    </w:p>
    <w:p w14:paraId="0778924E">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三、部门预算整体绩效管理情况</w:t>
      </w:r>
    </w:p>
    <w:p w14:paraId="788DD91D">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（一）绩效管理。</w:t>
      </w:r>
    </w:p>
    <w:p w14:paraId="7E83E75B">
      <w:pPr>
        <w:widowControl/>
        <w:adjustRightInd w:val="0"/>
        <w:snapToGrid w:val="0"/>
        <w:spacing w:line="580" w:lineRule="exact"/>
        <w:ind w:firstLine="640" w:firstLineChars="200"/>
        <w:contextualSpacing/>
        <w:jc w:val="left"/>
        <w:rPr>
          <w:color w:val="000000"/>
          <w:kern w:val="0"/>
          <w:szCs w:val="32"/>
          <w:shd w:val="clear" w:color="auto" w:fill="FFFFFF"/>
        </w:rPr>
      </w:pPr>
      <w:r>
        <w:rPr>
          <w:rFonts w:hint="eastAsia"/>
          <w:color w:val="000000"/>
          <w:kern w:val="0"/>
          <w:szCs w:val="32"/>
          <w:shd w:val="clear" w:color="auto" w:fill="FFFFFF"/>
        </w:rPr>
        <w:t>1、中心在编制202</w:t>
      </w:r>
      <w:r>
        <w:rPr>
          <w:rFonts w:hint="eastAsia"/>
          <w:color w:val="000000"/>
          <w:kern w:val="0"/>
          <w:szCs w:val="32"/>
          <w:shd w:val="clear" w:color="auto" w:fill="FFFFFF"/>
          <w:lang w:val="en-US" w:eastAsia="zh-CN"/>
        </w:rPr>
        <w:t>4</w:t>
      </w:r>
      <w:r>
        <w:rPr>
          <w:rFonts w:hint="eastAsia"/>
          <w:color w:val="000000"/>
          <w:kern w:val="0"/>
          <w:szCs w:val="32"/>
          <w:shd w:val="clear" w:color="auto" w:fill="FFFFFF"/>
        </w:rPr>
        <w:t>年部门预算的同时制定了要素完整、指标细化的绩效指标。</w:t>
      </w:r>
    </w:p>
    <w:p w14:paraId="51D423AF">
      <w:pPr>
        <w:widowControl/>
        <w:adjustRightInd w:val="0"/>
        <w:snapToGrid w:val="0"/>
        <w:spacing w:line="580" w:lineRule="exact"/>
        <w:ind w:firstLine="640" w:firstLineChars="200"/>
        <w:contextualSpacing/>
        <w:jc w:val="left"/>
        <w:rPr>
          <w:szCs w:val="32"/>
        </w:rPr>
      </w:pPr>
      <w:r>
        <w:rPr>
          <w:rFonts w:hint="eastAsia"/>
          <w:color w:val="000000"/>
          <w:kern w:val="0"/>
          <w:szCs w:val="32"/>
          <w:shd w:val="clear" w:color="auto" w:fill="FFFFFF"/>
        </w:rPr>
        <w:t>2、中心为职工按时缴纳各项保险、公积金费用，准确核定发放人员工资奖金，使中心工作正常开展</w:t>
      </w:r>
      <w:r>
        <w:rPr>
          <w:rFonts w:hint="eastAsia"/>
          <w:color w:val="000000"/>
          <w:kern w:val="0"/>
          <w:szCs w:val="32"/>
          <w:shd w:val="clear" w:color="auto" w:fill="FFFFFF"/>
          <w:lang w:eastAsia="zh-CN"/>
        </w:rPr>
        <w:t>。</w:t>
      </w:r>
      <w:r>
        <w:rPr>
          <w:rFonts w:hint="eastAsia"/>
          <w:szCs w:val="32"/>
        </w:rPr>
        <w:t>202</w:t>
      </w:r>
      <w:r>
        <w:rPr>
          <w:rFonts w:hint="eastAsia"/>
          <w:szCs w:val="32"/>
          <w:lang w:val="en-US" w:eastAsia="zh-CN"/>
        </w:rPr>
        <w:t>4</w:t>
      </w:r>
      <w:r>
        <w:rPr>
          <w:rFonts w:hint="eastAsia"/>
          <w:szCs w:val="32"/>
        </w:rPr>
        <w:t>年中心加强疾病预防控制能力，传染病、艾滋病、结核病、慢性病和地方病防治能力得以提升，免疫规划、健康教育、公共卫生、检验检测等水平有明显提高。</w:t>
      </w:r>
    </w:p>
    <w:p w14:paraId="1A4621F1">
      <w:pPr>
        <w:widowControl/>
        <w:adjustRightInd w:val="0"/>
        <w:snapToGrid w:val="0"/>
        <w:spacing w:line="580" w:lineRule="exact"/>
        <w:ind w:firstLine="640" w:firstLineChars="200"/>
        <w:contextualSpacing/>
        <w:jc w:val="left"/>
        <w:rPr>
          <w:szCs w:val="32"/>
        </w:rPr>
      </w:pPr>
      <w:r>
        <w:rPr>
          <w:rFonts w:hint="eastAsia"/>
          <w:szCs w:val="32"/>
        </w:rPr>
        <w:t>3、中心严格控制公用经费开支，均在预算范围内使用经费，没有出现超支情况。</w:t>
      </w:r>
    </w:p>
    <w:p w14:paraId="6C5C9A0E">
      <w:pPr>
        <w:widowControl/>
        <w:adjustRightInd w:val="0"/>
        <w:snapToGrid w:val="0"/>
        <w:spacing w:line="580" w:lineRule="exact"/>
        <w:ind w:firstLine="640" w:firstLineChars="200"/>
        <w:contextualSpacing/>
        <w:jc w:val="left"/>
        <w:rPr>
          <w:szCs w:val="32"/>
        </w:rPr>
      </w:pPr>
      <w:r>
        <w:rPr>
          <w:rFonts w:hint="eastAsia"/>
          <w:szCs w:val="32"/>
        </w:rPr>
        <w:t>4、中心在</w:t>
      </w:r>
      <w:r>
        <w:rPr>
          <w:rFonts w:hint="eastAsia"/>
          <w:szCs w:val="32"/>
          <w:lang w:eastAsia="zh-CN"/>
        </w:rPr>
        <w:t>（</w:t>
      </w:r>
      <w:r>
        <w:rPr>
          <w:rFonts w:hint="eastAsia"/>
          <w:szCs w:val="32"/>
          <w:lang w:val="en-US" w:eastAsia="zh-CN"/>
        </w:rPr>
        <w:t>除建设项目外</w:t>
      </w:r>
      <w:r>
        <w:rPr>
          <w:rFonts w:hint="eastAsia"/>
          <w:szCs w:val="32"/>
          <w:lang w:eastAsia="zh-CN"/>
        </w:rPr>
        <w:t>）</w:t>
      </w:r>
      <w:r>
        <w:rPr>
          <w:rFonts w:hint="eastAsia"/>
          <w:szCs w:val="32"/>
        </w:rPr>
        <w:t>开展绩效监控工作中未出现部门预算项目或专项预算项目绩效目标实现存在偏差的问题。</w:t>
      </w:r>
    </w:p>
    <w:p w14:paraId="2FDC914B">
      <w:pPr>
        <w:widowControl/>
        <w:adjustRightInd w:val="0"/>
        <w:snapToGrid w:val="0"/>
        <w:spacing w:line="580" w:lineRule="exact"/>
        <w:ind w:firstLine="640" w:firstLineChars="200"/>
        <w:contextualSpacing/>
        <w:jc w:val="left"/>
        <w:rPr>
          <w:rFonts w:hint="default" w:eastAsia="仿宋_GB2312"/>
          <w:szCs w:val="32"/>
          <w:lang w:val="en-US" w:eastAsia="zh-CN"/>
        </w:rPr>
      </w:pPr>
      <w:r>
        <w:rPr>
          <w:rFonts w:hint="eastAsia"/>
          <w:szCs w:val="32"/>
          <w:lang w:val="en-US" w:eastAsia="zh-CN"/>
        </w:rPr>
        <w:t>5</w:t>
      </w:r>
      <w:r>
        <w:rPr>
          <w:rFonts w:hint="eastAsia"/>
          <w:szCs w:val="32"/>
        </w:rPr>
        <w:t>、中心</w:t>
      </w:r>
      <w:r>
        <w:rPr>
          <w:rFonts w:hint="eastAsia"/>
          <w:szCs w:val="32"/>
          <w:lang w:val="en-US" w:eastAsia="zh-CN"/>
        </w:rPr>
        <w:t>部门</w:t>
      </w:r>
      <w:r>
        <w:rPr>
          <w:rFonts w:hint="eastAsia"/>
          <w:szCs w:val="32"/>
        </w:rPr>
        <w:t>预算项目</w:t>
      </w:r>
      <w:r>
        <w:rPr>
          <w:rFonts w:hint="eastAsia"/>
          <w:szCs w:val="32"/>
          <w:lang w:val="en-US" w:eastAsia="zh-CN"/>
        </w:rPr>
        <w:t>截止</w:t>
      </w:r>
      <w:r>
        <w:rPr>
          <w:rFonts w:hint="eastAsia"/>
          <w:szCs w:val="32"/>
        </w:rPr>
        <w:t>12月支出</w:t>
      </w:r>
      <w:r>
        <w:rPr>
          <w:rFonts w:hint="eastAsia"/>
          <w:szCs w:val="32"/>
          <w:lang w:val="en-US" w:eastAsia="zh-CN"/>
        </w:rPr>
        <w:t>243.38</w:t>
      </w:r>
      <w:r>
        <w:rPr>
          <w:rFonts w:hint="eastAsia"/>
          <w:szCs w:val="32"/>
        </w:rPr>
        <w:t>万元，执行进度</w:t>
      </w:r>
      <w:r>
        <w:rPr>
          <w:rFonts w:hint="eastAsia"/>
          <w:szCs w:val="32"/>
          <w:lang w:val="en-US" w:eastAsia="zh-CN"/>
        </w:rPr>
        <w:t>为19</w:t>
      </w:r>
      <w:r>
        <w:rPr>
          <w:rFonts w:hint="eastAsia"/>
          <w:szCs w:val="32"/>
        </w:rPr>
        <w:t>%</w:t>
      </w:r>
      <w:r>
        <w:rPr>
          <w:rFonts w:hint="eastAsia"/>
          <w:szCs w:val="32"/>
          <w:lang w:eastAsia="zh-CN"/>
        </w:rPr>
        <w:t>。</w:t>
      </w:r>
      <w:r>
        <w:rPr>
          <w:rFonts w:hint="eastAsia"/>
          <w:szCs w:val="32"/>
          <w:highlight w:val="none"/>
        </w:rPr>
        <w:t>执行进度</w:t>
      </w:r>
      <w:r>
        <w:rPr>
          <w:rFonts w:hint="eastAsia"/>
          <w:szCs w:val="32"/>
          <w:highlight w:val="none"/>
          <w:lang w:val="en-US" w:eastAsia="zh-CN"/>
        </w:rPr>
        <w:t>较低的原因主要为</w:t>
      </w:r>
      <w:r>
        <w:rPr>
          <w:rFonts w:hint="eastAsia"/>
          <w:color w:val="auto"/>
          <w:szCs w:val="32"/>
          <w:lang w:val="en-US" w:eastAsia="zh-CN"/>
        </w:rPr>
        <w:t>攀枝花市东区疾病预防控制中心和突发公共卫生事件指挥中心建设项目年初预算1000万元，按照结算进度仅支付1.11万元</w:t>
      </w:r>
      <w:r>
        <w:rPr>
          <w:rFonts w:hint="eastAsia"/>
          <w:szCs w:val="32"/>
          <w:lang w:eastAsia="zh-CN"/>
        </w:rPr>
        <w:t>；</w:t>
      </w:r>
      <w:r>
        <w:rPr>
          <w:rFonts w:hint="eastAsia"/>
          <w:szCs w:val="32"/>
          <w:lang w:val="en-US" w:eastAsia="zh-CN"/>
        </w:rPr>
        <w:t>若扣除建设项目，</w:t>
      </w:r>
      <w:r>
        <w:rPr>
          <w:rFonts w:hint="eastAsia"/>
          <w:szCs w:val="32"/>
          <w:highlight w:val="none"/>
          <w:lang w:val="en-US" w:eastAsia="zh-CN"/>
        </w:rPr>
        <w:t>其他</w:t>
      </w:r>
      <w:r>
        <w:rPr>
          <w:rFonts w:hint="eastAsia"/>
          <w:szCs w:val="32"/>
          <w:lang w:val="en-US" w:eastAsia="zh-CN"/>
        </w:rPr>
        <w:t>项目执行进度为93.13%。</w:t>
      </w:r>
    </w:p>
    <w:p w14:paraId="56A38317">
      <w:pPr>
        <w:widowControl/>
        <w:adjustRightInd w:val="0"/>
        <w:snapToGrid w:val="0"/>
        <w:spacing w:line="580" w:lineRule="exact"/>
        <w:ind w:firstLine="640" w:firstLineChars="200"/>
        <w:contextualSpacing/>
        <w:jc w:val="left"/>
        <w:rPr>
          <w:szCs w:val="32"/>
        </w:rPr>
      </w:pPr>
      <w:r>
        <w:rPr>
          <w:rFonts w:hint="eastAsia"/>
          <w:szCs w:val="32"/>
          <w:lang w:val="en-US" w:eastAsia="zh-CN"/>
        </w:rPr>
        <w:t>6</w:t>
      </w:r>
      <w:r>
        <w:rPr>
          <w:rFonts w:hint="eastAsia"/>
          <w:szCs w:val="32"/>
        </w:rPr>
        <w:t>、中心</w:t>
      </w:r>
      <w:r>
        <w:rPr>
          <w:rFonts w:hint="eastAsia"/>
          <w:szCs w:val="32"/>
          <w:lang w:val="en-US" w:eastAsia="zh-CN"/>
        </w:rPr>
        <w:t>11</w:t>
      </w:r>
      <w:r>
        <w:rPr>
          <w:rFonts w:hint="eastAsia"/>
          <w:szCs w:val="32"/>
        </w:rPr>
        <w:t>个预算项目中，</w:t>
      </w:r>
      <w:r>
        <w:rPr>
          <w:rFonts w:hint="eastAsia"/>
          <w:szCs w:val="32"/>
          <w:lang w:val="en-US" w:eastAsia="zh-CN"/>
        </w:rPr>
        <w:t>6</w:t>
      </w:r>
      <w:r>
        <w:rPr>
          <w:rFonts w:hint="eastAsia"/>
          <w:szCs w:val="32"/>
        </w:rPr>
        <w:t>个项目的结余率小于0.1，</w:t>
      </w:r>
      <w:r>
        <w:rPr>
          <w:rFonts w:hint="eastAsia"/>
          <w:szCs w:val="32"/>
          <w:highlight w:val="none"/>
          <w:lang w:val="en-US" w:eastAsia="zh-CN"/>
        </w:rPr>
        <w:t>2个</w:t>
      </w:r>
      <w:r>
        <w:rPr>
          <w:rFonts w:hint="eastAsia"/>
          <w:szCs w:val="32"/>
        </w:rPr>
        <w:t>项目的结余率小于0.2。</w:t>
      </w:r>
    </w:p>
    <w:p w14:paraId="1396EBED">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szCs w:val="32"/>
          <w:lang w:val="en-US" w:eastAsia="zh-CN"/>
        </w:rPr>
        <w:t>7</w:t>
      </w:r>
      <w:r>
        <w:rPr>
          <w:rFonts w:hint="eastAsia"/>
          <w:szCs w:val="32"/>
        </w:rPr>
        <w:t>、</w:t>
      </w:r>
      <w:r>
        <w:rPr>
          <w:rFonts w:hint="eastAsia"/>
          <w:szCs w:val="32"/>
          <w:highlight w:val="none"/>
        </w:rPr>
        <w:t>中心</w:t>
      </w:r>
      <w:r>
        <w:rPr>
          <w:rFonts w:hint="eastAsia"/>
          <w:szCs w:val="32"/>
        </w:rPr>
        <w:t>不存在预算管理不合规的情况。</w:t>
      </w:r>
    </w:p>
    <w:p w14:paraId="10E37491">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（二）绩效结果应用情况。</w:t>
      </w:r>
    </w:p>
    <w:p w14:paraId="12691491">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rPr>
        <w:t>中心按要求将部门整体绩效自评情况在门户网站向社会公开，并每季度对各股室资金使用检查，根据绩效评价的结果及时督促股室合理、合规使用资金</w:t>
      </w:r>
      <w:r>
        <w:rPr>
          <w:rFonts w:hint="eastAsia"/>
          <w:color w:val="000000"/>
          <w:kern w:val="0"/>
          <w:szCs w:val="32"/>
          <w:shd w:val="clear" w:color="auto" w:fill="FFFFFF"/>
          <w:lang w:eastAsia="zh-CN"/>
        </w:rPr>
        <w:t>，</w:t>
      </w:r>
      <w:r>
        <w:rPr>
          <w:rFonts w:hint="eastAsia"/>
          <w:color w:val="000000"/>
          <w:kern w:val="0"/>
          <w:szCs w:val="32"/>
          <w:shd w:val="clear" w:color="auto" w:fill="FFFFFF"/>
          <w:lang w:val="en-US" w:eastAsia="zh-CN"/>
        </w:rPr>
        <w:t>并合理调整下一年度预算指标，使预算更符合中心工作开展</w:t>
      </w:r>
      <w:r>
        <w:rPr>
          <w:rFonts w:hint="eastAsia"/>
          <w:color w:val="000000"/>
          <w:kern w:val="0"/>
          <w:szCs w:val="32"/>
          <w:shd w:val="clear" w:color="auto" w:fill="FFFFFF"/>
        </w:rPr>
        <w:t>。</w:t>
      </w:r>
    </w:p>
    <w:p w14:paraId="47AA74C7">
      <w:pPr>
        <w:widowControl/>
        <w:numPr>
          <w:ilvl w:val="0"/>
          <w:numId w:val="3"/>
        </w:numPr>
        <w:adjustRightInd w:val="0"/>
        <w:snapToGrid w:val="0"/>
        <w:spacing w:line="580" w:lineRule="exact"/>
        <w:ind w:left="0" w:leftChars="0"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绩效自评质量。</w:t>
      </w:r>
    </w:p>
    <w:p w14:paraId="7629D2FC">
      <w:pPr>
        <w:widowControl/>
        <w:numPr>
          <w:ilvl w:val="0"/>
          <w:numId w:val="0"/>
        </w:numPr>
        <w:adjustRightInd w:val="0"/>
        <w:snapToGrid w:val="0"/>
        <w:spacing w:line="580" w:lineRule="exact"/>
        <w:ind w:firstLine="320" w:firstLineChars="100"/>
        <w:contextualSpacing/>
        <w:jc w:val="left"/>
        <w:rPr>
          <w:color w:val="000000"/>
          <w:kern w:val="0"/>
          <w:szCs w:val="32"/>
          <w:shd w:val="clear" w:color="auto" w:fill="FFFFFF"/>
        </w:rPr>
      </w:pPr>
      <w:r>
        <w:rPr>
          <w:color w:val="000000"/>
          <w:kern w:val="0"/>
          <w:szCs w:val="32"/>
          <w:shd w:val="clear" w:color="auto" w:fill="FFFFFF"/>
        </w:rPr>
        <w:t xml:space="preserve"> </w:t>
      </w:r>
      <w:r>
        <w:rPr>
          <w:rFonts w:hint="eastAsia"/>
          <w:color w:val="000000"/>
          <w:kern w:val="0"/>
          <w:szCs w:val="32"/>
          <w:shd w:val="clear" w:color="auto" w:fill="FFFFFF"/>
        </w:rPr>
        <w:t>我中心部门整体支出自评准确率较高</w:t>
      </w:r>
      <w:r>
        <w:rPr>
          <w:color w:val="000000"/>
          <w:kern w:val="0"/>
          <w:szCs w:val="32"/>
          <w:shd w:val="clear" w:color="auto" w:fill="FFFFFF"/>
        </w:rPr>
        <w:t>。</w:t>
      </w:r>
    </w:p>
    <w:p w14:paraId="2EE3A6E8">
      <w:pPr>
        <w:widowControl/>
        <w:adjustRightInd w:val="0"/>
        <w:snapToGrid w:val="0"/>
        <w:spacing w:line="580" w:lineRule="exact"/>
        <w:ind w:firstLine="640" w:firstLineChars="200"/>
        <w:contextualSpacing/>
        <w:jc w:val="left"/>
        <w:rPr>
          <w:rFonts w:hint="eastAsia" w:eastAsia="黑体"/>
          <w:color w:val="000000"/>
          <w:kern w:val="0"/>
          <w:szCs w:val="32"/>
          <w:shd w:val="clear" w:color="auto" w:fill="FFFFFF"/>
          <w:lang w:eastAsia="zh-CN"/>
        </w:rPr>
      </w:pPr>
      <w:r>
        <w:rPr>
          <w:rFonts w:eastAsia="黑体"/>
          <w:color w:val="000000"/>
          <w:kern w:val="0"/>
          <w:szCs w:val="32"/>
          <w:shd w:val="clear" w:color="auto" w:fill="FFFFFF"/>
        </w:rPr>
        <w:t>四、评价结论及</w:t>
      </w:r>
    </w:p>
    <w:p w14:paraId="0B973C47">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（一）评价结论。</w:t>
      </w:r>
    </w:p>
    <w:p w14:paraId="152F4BC8">
      <w:pPr>
        <w:shd w:val="solid" w:color="FFFFFF" w:fill="auto"/>
        <w:autoSpaceDN w:val="0"/>
        <w:adjustRightInd w:val="0"/>
        <w:spacing w:line="353" w:lineRule="auto"/>
        <w:ind w:firstLine="640" w:firstLineChars="200"/>
        <w:rPr>
          <w:rFonts w:hint="eastAsia" w:ascii="楷体_GB2312" w:hAnsi="楷体_GB2312" w:eastAsia="楷体_GB2312" w:cs="楷体_GB2312"/>
          <w:color w:val="000000"/>
          <w:kern w:val="0"/>
          <w:szCs w:val="32"/>
          <w:shd w:val="clear" w:color="auto" w:fill="FFFFFF"/>
          <w:lang w:val="zh-CN"/>
        </w:rPr>
      </w:pPr>
      <w:r>
        <w:rPr>
          <w:rFonts w:hint="eastAsia"/>
          <w:szCs w:val="32"/>
        </w:rPr>
        <w:t>我中心严格按照预算要求管理和使用资金，确保了财政资金专款专用，切实提高资金使用效益。在具体工作中，加强财政资金支出管理，严格执行各项财务制度规定，切实抓好经费保障和财会管理等工作。</w:t>
      </w:r>
    </w:p>
    <w:p w14:paraId="7E989064">
      <w:pPr>
        <w:widowControl/>
        <w:numPr>
          <w:ilvl w:val="0"/>
          <w:numId w:val="5"/>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存在问题。</w:t>
      </w:r>
    </w:p>
    <w:p w14:paraId="276140DD">
      <w:pPr>
        <w:widowControl/>
        <w:numPr>
          <w:ilvl w:val="0"/>
          <w:numId w:val="0"/>
        </w:numPr>
        <w:adjustRightInd w:val="0"/>
        <w:snapToGrid w:val="0"/>
        <w:spacing w:line="580" w:lineRule="exact"/>
        <w:contextualSpacing/>
        <w:jc w:val="left"/>
        <w:rPr>
          <w:rFonts w:hint="default" w:ascii="楷体_GB2312" w:hAnsi="楷体_GB2312" w:eastAsia="楷体_GB2312" w:cs="楷体_GB2312"/>
          <w:color w:val="000000"/>
          <w:kern w:val="0"/>
          <w:szCs w:val="32"/>
          <w:shd w:val="clear" w:color="auto" w:fill="FFFFFF"/>
          <w:lang w:val="en-US" w:eastAsia="zh-CN"/>
        </w:rPr>
      </w:pPr>
      <w:r>
        <w:rPr>
          <w:rFonts w:hint="eastAsia" w:ascii="楷体_GB2312" w:hAnsi="楷体_GB2312" w:eastAsia="楷体_GB2312" w:cs="楷体_GB2312"/>
          <w:color w:val="000000"/>
          <w:kern w:val="0"/>
          <w:szCs w:val="32"/>
          <w:shd w:val="clear" w:color="auto" w:fill="FFFFFF"/>
          <w:lang w:val="en-US" w:eastAsia="zh-CN"/>
        </w:rPr>
        <w:t xml:space="preserve">    2024年度</w:t>
      </w:r>
      <w:r>
        <w:rPr>
          <w:rFonts w:hint="eastAsia"/>
          <w:color w:val="auto"/>
          <w:szCs w:val="32"/>
          <w:lang w:val="en-US" w:eastAsia="zh-CN"/>
        </w:rPr>
        <w:t>攀枝花市东区疾病预防控制中心和突发公共卫生事件指挥中心建设项目预算指标1000万元，该预算根据上一年度工程款支付情况及该项目完成情况进行编制，但在2024年工程款实际结算中未达到支付条件仅使用1.11万元，使用率较低。</w:t>
      </w:r>
    </w:p>
    <w:p w14:paraId="2B8BDF95">
      <w:pPr>
        <w:widowControl/>
        <w:numPr>
          <w:ilvl w:val="0"/>
          <w:numId w:val="5"/>
        </w:numPr>
        <w:adjustRightInd w:val="0"/>
        <w:snapToGrid w:val="0"/>
        <w:spacing w:line="580" w:lineRule="exact"/>
        <w:ind w:left="0" w:leftChars="0"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eastAsia="zh-CN"/>
        </w:rPr>
        <w:t>整改措施</w:t>
      </w:r>
      <w:r>
        <w:rPr>
          <w:rFonts w:hint="eastAsia" w:ascii="楷体_GB2312" w:hAnsi="楷体_GB2312" w:eastAsia="楷体_GB2312" w:cs="楷体_GB2312"/>
          <w:color w:val="000000"/>
          <w:kern w:val="0"/>
          <w:szCs w:val="32"/>
          <w:shd w:val="clear" w:color="auto" w:fill="FFFFFF"/>
          <w:lang w:val="zh-CN"/>
        </w:rPr>
        <w:t>。</w:t>
      </w:r>
    </w:p>
    <w:p w14:paraId="28BF2811">
      <w:pPr>
        <w:widowControl/>
        <w:numPr>
          <w:ilvl w:val="0"/>
          <w:numId w:val="0"/>
        </w:numPr>
        <w:adjustRightInd w:val="0"/>
        <w:snapToGrid w:val="0"/>
        <w:spacing w:line="580" w:lineRule="exact"/>
        <w:ind w:firstLine="640" w:firstLineChars="200"/>
        <w:contextualSpacing/>
        <w:jc w:val="left"/>
        <w:rPr>
          <w:rFonts w:hint="default"/>
          <w:color w:val="auto"/>
          <w:szCs w:val="32"/>
          <w:lang w:val="en-US" w:eastAsia="zh-CN"/>
        </w:rPr>
      </w:pPr>
      <w:r>
        <w:rPr>
          <w:rFonts w:hint="eastAsia"/>
          <w:color w:val="auto"/>
          <w:szCs w:val="32"/>
          <w:lang w:val="en-US" w:eastAsia="zh-CN"/>
        </w:rPr>
        <w:t>在2025年度进行预算编制时，核实攀枝花市东区疾病预防控制中心和突发公共卫生事件指挥中心建设项目已达到支付条件的工程款项计入预算，对可能支付的工程款暂不编入预算，待实际需要支付时进行预算追加。</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14:paraId="54C045D4">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777B2F14">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6CE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B4258"/>
    <w:multiLevelType w:val="singleLevel"/>
    <w:tmpl w:val="B11B4258"/>
    <w:lvl w:ilvl="0" w:tentative="0">
      <w:start w:val="3"/>
      <w:numFmt w:val="chineseCounting"/>
      <w:suff w:val="nothing"/>
      <w:lvlText w:val="（%1）"/>
      <w:lvlJc w:val="left"/>
      <w:rPr>
        <w:rFonts w:hint="eastAsia"/>
      </w:rPr>
    </w:lvl>
  </w:abstractNum>
  <w:abstractNum w:abstractNumId="1">
    <w:nsid w:val="0048FF0F"/>
    <w:multiLevelType w:val="singleLevel"/>
    <w:tmpl w:val="0048FF0F"/>
    <w:lvl w:ilvl="0" w:tentative="0">
      <w:start w:val="2"/>
      <w:numFmt w:val="chineseCounting"/>
      <w:suff w:val="nothing"/>
      <w:lvlText w:val="（%1）"/>
      <w:lvlJc w:val="left"/>
      <w:rPr>
        <w:rFonts w:hint="eastAsia"/>
      </w:rPr>
    </w:lvl>
  </w:abstractNum>
  <w:abstractNum w:abstractNumId="2">
    <w:nsid w:val="4DEAC81F"/>
    <w:multiLevelType w:val="singleLevel"/>
    <w:tmpl w:val="4DEAC81F"/>
    <w:lvl w:ilvl="0" w:tentative="0">
      <w:start w:val="1"/>
      <w:numFmt w:val="decimal"/>
      <w:suff w:val="space"/>
      <w:lvlText w:val="%1."/>
      <w:lvlJc w:val="left"/>
    </w:lvl>
  </w:abstractNum>
  <w:abstractNum w:abstractNumId="3">
    <w:nsid w:val="5EAB391E"/>
    <w:multiLevelType w:val="singleLevel"/>
    <w:tmpl w:val="5EAB391E"/>
    <w:lvl w:ilvl="0" w:tentative="0">
      <w:start w:val="2"/>
      <w:numFmt w:val="decimal"/>
      <w:suff w:val="space"/>
      <w:lvlText w:val="%1."/>
      <w:lvlJc w:val="left"/>
    </w:lvl>
  </w:abstractNum>
  <w:abstractNum w:abstractNumId="4">
    <w:nsid w:val="71DC72A8"/>
    <w:multiLevelType w:val="singleLevel"/>
    <w:tmpl w:val="71DC72A8"/>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30243F9"/>
    <w:rsid w:val="07BE3AB4"/>
    <w:rsid w:val="0B8D3582"/>
    <w:rsid w:val="0DC31556"/>
    <w:rsid w:val="0F7509B7"/>
    <w:rsid w:val="1A3D6143"/>
    <w:rsid w:val="1ACF68E4"/>
    <w:rsid w:val="1C013801"/>
    <w:rsid w:val="2BA96E6D"/>
    <w:rsid w:val="2D527252"/>
    <w:rsid w:val="2EAE55F2"/>
    <w:rsid w:val="2EC06C3B"/>
    <w:rsid w:val="2EDF4302"/>
    <w:rsid w:val="30A2172A"/>
    <w:rsid w:val="37570CBE"/>
    <w:rsid w:val="47550EBA"/>
    <w:rsid w:val="55414AE0"/>
    <w:rsid w:val="56F968D3"/>
    <w:rsid w:val="57A001D2"/>
    <w:rsid w:val="5C757D4C"/>
    <w:rsid w:val="5DCE7B8B"/>
    <w:rsid w:val="65517974"/>
    <w:rsid w:val="6636451A"/>
    <w:rsid w:val="66D17EC1"/>
    <w:rsid w:val="6ED3703B"/>
    <w:rsid w:val="6EF65E9C"/>
    <w:rsid w:val="71397E03"/>
    <w:rsid w:val="762E646A"/>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四号正文"/>
    <w:basedOn w:val="1"/>
    <w:link w:val="11"/>
    <w:qFormat/>
    <w:uiPriority w:val="0"/>
    <w:pPr>
      <w:spacing w:line="360" w:lineRule="auto"/>
    </w:pPr>
    <w:rPr>
      <w:rFonts w:ascii="??" w:hAnsi="??" w:eastAsia="宋体" w:cs="宋体"/>
      <w:color w:val="000000"/>
      <w:kern w:val="0"/>
      <w:sz w:val="28"/>
      <w:szCs w:val="21"/>
    </w:rPr>
  </w:style>
  <w:style w:type="character" w:customStyle="1" w:styleId="11">
    <w:name w:val="四号正文 Char"/>
    <w:basedOn w:val="8"/>
    <w:link w:val="10"/>
    <w:qFormat/>
    <w:uiPriority w:val="0"/>
    <w:rPr>
      <w:rFonts w:ascii="??" w:hAnsi="??" w:eastAsia="宋体" w:cs="宋体"/>
      <w:color w:val="000000"/>
      <w:sz w:val="28"/>
      <w:szCs w:val="21"/>
      <w:lang w:val="en-US" w:eastAsia="zh-CN" w:bidi="ar-SA"/>
    </w:rPr>
  </w:style>
  <w:style w:type="character" w:customStyle="1" w:styleId="12">
    <w:name w:val="文档结构图 字符"/>
    <w:basedOn w:val="8"/>
    <w:link w:val="2"/>
    <w:qFormat/>
    <w:uiPriority w:val="0"/>
    <w:rPr>
      <w:rFonts w:ascii="宋体"/>
      <w:kern w:val="2"/>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脚 字符"/>
    <w:basedOn w:val="8"/>
    <w:link w:val="4"/>
    <w:qFormat/>
    <w:uiPriority w:val="99"/>
    <w:rPr>
      <w:kern w:val="2"/>
      <w:sz w:val="18"/>
      <w:szCs w:val="18"/>
    </w:rPr>
  </w:style>
  <w:style w:type="character" w:customStyle="1" w:styleId="15">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4</Pages>
  <Words>1916</Words>
  <Characters>2092</Characters>
  <Lines>2</Lines>
  <Paragraphs>1</Paragraphs>
  <TotalTime>16</TotalTime>
  <ScaleCrop>false</ScaleCrop>
  <LinksUpToDate>false</LinksUpToDate>
  <CharactersWithSpaces>2103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Lenovo</cp:lastModifiedBy>
  <cp:lastPrinted>2023-04-07T02:36:00Z</cp:lastPrinted>
  <dcterms:modified xsi:type="dcterms:W3CDTF">2025-08-10T23:59:41Z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9F28E60437C54E248ED34B6756FA6039_13</vt:lpwstr>
  </property>
  <property fmtid="{D5CDD505-2E9C-101B-9397-08002B2CF9AE}" pid="4" name="KSOTemplateDocerSaveRecord">
    <vt:lpwstr>eyJoZGlkIjoiZDBiNzJiNjcyYzg0MGMzNmNkNjYwMzU1YmVmOGE4NzEiLCJ1c2VySWQiOiI2Mzc1OTI1MjEifQ==</vt:lpwstr>
  </property>
</Properties>
</file>