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9E8D9" w14:textId="77777777" w:rsidR="003649D2" w:rsidRDefault="00000000">
      <w:pPr>
        <w:spacing w:line="580" w:lineRule="exact"/>
        <w:contextualSpacing/>
        <w:rPr>
          <w:rFonts w:ascii="仿宋_GB2312" w:hAnsi="仿宋_GB2312" w:cs="仿宋_GB2312" w:hint="eastAsia"/>
          <w:szCs w:val="32"/>
          <w:lang w:val="zh-CN"/>
        </w:rPr>
      </w:pPr>
      <w:r>
        <w:rPr>
          <w:rFonts w:ascii="仿宋_GB2312" w:hAnsi="仿宋_GB2312" w:cs="仿宋_GB2312" w:hint="eastAsia"/>
          <w:szCs w:val="32"/>
          <w:lang w:val="zh-CN"/>
        </w:rPr>
        <w:t>附件</w:t>
      </w:r>
      <w:r>
        <w:rPr>
          <w:rFonts w:ascii="仿宋_GB2312" w:hAnsi="仿宋_GB2312" w:cs="仿宋_GB2312" w:hint="eastAsia"/>
          <w:szCs w:val="32"/>
        </w:rPr>
        <w:t>3</w:t>
      </w:r>
    </w:p>
    <w:p w14:paraId="5306B488" w14:textId="77777777" w:rsidR="003649D2" w:rsidRDefault="003649D2">
      <w:pPr>
        <w:widowControl/>
        <w:spacing w:line="580" w:lineRule="exact"/>
        <w:contextualSpacing/>
        <w:jc w:val="center"/>
        <w:rPr>
          <w:rFonts w:eastAsia="宋体"/>
          <w:b/>
          <w:sz w:val="44"/>
          <w:szCs w:val="44"/>
          <w:shd w:val="clear" w:color="auto" w:fill="FFFFFF"/>
        </w:rPr>
      </w:pPr>
    </w:p>
    <w:p w14:paraId="4348AE3B" w14:textId="77777777" w:rsidR="003649D2" w:rsidRDefault="00000000">
      <w:pPr>
        <w:widowControl/>
        <w:spacing w:line="580" w:lineRule="exact"/>
        <w:contextualSpacing/>
        <w:jc w:val="center"/>
        <w:rPr>
          <w:szCs w:val="32"/>
          <w:shd w:val="clear" w:color="auto" w:fill="FFFFFF"/>
        </w:rPr>
      </w:pPr>
      <w:r>
        <w:rPr>
          <w:rFonts w:ascii="方正小标宋简体" w:eastAsia="方正小标宋简体" w:hAnsi="方正小标宋简体" w:cs="方正小标宋简体" w:hint="eastAsia"/>
          <w:b/>
          <w:sz w:val="44"/>
          <w:szCs w:val="44"/>
          <w:shd w:val="clear" w:color="auto" w:fill="FFFFFF"/>
        </w:rPr>
        <w:t>2024年度东区大渡口街道办事处部门预算整体 支出绩效评价自评报告</w:t>
      </w:r>
    </w:p>
    <w:p w14:paraId="5650EBB1" w14:textId="77777777" w:rsidR="003649D2" w:rsidRDefault="003649D2">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14:paraId="796ED278" w14:textId="77777777" w:rsidR="003649D2" w:rsidRDefault="00000000">
      <w:pPr>
        <w:widowControl/>
        <w:adjustRightInd w:val="0"/>
        <w:snapToGrid w:val="0"/>
        <w:spacing w:line="580" w:lineRule="exact"/>
        <w:ind w:firstLineChars="200" w:firstLine="64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14:paraId="2B8D3863"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14:paraId="63B8EBEE"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szCs w:val="32"/>
        </w:rPr>
        <w:t>攀枝花市东区人民政府大渡口街道办事处为一级预算单位，其下属预算单位</w:t>
      </w:r>
      <w:r>
        <w:rPr>
          <w:szCs w:val="32"/>
        </w:rPr>
        <w:t>4</w:t>
      </w:r>
      <w:r>
        <w:rPr>
          <w:szCs w:val="32"/>
        </w:rPr>
        <w:t>个：其中行政单位</w:t>
      </w:r>
      <w:r>
        <w:rPr>
          <w:szCs w:val="32"/>
        </w:rPr>
        <w:t>1</w:t>
      </w:r>
      <w:r>
        <w:rPr>
          <w:szCs w:val="32"/>
        </w:rPr>
        <w:t>个，参照公务员法管理的事业单位</w:t>
      </w:r>
      <w:r>
        <w:rPr>
          <w:szCs w:val="32"/>
        </w:rPr>
        <w:t>0</w:t>
      </w:r>
      <w:r>
        <w:rPr>
          <w:szCs w:val="32"/>
        </w:rPr>
        <w:t>个，其他事业单位</w:t>
      </w:r>
      <w:r>
        <w:rPr>
          <w:szCs w:val="32"/>
        </w:rPr>
        <w:t>3</w:t>
      </w:r>
      <w:r>
        <w:rPr>
          <w:szCs w:val="32"/>
        </w:rPr>
        <w:t>个。独立编制机构数</w:t>
      </w:r>
      <w:r>
        <w:rPr>
          <w:szCs w:val="32"/>
        </w:rPr>
        <w:t>1</w:t>
      </w:r>
      <w:r>
        <w:rPr>
          <w:szCs w:val="32"/>
        </w:rPr>
        <w:t>个，独立核算机构数一个，无增减变动，与上年度持平。街道设置以下党政综合办事机构：综合办公室，党建工作办公室，应急管理办公室，社会治理和综合行政执法办公室，经济发展办公室，社会事务和生态环境办公室。</w:t>
      </w:r>
      <w:r>
        <w:rPr>
          <w:szCs w:val="32"/>
        </w:rPr>
        <w:t>3</w:t>
      </w:r>
      <w:r>
        <w:rPr>
          <w:szCs w:val="32"/>
        </w:rPr>
        <w:t>个公益一类事业单位：便民服务中心、综合事务中心、统计站。</w:t>
      </w:r>
    </w:p>
    <w:p w14:paraId="483FEB9E" w14:textId="77777777" w:rsidR="003649D2" w:rsidRDefault="00000000">
      <w:pPr>
        <w:widowControl/>
        <w:numPr>
          <w:ilvl w:val="0"/>
          <w:numId w:val="1"/>
        </w:numPr>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lang w:val="zh-CN"/>
        </w:rPr>
        <w:t>机构职能。</w:t>
      </w:r>
    </w:p>
    <w:p w14:paraId="573EE44A"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szCs w:val="32"/>
        </w:rPr>
        <w:t>根据《中国共产党机构编制工作条例》《攀枝花市东区机构改革方案》（攀东委〔</w:t>
      </w:r>
      <w:r>
        <w:rPr>
          <w:szCs w:val="32"/>
        </w:rPr>
        <w:t>2024</w:t>
      </w:r>
      <w:r>
        <w:rPr>
          <w:szCs w:val="32"/>
        </w:rPr>
        <w:t>〕</w:t>
      </w:r>
      <w:r>
        <w:rPr>
          <w:szCs w:val="32"/>
        </w:rPr>
        <w:t>43</w:t>
      </w:r>
      <w:r>
        <w:rPr>
          <w:szCs w:val="32"/>
        </w:rPr>
        <w:t>号）规定，街道党工委、办事处是区委、区政府派出机关，为正科级，贯彻落实党中央关于街道工作的方针政策和省委、市委、区委的决策部署，在履行职责过程中坚持和加强党对街道工作的集中统一领导。主要职责是：开展基层党建，抓好经济发展，负责城市管理，提供公共服务，维护社会稳定，指导社区建设，培育社会组织，监督专业管理，落实安全生产，加强应急管理，组织基层综合统计，负责职责范围内的安全生产和职</w:t>
      </w:r>
      <w:r>
        <w:rPr>
          <w:szCs w:val="32"/>
        </w:rPr>
        <w:lastRenderedPageBreak/>
        <w:t>业健康、生态环</w:t>
      </w:r>
      <w:r>
        <w:rPr>
          <w:szCs w:val="32"/>
        </w:rPr>
        <w:t xml:space="preserve"> </w:t>
      </w:r>
      <w:r>
        <w:rPr>
          <w:szCs w:val="32"/>
        </w:rPr>
        <w:t>境保护、审批服务便民化等工作，完成区委、区政府交办的其他任务和职能转变。</w:t>
      </w:r>
    </w:p>
    <w:p w14:paraId="22C8C732" w14:textId="77777777" w:rsidR="003649D2" w:rsidRDefault="00000000">
      <w:pPr>
        <w:autoSpaceDE w:val="0"/>
        <w:autoSpaceDN w:val="0"/>
        <w:adjustRightInd w:val="0"/>
        <w:spacing w:line="600" w:lineRule="exact"/>
        <w:ind w:firstLineChars="200" w:firstLine="640"/>
        <w:jc w:val="left"/>
        <w:rPr>
          <w:color w:val="000000"/>
          <w:kern w:val="0"/>
          <w:szCs w:val="32"/>
          <w:shd w:val="clear" w:color="auto" w:fill="FFFFFF"/>
          <w:lang w:val="zh-CN"/>
        </w:rPr>
      </w:pPr>
      <w:r>
        <w:rPr>
          <w:color w:val="000000"/>
          <w:kern w:val="0"/>
          <w:szCs w:val="32"/>
          <w:shd w:val="clear" w:color="auto" w:fill="FFFFFF"/>
          <w:lang w:val="zh-CN"/>
        </w:rPr>
        <w:t>（三）人员概况。</w:t>
      </w:r>
      <w:r>
        <w:rPr>
          <w:rFonts w:hint="eastAsia"/>
          <w:szCs w:val="32"/>
        </w:rPr>
        <w:t>2024</w:t>
      </w:r>
      <w:r>
        <w:rPr>
          <w:rFonts w:ascii="仿宋_GB2312" w:hint="eastAsia"/>
          <w:szCs w:val="32"/>
        </w:rPr>
        <w:t>年因我单位</w:t>
      </w:r>
      <w:r>
        <w:rPr>
          <w:rFonts w:hint="eastAsia"/>
          <w:szCs w:val="32"/>
        </w:rPr>
        <w:t>1</w:t>
      </w:r>
      <w:r>
        <w:rPr>
          <w:rFonts w:ascii="仿宋_GB2312" w:hint="eastAsia"/>
          <w:szCs w:val="32"/>
        </w:rPr>
        <w:t>月增加</w:t>
      </w:r>
      <w:r>
        <w:rPr>
          <w:rFonts w:hint="eastAsia"/>
          <w:szCs w:val="32"/>
        </w:rPr>
        <w:t>2</w:t>
      </w:r>
      <w:r>
        <w:rPr>
          <w:rFonts w:ascii="仿宋_GB2312" w:hint="eastAsia"/>
          <w:szCs w:val="32"/>
        </w:rPr>
        <w:t>人；</w:t>
      </w:r>
      <w:r>
        <w:rPr>
          <w:rFonts w:hint="eastAsia"/>
          <w:szCs w:val="32"/>
        </w:rPr>
        <w:t>2</w:t>
      </w:r>
      <w:r>
        <w:rPr>
          <w:rFonts w:ascii="仿宋_GB2312" w:hint="eastAsia"/>
          <w:szCs w:val="32"/>
        </w:rPr>
        <w:t>月增加</w:t>
      </w:r>
      <w:r>
        <w:rPr>
          <w:rFonts w:hint="eastAsia"/>
          <w:szCs w:val="32"/>
        </w:rPr>
        <w:t>2</w:t>
      </w:r>
      <w:r>
        <w:rPr>
          <w:rFonts w:ascii="仿宋_GB2312" w:hint="eastAsia"/>
          <w:szCs w:val="32"/>
        </w:rPr>
        <w:t>人；</w:t>
      </w:r>
      <w:r>
        <w:rPr>
          <w:rFonts w:hint="eastAsia"/>
          <w:szCs w:val="32"/>
        </w:rPr>
        <w:t>4</w:t>
      </w:r>
      <w:r>
        <w:rPr>
          <w:rFonts w:ascii="仿宋_GB2312" w:hint="eastAsia"/>
          <w:szCs w:val="32"/>
        </w:rPr>
        <w:t>月增加</w:t>
      </w:r>
      <w:r>
        <w:rPr>
          <w:rFonts w:hint="eastAsia"/>
          <w:szCs w:val="32"/>
        </w:rPr>
        <w:t>1</w:t>
      </w:r>
      <w:r>
        <w:rPr>
          <w:rFonts w:ascii="仿宋_GB2312" w:hint="eastAsia"/>
          <w:szCs w:val="32"/>
        </w:rPr>
        <w:t>人；</w:t>
      </w:r>
      <w:r>
        <w:rPr>
          <w:rFonts w:hint="eastAsia"/>
          <w:szCs w:val="32"/>
        </w:rPr>
        <w:t>7</w:t>
      </w:r>
      <w:r>
        <w:rPr>
          <w:rFonts w:ascii="仿宋_GB2312" w:hint="eastAsia"/>
          <w:szCs w:val="32"/>
        </w:rPr>
        <w:t>月增加</w:t>
      </w:r>
      <w:r>
        <w:rPr>
          <w:rFonts w:hint="eastAsia"/>
          <w:szCs w:val="32"/>
        </w:rPr>
        <w:t>1</w:t>
      </w:r>
      <w:r>
        <w:rPr>
          <w:rFonts w:hint="eastAsia"/>
          <w:szCs w:val="32"/>
        </w:rPr>
        <w:t>人</w:t>
      </w:r>
      <w:r>
        <w:rPr>
          <w:rFonts w:ascii="仿宋_GB2312" w:hint="eastAsia"/>
          <w:szCs w:val="32"/>
        </w:rPr>
        <w:t>；</w:t>
      </w:r>
      <w:r>
        <w:rPr>
          <w:rFonts w:hint="eastAsia"/>
          <w:szCs w:val="32"/>
        </w:rPr>
        <w:t>9</w:t>
      </w:r>
      <w:r>
        <w:rPr>
          <w:rFonts w:ascii="仿宋_GB2312" w:hint="eastAsia"/>
          <w:szCs w:val="32"/>
        </w:rPr>
        <w:t>月增加</w:t>
      </w:r>
      <w:r>
        <w:rPr>
          <w:rFonts w:hint="eastAsia"/>
          <w:szCs w:val="32"/>
        </w:rPr>
        <w:t>1</w:t>
      </w:r>
      <w:r>
        <w:rPr>
          <w:rFonts w:ascii="仿宋_GB2312" w:hint="eastAsia"/>
          <w:szCs w:val="32"/>
        </w:rPr>
        <w:t>人；</w:t>
      </w:r>
      <w:r>
        <w:rPr>
          <w:rFonts w:hint="eastAsia"/>
          <w:szCs w:val="32"/>
        </w:rPr>
        <w:t>10</w:t>
      </w:r>
      <w:r>
        <w:rPr>
          <w:rFonts w:ascii="仿宋_GB2312" w:hint="eastAsia"/>
          <w:szCs w:val="32"/>
        </w:rPr>
        <w:t>月增加</w:t>
      </w:r>
      <w:r>
        <w:rPr>
          <w:rFonts w:hint="eastAsia"/>
          <w:szCs w:val="32"/>
        </w:rPr>
        <w:t>1</w:t>
      </w:r>
      <w:r>
        <w:rPr>
          <w:rFonts w:ascii="仿宋_GB2312" w:hint="eastAsia"/>
          <w:szCs w:val="32"/>
        </w:rPr>
        <w:t>人。</w:t>
      </w:r>
      <w:r>
        <w:rPr>
          <w:rFonts w:hint="eastAsia"/>
          <w:szCs w:val="32"/>
        </w:rPr>
        <w:t>1</w:t>
      </w:r>
      <w:r>
        <w:rPr>
          <w:rFonts w:ascii="仿宋_GB2312" w:hint="eastAsia"/>
          <w:szCs w:val="32"/>
        </w:rPr>
        <w:t>月调出</w:t>
      </w:r>
      <w:r>
        <w:rPr>
          <w:rFonts w:hint="eastAsia"/>
          <w:szCs w:val="32"/>
        </w:rPr>
        <w:t>1</w:t>
      </w:r>
      <w:r>
        <w:rPr>
          <w:rFonts w:ascii="仿宋_GB2312" w:hint="eastAsia"/>
          <w:szCs w:val="32"/>
        </w:rPr>
        <w:t>人；</w:t>
      </w:r>
      <w:r>
        <w:rPr>
          <w:rFonts w:hint="eastAsia"/>
          <w:szCs w:val="32"/>
        </w:rPr>
        <w:t>1</w:t>
      </w:r>
      <w:r>
        <w:rPr>
          <w:rFonts w:ascii="仿宋_GB2312" w:hint="eastAsia"/>
          <w:szCs w:val="32"/>
        </w:rPr>
        <w:t>月退休</w:t>
      </w:r>
      <w:r>
        <w:rPr>
          <w:rFonts w:hint="eastAsia"/>
          <w:szCs w:val="32"/>
        </w:rPr>
        <w:t>1</w:t>
      </w:r>
      <w:r>
        <w:rPr>
          <w:rFonts w:ascii="仿宋_GB2312" w:hint="eastAsia"/>
          <w:szCs w:val="32"/>
        </w:rPr>
        <w:t>人；</w:t>
      </w:r>
      <w:r>
        <w:rPr>
          <w:rFonts w:hint="eastAsia"/>
          <w:szCs w:val="32"/>
        </w:rPr>
        <w:t>6</w:t>
      </w:r>
      <w:r>
        <w:rPr>
          <w:rFonts w:ascii="仿宋_GB2312" w:hint="eastAsia"/>
          <w:szCs w:val="32"/>
        </w:rPr>
        <w:t>月调出</w:t>
      </w:r>
      <w:r>
        <w:rPr>
          <w:rFonts w:hint="eastAsia"/>
          <w:szCs w:val="32"/>
        </w:rPr>
        <w:t>1</w:t>
      </w:r>
      <w:r>
        <w:rPr>
          <w:rFonts w:ascii="仿宋_GB2312" w:hint="eastAsia"/>
          <w:szCs w:val="32"/>
        </w:rPr>
        <w:t>人；</w:t>
      </w:r>
      <w:r>
        <w:rPr>
          <w:rFonts w:hint="eastAsia"/>
          <w:szCs w:val="32"/>
        </w:rPr>
        <w:t>7</w:t>
      </w:r>
      <w:r>
        <w:rPr>
          <w:rFonts w:ascii="仿宋_GB2312" w:hint="eastAsia"/>
          <w:szCs w:val="32"/>
        </w:rPr>
        <w:t>月调出</w:t>
      </w:r>
      <w:r>
        <w:rPr>
          <w:rFonts w:hint="eastAsia"/>
          <w:szCs w:val="32"/>
        </w:rPr>
        <w:t>2</w:t>
      </w:r>
      <w:r>
        <w:rPr>
          <w:rFonts w:ascii="仿宋_GB2312" w:hint="eastAsia"/>
          <w:szCs w:val="32"/>
        </w:rPr>
        <w:t>人；</w:t>
      </w:r>
      <w:r>
        <w:rPr>
          <w:rFonts w:hint="eastAsia"/>
          <w:szCs w:val="32"/>
        </w:rPr>
        <w:t>12</w:t>
      </w:r>
      <w:r>
        <w:rPr>
          <w:rFonts w:ascii="仿宋_GB2312" w:hint="eastAsia"/>
          <w:szCs w:val="32"/>
        </w:rPr>
        <w:t>月调出</w:t>
      </w:r>
      <w:r>
        <w:rPr>
          <w:rFonts w:hint="eastAsia"/>
          <w:szCs w:val="32"/>
        </w:rPr>
        <w:t>2</w:t>
      </w:r>
      <w:r>
        <w:rPr>
          <w:rFonts w:ascii="仿宋_GB2312" w:hint="eastAsia"/>
          <w:szCs w:val="32"/>
        </w:rPr>
        <w:t>人。截止</w:t>
      </w:r>
      <w:r>
        <w:rPr>
          <w:rFonts w:hint="eastAsia"/>
          <w:szCs w:val="32"/>
        </w:rPr>
        <w:t>2024</w:t>
      </w:r>
      <w:r>
        <w:rPr>
          <w:rFonts w:ascii="仿宋_GB2312" w:hint="eastAsia"/>
          <w:szCs w:val="32"/>
        </w:rPr>
        <w:t>年</w:t>
      </w:r>
      <w:r>
        <w:rPr>
          <w:rFonts w:hint="eastAsia"/>
          <w:szCs w:val="32"/>
        </w:rPr>
        <w:t>12</w:t>
      </w:r>
      <w:r>
        <w:rPr>
          <w:rFonts w:ascii="仿宋_GB2312" w:hint="eastAsia"/>
          <w:szCs w:val="32"/>
        </w:rPr>
        <w:t>月底，实有在编人数</w:t>
      </w:r>
      <w:r>
        <w:rPr>
          <w:rFonts w:hint="eastAsia"/>
          <w:szCs w:val="32"/>
        </w:rPr>
        <w:t>30</w:t>
      </w:r>
      <w:r>
        <w:rPr>
          <w:rFonts w:ascii="仿宋_GB2312" w:hint="eastAsia"/>
          <w:szCs w:val="32"/>
        </w:rPr>
        <w:t>名，其中行政</w:t>
      </w:r>
      <w:r>
        <w:rPr>
          <w:rFonts w:hint="eastAsia"/>
          <w:szCs w:val="32"/>
        </w:rPr>
        <w:t>11</w:t>
      </w:r>
      <w:r>
        <w:rPr>
          <w:rFonts w:ascii="仿宋_GB2312" w:hint="eastAsia"/>
          <w:szCs w:val="32"/>
        </w:rPr>
        <w:t>名，机关工勤</w:t>
      </w:r>
      <w:r>
        <w:rPr>
          <w:rFonts w:hint="eastAsia"/>
          <w:szCs w:val="32"/>
        </w:rPr>
        <w:t>1</w:t>
      </w:r>
      <w:r>
        <w:rPr>
          <w:rFonts w:ascii="仿宋_GB2312" w:hint="eastAsia"/>
          <w:szCs w:val="32"/>
        </w:rPr>
        <w:t>名，事业</w:t>
      </w:r>
      <w:r>
        <w:rPr>
          <w:rFonts w:hint="eastAsia"/>
          <w:szCs w:val="32"/>
        </w:rPr>
        <w:t>18</w:t>
      </w:r>
      <w:r>
        <w:rPr>
          <w:rFonts w:ascii="仿宋_GB2312" w:hint="eastAsia"/>
          <w:szCs w:val="32"/>
        </w:rPr>
        <w:t>名；区级聘用</w:t>
      </w:r>
      <w:r>
        <w:rPr>
          <w:rFonts w:hint="eastAsia"/>
          <w:szCs w:val="32"/>
        </w:rPr>
        <w:t>32</w:t>
      </w:r>
      <w:r>
        <w:rPr>
          <w:rFonts w:ascii="仿宋_GB2312" w:hint="eastAsia"/>
          <w:szCs w:val="32"/>
        </w:rPr>
        <w:t>人：其中企管</w:t>
      </w:r>
      <w:r>
        <w:rPr>
          <w:rFonts w:hint="eastAsia"/>
          <w:szCs w:val="32"/>
        </w:rPr>
        <w:t>5</w:t>
      </w:r>
      <w:r>
        <w:rPr>
          <w:rFonts w:ascii="仿宋_GB2312" w:hint="eastAsia"/>
          <w:szCs w:val="32"/>
        </w:rPr>
        <w:t>人，临聘</w:t>
      </w:r>
      <w:r>
        <w:rPr>
          <w:rFonts w:hint="eastAsia"/>
          <w:szCs w:val="32"/>
        </w:rPr>
        <w:t>27</w:t>
      </w:r>
      <w:r>
        <w:rPr>
          <w:rFonts w:ascii="仿宋_GB2312" w:hint="eastAsia"/>
          <w:szCs w:val="32"/>
        </w:rPr>
        <w:t>人；社区专职工作者</w:t>
      </w:r>
      <w:r>
        <w:rPr>
          <w:rFonts w:hint="eastAsia"/>
          <w:szCs w:val="32"/>
        </w:rPr>
        <w:t>50</w:t>
      </w:r>
      <w:r>
        <w:rPr>
          <w:rFonts w:ascii="仿宋_GB2312" w:hint="eastAsia"/>
          <w:szCs w:val="32"/>
        </w:rPr>
        <w:t>人。华山村工作人员</w:t>
      </w:r>
      <w:r>
        <w:rPr>
          <w:rFonts w:hint="eastAsia"/>
          <w:szCs w:val="32"/>
        </w:rPr>
        <w:t>13</w:t>
      </w:r>
      <w:r>
        <w:rPr>
          <w:rFonts w:ascii="仿宋_GB2312" w:hint="eastAsia"/>
          <w:szCs w:val="32"/>
        </w:rPr>
        <w:t>人，年末实有</w:t>
      </w:r>
      <w:r>
        <w:rPr>
          <w:rFonts w:hint="eastAsia"/>
          <w:szCs w:val="32"/>
        </w:rPr>
        <w:t>125</w:t>
      </w:r>
      <w:r>
        <w:rPr>
          <w:rFonts w:ascii="仿宋_GB2312" w:hint="eastAsia"/>
          <w:szCs w:val="32"/>
        </w:rPr>
        <w:t>人。</w:t>
      </w:r>
    </w:p>
    <w:p w14:paraId="0B8E9A9D" w14:textId="77777777" w:rsidR="003649D2" w:rsidRDefault="00000000">
      <w:pPr>
        <w:widowControl/>
        <w:adjustRightInd w:val="0"/>
        <w:snapToGrid w:val="0"/>
        <w:spacing w:line="580" w:lineRule="exact"/>
        <w:ind w:firstLineChars="200" w:firstLine="64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14:paraId="78CE3D84"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14:paraId="1B1AF1E8"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szCs w:val="32"/>
        </w:rPr>
        <w:t>20</w:t>
      </w:r>
      <w:r>
        <w:rPr>
          <w:rFonts w:hint="eastAsia"/>
          <w:color w:val="000000" w:themeColor="text1"/>
          <w:szCs w:val="32"/>
        </w:rPr>
        <w:t>24</w:t>
      </w:r>
      <w:r>
        <w:rPr>
          <w:rFonts w:hint="eastAsia"/>
          <w:color w:val="000000" w:themeColor="text1"/>
          <w:kern w:val="0"/>
          <w:szCs w:val="32"/>
          <w:shd w:val="clear" w:color="auto" w:fill="FFFFFF"/>
        </w:rPr>
        <w:t>年度收到财政收入合计</w:t>
      </w:r>
      <w:r>
        <w:rPr>
          <w:rFonts w:hint="eastAsia"/>
          <w:color w:val="000000" w:themeColor="text1"/>
          <w:kern w:val="0"/>
          <w:szCs w:val="32"/>
          <w:shd w:val="clear" w:color="auto" w:fill="FFFFFF"/>
        </w:rPr>
        <w:t>2636.98</w:t>
      </w:r>
      <w:r>
        <w:rPr>
          <w:rFonts w:hint="eastAsia"/>
          <w:color w:val="000000" w:themeColor="text1"/>
          <w:kern w:val="0"/>
          <w:szCs w:val="32"/>
          <w:shd w:val="clear" w:color="auto" w:fill="FFFFFF"/>
        </w:rPr>
        <w:t>万元，其中一般公共预算财政拨款收入</w:t>
      </w:r>
      <w:r>
        <w:rPr>
          <w:rFonts w:hint="eastAsia"/>
          <w:color w:val="000000" w:themeColor="text1"/>
          <w:kern w:val="0"/>
          <w:szCs w:val="32"/>
          <w:shd w:val="clear" w:color="auto" w:fill="FFFFFF"/>
        </w:rPr>
        <w:t>2288.61</w:t>
      </w:r>
      <w:r>
        <w:rPr>
          <w:rFonts w:hint="eastAsia"/>
          <w:color w:val="000000" w:themeColor="text1"/>
          <w:kern w:val="0"/>
          <w:szCs w:val="32"/>
          <w:shd w:val="clear" w:color="auto" w:fill="FFFFFF"/>
        </w:rPr>
        <w:t>万元，政府性基金预算收入</w:t>
      </w:r>
      <w:r>
        <w:rPr>
          <w:rFonts w:hint="eastAsia"/>
          <w:color w:val="000000" w:themeColor="text1"/>
          <w:kern w:val="0"/>
          <w:szCs w:val="32"/>
          <w:shd w:val="clear" w:color="auto" w:fill="FFFFFF"/>
        </w:rPr>
        <w:t>40.5</w:t>
      </w:r>
      <w:r>
        <w:rPr>
          <w:rFonts w:hint="eastAsia"/>
          <w:color w:val="000000" w:themeColor="text1"/>
          <w:kern w:val="0"/>
          <w:szCs w:val="32"/>
          <w:shd w:val="clear" w:color="auto" w:fill="FFFFFF"/>
        </w:rPr>
        <w:t>万元，国有资本经营预算收入</w:t>
      </w:r>
      <w:r>
        <w:rPr>
          <w:rFonts w:hint="eastAsia"/>
          <w:color w:val="000000" w:themeColor="text1"/>
          <w:kern w:val="0"/>
          <w:szCs w:val="32"/>
          <w:shd w:val="clear" w:color="auto" w:fill="FFFFFF"/>
        </w:rPr>
        <w:t>307.87</w:t>
      </w:r>
      <w:r>
        <w:rPr>
          <w:rFonts w:hint="eastAsia"/>
          <w:color w:val="000000" w:themeColor="text1"/>
          <w:kern w:val="0"/>
          <w:szCs w:val="32"/>
          <w:shd w:val="clear" w:color="auto" w:fill="FFFFFF"/>
        </w:rPr>
        <w:t>万元。</w:t>
      </w:r>
    </w:p>
    <w:p w14:paraId="73BF1BFB" w14:textId="77777777" w:rsidR="003649D2" w:rsidRDefault="00000000">
      <w:pPr>
        <w:widowControl/>
        <w:numPr>
          <w:ilvl w:val="0"/>
          <w:numId w:val="1"/>
        </w:numPr>
        <w:adjustRightInd w:val="0"/>
        <w:snapToGrid w:val="0"/>
        <w:spacing w:line="580" w:lineRule="exact"/>
        <w:ind w:firstLineChars="200" w:firstLine="640"/>
        <w:contextualSpacing/>
        <w:jc w:val="left"/>
        <w:rPr>
          <w:color w:val="000000"/>
          <w:kern w:val="0"/>
          <w:szCs w:val="32"/>
          <w:shd w:val="clear" w:color="auto" w:fill="FFFFFF"/>
          <w:lang w:val="zh-CN"/>
        </w:rPr>
      </w:pPr>
      <w:r>
        <w:rPr>
          <w:color w:val="000000"/>
          <w:kern w:val="0"/>
          <w:szCs w:val="32"/>
          <w:shd w:val="clear" w:color="auto" w:fill="FFFFFF"/>
          <w:lang w:val="zh-CN"/>
        </w:rPr>
        <w:t>部门财政资金支出情况。</w:t>
      </w:r>
    </w:p>
    <w:p w14:paraId="05A17010"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themeColor="text1"/>
          <w:kern w:val="0"/>
          <w:szCs w:val="32"/>
          <w:shd w:val="clear" w:color="auto" w:fill="FFFFFF"/>
        </w:rPr>
        <w:t>2024</w:t>
      </w:r>
      <w:r>
        <w:rPr>
          <w:rFonts w:hint="eastAsia"/>
          <w:color w:val="000000" w:themeColor="text1"/>
          <w:kern w:val="0"/>
          <w:szCs w:val="32"/>
          <w:shd w:val="clear" w:color="auto" w:fill="FFFFFF"/>
        </w:rPr>
        <w:t>年度收到财政支出合计</w:t>
      </w:r>
      <w:r>
        <w:rPr>
          <w:rFonts w:hint="eastAsia"/>
          <w:color w:val="000000" w:themeColor="text1"/>
          <w:kern w:val="0"/>
          <w:szCs w:val="32"/>
          <w:shd w:val="clear" w:color="auto" w:fill="FFFFFF"/>
        </w:rPr>
        <w:t>2636.98</w:t>
      </w:r>
      <w:r>
        <w:rPr>
          <w:rFonts w:hint="eastAsia"/>
          <w:color w:val="000000" w:themeColor="text1"/>
          <w:kern w:val="0"/>
          <w:szCs w:val="32"/>
          <w:shd w:val="clear" w:color="auto" w:fill="FFFFFF"/>
        </w:rPr>
        <w:t>万元，其中：财政拨款基本支出</w:t>
      </w:r>
      <w:r>
        <w:rPr>
          <w:rFonts w:hint="eastAsia"/>
          <w:color w:val="000000" w:themeColor="text1"/>
          <w:kern w:val="0"/>
          <w:szCs w:val="32"/>
          <w:shd w:val="clear" w:color="auto" w:fill="FFFFFF"/>
        </w:rPr>
        <w:t>1373.16</w:t>
      </w:r>
      <w:r>
        <w:rPr>
          <w:rFonts w:hint="eastAsia"/>
          <w:color w:val="000000" w:themeColor="text1"/>
          <w:kern w:val="0"/>
          <w:szCs w:val="32"/>
          <w:shd w:val="clear" w:color="auto" w:fill="FFFFFF"/>
        </w:rPr>
        <w:t>万元，（工资福利支出</w:t>
      </w:r>
      <w:r>
        <w:rPr>
          <w:rFonts w:hint="eastAsia"/>
          <w:color w:val="000000" w:themeColor="text1"/>
          <w:kern w:val="0"/>
          <w:szCs w:val="32"/>
          <w:shd w:val="clear" w:color="auto" w:fill="FFFFFF"/>
        </w:rPr>
        <w:t>1265.79</w:t>
      </w:r>
      <w:r>
        <w:rPr>
          <w:rFonts w:hint="eastAsia"/>
          <w:color w:val="000000" w:themeColor="text1"/>
          <w:kern w:val="0"/>
          <w:szCs w:val="32"/>
          <w:shd w:val="clear" w:color="auto" w:fill="FFFFFF"/>
        </w:rPr>
        <w:t>万元，商品和服务支出</w:t>
      </w:r>
      <w:r>
        <w:rPr>
          <w:rFonts w:hint="eastAsia"/>
          <w:color w:val="000000" w:themeColor="text1"/>
          <w:kern w:val="0"/>
          <w:szCs w:val="32"/>
          <w:shd w:val="clear" w:color="auto" w:fill="FFFFFF"/>
        </w:rPr>
        <w:t>62.25</w:t>
      </w:r>
      <w:r>
        <w:rPr>
          <w:rFonts w:hint="eastAsia"/>
          <w:color w:val="000000" w:themeColor="text1"/>
          <w:kern w:val="0"/>
          <w:szCs w:val="32"/>
          <w:shd w:val="clear" w:color="auto" w:fill="FFFFFF"/>
        </w:rPr>
        <w:t>万元，对个人和家庭补助支出</w:t>
      </w:r>
      <w:r>
        <w:rPr>
          <w:rFonts w:hint="eastAsia"/>
          <w:color w:val="000000" w:themeColor="text1"/>
          <w:kern w:val="0"/>
          <w:szCs w:val="32"/>
          <w:shd w:val="clear" w:color="auto" w:fill="FFFFFF"/>
        </w:rPr>
        <w:t>45.12</w:t>
      </w:r>
      <w:r>
        <w:rPr>
          <w:rFonts w:hint="eastAsia"/>
          <w:color w:val="000000" w:themeColor="text1"/>
          <w:kern w:val="0"/>
          <w:szCs w:val="32"/>
          <w:shd w:val="clear" w:color="auto" w:fill="FFFFFF"/>
        </w:rPr>
        <w:t>万元）。部门项目预算支出</w:t>
      </w:r>
      <w:r>
        <w:rPr>
          <w:rFonts w:hint="eastAsia"/>
          <w:color w:val="000000" w:themeColor="text1"/>
          <w:kern w:val="0"/>
          <w:szCs w:val="32"/>
          <w:shd w:val="clear" w:color="auto" w:fill="FFFFFF"/>
        </w:rPr>
        <w:t>1263.81</w:t>
      </w:r>
      <w:r>
        <w:rPr>
          <w:rFonts w:hint="eastAsia"/>
          <w:color w:val="000000" w:themeColor="text1"/>
          <w:kern w:val="0"/>
          <w:szCs w:val="32"/>
          <w:shd w:val="clear" w:color="auto" w:fill="FFFFFF"/>
        </w:rPr>
        <w:t>万元，其中：一般公共预算支出</w:t>
      </w:r>
      <w:r>
        <w:rPr>
          <w:rFonts w:hint="eastAsia"/>
          <w:color w:val="000000" w:themeColor="text1"/>
          <w:kern w:val="0"/>
          <w:szCs w:val="32"/>
          <w:shd w:val="clear" w:color="auto" w:fill="FFFFFF"/>
        </w:rPr>
        <w:t>915.44</w:t>
      </w:r>
      <w:r>
        <w:rPr>
          <w:rFonts w:hint="eastAsia"/>
          <w:color w:val="000000" w:themeColor="text1"/>
          <w:kern w:val="0"/>
          <w:szCs w:val="32"/>
          <w:shd w:val="clear" w:color="auto" w:fill="FFFFFF"/>
        </w:rPr>
        <w:t>万元，政府基金预算支出</w:t>
      </w:r>
      <w:r>
        <w:rPr>
          <w:rFonts w:hint="eastAsia"/>
          <w:color w:val="000000" w:themeColor="text1"/>
          <w:kern w:val="0"/>
          <w:szCs w:val="32"/>
          <w:shd w:val="clear" w:color="auto" w:fill="FFFFFF"/>
        </w:rPr>
        <w:t>40.5</w:t>
      </w:r>
      <w:r>
        <w:rPr>
          <w:rFonts w:hint="eastAsia"/>
          <w:color w:val="000000" w:themeColor="text1"/>
          <w:kern w:val="0"/>
          <w:szCs w:val="32"/>
          <w:shd w:val="clear" w:color="auto" w:fill="FFFFFF"/>
        </w:rPr>
        <w:t>万元，国有资本经营预算支出</w:t>
      </w:r>
      <w:r>
        <w:rPr>
          <w:rFonts w:hint="eastAsia"/>
          <w:color w:val="000000" w:themeColor="text1"/>
          <w:kern w:val="0"/>
          <w:szCs w:val="32"/>
          <w:shd w:val="clear" w:color="auto" w:fill="FFFFFF"/>
        </w:rPr>
        <w:t>307.87</w:t>
      </w:r>
      <w:r>
        <w:rPr>
          <w:rFonts w:hint="eastAsia"/>
          <w:color w:val="000000" w:themeColor="text1"/>
          <w:kern w:val="0"/>
          <w:szCs w:val="32"/>
          <w:shd w:val="clear" w:color="auto" w:fill="FFFFFF"/>
        </w:rPr>
        <w:t>万元。</w:t>
      </w:r>
    </w:p>
    <w:p w14:paraId="1D54BD4D" w14:textId="77777777" w:rsidR="003649D2" w:rsidRDefault="00000000">
      <w:pPr>
        <w:widowControl/>
        <w:adjustRightInd w:val="0"/>
        <w:snapToGrid w:val="0"/>
        <w:spacing w:line="580" w:lineRule="exact"/>
        <w:ind w:firstLineChars="200" w:firstLine="64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三、部门预算整体绩效管理情况</w:t>
      </w:r>
    </w:p>
    <w:p w14:paraId="56EF023F" w14:textId="77777777" w:rsidR="003649D2"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（一）绩效管理。</w:t>
      </w:r>
    </w:p>
    <w:p w14:paraId="2A360B79" w14:textId="77777777" w:rsidR="003649D2" w:rsidRDefault="00000000">
      <w:pPr>
        <w:widowControl/>
        <w:numPr>
          <w:ilvl w:val="0"/>
          <w:numId w:val="2"/>
        </w:numPr>
        <w:adjustRightInd w:val="0"/>
        <w:snapToGrid w:val="0"/>
        <w:spacing w:line="580" w:lineRule="exact"/>
        <w:ind w:firstLineChars="200" w:firstLine="640"/>
        <w:contextualSpacing/>
        <w:jc w:val="left"/>
        <w:rPr>
          <w:color w:val="000000"/>
          <w:kern w:val="0"/>
          <w:szCs w:val="32"/>
          <w:shd w:val="clear" w:color="auto" w:fill="FFFFFF"/>
        </w:rPr>
      </w:pPr>
      <w:r>
        <w:rPr>
          <w:rFonts w:hint="eastAsia"/>
          <w:color w:val="000000"/>
          <w:kern w:val="0"/>
          <w:szCs w:val="32"/>
          <w:shd w:val="clear" w:color="auto" w:fill="FFFFFF"/>
        </w:rPr>
        <w:t>人员类支出安排及使用情况</w:t>
      </w:r>
    </w:p>
    <w:p w14:paraId="7662D99A" w14:textId="77777777" w:rsidR="003649D2" w:rsidRDefault="00000000">
      <w:pPr>
        <w:widowControl/>
        <w:adjustRightInd w:val="0"/>
        <w:snapToGrid w:val="0"/>
        <w:spacing w:line="580" w:lineRule="exact"/>
        <w:contextualSpacing/>
        <w:jc w:val="left"/>
        <w:rPr>
          <w:color w:val="000000"/>
          <w:kern w:val="0"/>
          <w:szCs w:val="32"/>
          <w:shd w:val="clear" w:color="auto" w:fill="FFFFFF"/>
        </w:rPr>
      </w:pPr>
      <w:r>
        <w:rPr>
          <w:rFonts w:hint="eastAsia"/>
          <w:color w:val="000000"/>
          <w:kern w:val="0"/>
          <w:szCs w:val="32"/>
          <w:shd w:val="clear" w:color="auto" w:fill="FFFFFF"/>
        </w:rPr>
        <w:t xml:space="preserve">      </w:t>
      </w:r>
      <w:r>
        <w:rPr>
          <w:rFonts w:hint="eastAsia"/>
          <w:color w:val="000000"/>
          <w:kern w:val="0"/>
          <w:szCs w:val="32"/>
          <w:shd w:val="clear" w:color="auto" w:fill="FFFFFF"/>
        </w:rPr>
        <w:t>为严格执行相关政策，保障工资及时发放、足额发放，预算编制科学合理，减</w:t>
      </w:r>
      <w:r>
        <w:rPr>
          <w:rFonts w:hint="eastAsia"/>
          <w:color w:val="000000" w:themeColor="text1"/>
          <w:kern w:val="0"/>
          <w:szCs w:val="32"/>
          <w:shd w:val="clear" w:color="auto" w:fill="FFFFFF"/>
        </w:rPr>
        <w:t>少结余资金。</w:t>
      </w:r>
      <w:r>
        <w:rPr>
          <w:rFonts w:hint="eastAsia"/>
          <w:color w:val="000000" w:themeColor="text1"/>
          <w:kern w:val="0"/>
          <w:szCs w:val="32"/>
          <w:shd w:val="clear" w:color="auto" w:fill="FFFFFF"/>
        </w:rPr>
        <w:t>2024</w:t>
      </w:r>
      <w:r>
        <w:rPr>
          <w:rFonts w:hint="eastAsia"/>
          <w:color w:val="000000" w:themeColor="text1"/>
          <w:kern w:val="0"/>
          <w:szCs w:val="32"/>
          <w:shd w:val="clear" w:color="auto" w:fill="FFFFFF"/>
        </w:rPr>
        <w:t>年年初预算人员经费</w:t>
      </w:r>
      <w:r>
        <w:rPr>
          <w:rFonts w:hint="eastAsia"/>
          <w:color w:val="000000" w:themeColor="text1"/>
          <w:kern w:val="0"/>
          <w:szCs w:val="32"/>
          <w:shd w:val="clear" w:color="auto" w:fill="FFFFFF"/>
        </w:rPr>
        <w:t>1280.29</w:t>
      </w:r>
      <w:r>
        <w:rPr>
          <w:rFonts w:hint="eastAsia"/>
          <w:color w:val="000000" w:themeColor="text1"/>
          <w:kern w:val="0"/>
          <w:szCs w:val="32"/>
          <w:shd w:val="clear" w:color="auto" w:fill="FFFFFF"/>
        </w:rPr>
        <w:t>万元，全年实际支出</w:t>
      </w:r>
      <w:r>
        <w:rPr>
          <w:rFonts w:hint="eastAsia"/>
          <w:color w:val="000000" w:themeColor="text1"/>
          <w:kern w:val="0"/>
          <w:szCs w:val="32"/>
          <w:shd w:val="clear" w:color="auto" w:fill="FFFFFF"/>
        </w:rPr>
        <w:t>1310.91</w:t>
      </w:r>
      <w:r>
        <w:rPr>
          <w:rFonts w:hint="eastAsia"/>
          <w:color w:val="000000" w:themeColor="text1"/>
          <w:kern w:val="0"/>
          <w:szCs w:val="32"/>
          <w:shd w:val="clear" w:color="auto" w:fill="FFFFFF"/>
        </w:rPr>
        <w:t>万元（其中追加</w:t>
      </w:r>
      <w:r>
        <w:rPr>
          <w:rFonts w:hint="eastAsia"/>
          <w:color w:val="000000" w:themeColor="text1"/>
          <w:kern w:val="0"/>
          <w:szCs w:val="32"/>
          <w:shd w:val="clear" w:color="auto" w:fill="FFFFFF"/>
        </w:rPr>
        <w:t>30.62</w:t>
      </w:r>
      <w:r>
        <w:rPr>
          <w:rFonts w:hint="eastAsia"/>
          <w:color w:val="000000" w:themeColor="text1"/>
          <w:kern w:val="0"/>
          <w:szCs w:val="32"/>
          <w:shd w:val="clear" w:color="auto" w:fill="FFFFFF"/>
        </w:rPr>
        <w:t>万元），调整</w:t>
      </w:r>
      <w:r>
        <w:rPr>
          <w:rFonts w:hint="eastAsia"/>
          <w:color w:val="000000" w:themeColor="text1"/>
          <w:kern w:val="0"/>
          <w:szCs w:val="32"/>
          <w:shd w:val="clear" w:color="auto" w:fill="FFFFFF"/>
        </w:rPr>
        <w:lastRenderedPageBreak/>
        <w:t>预算执行率为</w:t>
      </w:r>
      <w:r>
        <w:rPr>
          <w:rFonts w:hint="eastAsia"/>
          <w:color w:val="000000" w:themeColor="text1"/>
          <w:kern w:val="0"/>
          <w:szCs w:val="32"/>
          <w:shd w:val="clear" w:color="auto" w:fill="FFFFFF"/>
        </w:rPr>
        <w:t>100%</w:t>
      </w:r>
      <w:r>
        <w:rPr>
          <w:rFonts w:hint="eastAsia"/>
          <w:color w:val="000000" w:themeColor="text1"/>
          <w:kern w:val="0"/>
          <w:szCs w:val="32"/>
          <w:shd w:val="clear" w:color="auto" w:fill="FFFFFF"/>
        </w:rPr>
        <w:t>，主要原因是全年增加</w:t>
      </w:r>
      <w:r>
        <w:rPr>
          <w:rFonts w:hint="eastAsia"/>
          <w:color w:val="000000" w:themeColor="text1"/>
          <w:kern w:val="0"/>
          <w:szCs w:val="32"/>
          <w:shd w:val="clear" w:color="auto" w:fill="FFFFFF"/>
        </w:rPr>
        <w:t>1</w:t>
      </w:r>
      <w:r>
        <w:rPr>
          <w:rFonts w:hint="eastAsia"/>
          <w:color w:val="000000" w:themeColor="text1"/>
          <w:kern w:val="0"/>
          <w:szCs w:val="32"/>
          <w:shd w:val="clear" w:color="auto" w:fill="FFFFFF"/>
        </w:rPr>
        <w:t>人，人员经费标准调整等原因，人员经费执行过程中无违规记录；</w:t>
      </w:r>
      <w:r>
        <w:rPr>
          <w:rFonts w:hint="eastAsia"/>
          <w:color w:val="000000" w:themeColor="text1"/>
          <w:kern w:val="0"/>
          <w:szCs w:val="32"/>
          <w:shd w:val="clear" w:color="auto" w:fill="FFFFFF"/>
        </w:rPr>
        <w:t>2024</w:t>
      </w:r>
      <w:r>
        <w:rPr>
          <w:rFonts w:hint="eastAsia"/>
          <w:color w:val="000000" w:themeColor="text1"/>
          <w:kern w:val="0"/>
          <w:szCs w:val="32"/>
          <w:shd w:val="clear" w:color="auto" w:fill="FFFFFF"/>
        </w:rPr>
        <w:t>年年初预算对个人和家庭的补助支出</w:t>
      </w:r>
      <w:r>
        <w:rPr>
          <w:rFonts w:hint="eastAsia"/>
          <w:color w:val="000000" w:themeColor="text1"/>
          <w:kern w:val="0"/>
          <w:szCs w:val="32"/>
          <w:shd w:val="clear" w:color="auto" w:fill="FFFFFF"/>
        </w:rPr>
        <w:t>45.12</w:t>
      </w:r>
      <w:r>
        <w:rPr>
          <w:rFonts w:hint="eastAsia"/>
          <w:color w:val="000000" w:themeColor="text1"/>
          <w:kern w:val="0"/>
          <w:szCs w:val="32"/>
          <w:shd w:val="clear" w:color="auto" w:fill="FFFFFF"/>
        </w:rPr>
        <w:t>万元，全年实际支出</w:t>
      </w:r>
      <w:r>
        <w:rPr>
          <w:rFonts w:hint="eastAsia"/>
          <w:color w:val="000000" w:themeColor="text1"/>
          <w:kern w:val="0"/>
          <w:szCs w:val="32"/>
          <w:shd w:val="clear" w:color="auto" w:fill="FFFFFF"/>
        </w:rPr>
        <w:t>45.12</w:t>
      </w:r>
      <w:r>
        <w:rPr>
          <w:rFonts w:hint="eastAsia"/>
          <w:color w:val="000000" w:themeColor="text1"/>
          <w:kern w:val="0"/>
          <w:szCs w:val="32"/>
          <w:shd w:val="clear" w:color="auto" w:fill="FFFFFF"/>
        </w:rPr>
        <w:t>万元，预算执行率为</w:t>
      </w:r>
      <w:r>
        <w:rPr>
          <w:rFonts w:hint="eastAsia"/>
          <w:color w:val="000000" w:themeColor="text1"/>
          <w:kern w:val="0"/>
          <w:szCs w:val="32"/>
          <w:shd w:val="clear" w:color="auto" w:fill="FFFFFF"/>
        </w:rPr>
        <w:t>100%</w:t>
      </w:r>
      <w:r>
        <w:rPr>
          <w:rFonts w:hint="eastAsia"/>
          <w:color w:val="000000" w:themeColor="text1"/>
          <w:kern w:val="0"/>
          <w:szCs w:val="32"/>
          <w:shd w:val="clear" w:color="auto" w:fill="FFFFFF"/>
        </w:rPr>
        <w:t>。无违规记录。</w:t>
      </w:r>
    </w:p>
    <w:p w14:paraId="4942CF13" w14:textId="77777777" w:rsidR="003649D2" w:rsidRDefault="00000000">
      <w:pPr>
        <w:widowControl/>
        <w:numPr>
          <w:ilvl w:val="0"/>
          <w:numId w:val="2"/>
        </w:numPr>
        <w:adjustRightInd w:val="0"/>
        <w:snapToGrid w:val="0"/>
        <w:spacing w:line="580" w:lineRule="exact"/>
        <w:ind w:firstLineChars="200" w:firstLine="640"/>
        <w:contextualSpacing/>
        <w:jc w:val="left"/>
        <w:rPr>
          <w:color w:val="000000"/>
          <w:kern w:val="0"/>
          <w:szCs w:val="32"/>
          <w:shd w:val="clear" w:color="auto" w:fill="FFFFFF"/>
        </w:rPr>
      </w:pPr>
      <w:r>
        <w:rPr>
          <w:rFonts w:hint="eastAsia"/>
          <w:color w:val="000000"/>
          <w:kern w:val="0"/>
          <w:szCs w:val="32"/>
          <w:shd w:val="clear" w:color="auto" w:fill="FFFFFF"/>
        </w:rPr>
        <w:t>运转类支出安排及支出情况</w:t>
      </w:r>
    </w:p>
    <w:p w14:paraId="230ED58F" w14:textId="77777777" w:rsidR="003649D2" w:rsidRDefault="00000000">
      <w:pPr>
        <w:widowControl/>
        <w:adjustRightInd w:val="0"/>
        <w:snapToGrid w:val="0"/>
        <w:spacing w:line="580" w:lineRule="exact"/>
        <w:contextualSpacing/>
        <w:jc w:val="left"/>
        <w:rPr>
          <w:color w:val="FF0000"/>
          <w:kern w:val="0"/>
          <w:szCs w:val="32"/>
          <w:shd w:val="clear" w:color="auto" w:fill="FFFFFF"/>
        </w:rPr>
      </w:pPr>
      <w:r>
        <w:rPr>
          <w:rFonts w:hint="eastAsia"/>
          <w:color w:val="000000"/>
          <w:kern w:val="0"/>
          <w:szCs w:val="32"/>
          <w:shd w:val="clear" w:color="auto" w:fill="FFFFFF"/>
        </w:rPr>
        <w:t xml:space="preserve">     </w:t>
      </w:r>
      <w:r>
        <w:rPr>
          <w:rFonts w:hint="eastAsia"/>
          <w:color w:val="000000" w:themeColor="text1"/>
          <w:kern w:val="0"/>
          <w:szCs w:val="32"/>
          <w:shd w:val="clear" w:color="auto" w:fill="FFFFFF"/>
        </w:rPr>
        <w:t>为保障单位日常运转，提高预算编制质量，</w:t>
      </w:r>
      <w:r>
        <w:rPr>
          <w:rFonts w:hint="eastAsia"/>
          <w:color w:val="000000" w:themeColor="text1"/>
          <w:kern w:val="0"/>
          <w:szCs w:val="32"/>
          <w:shd w:val="clear" w:color="auto" w:fill="FFFFFF"/>
        </w:rPr>
        <w:t>2024</w:t>
      </w:r>
      <w:r>
        <w:rPr>
          <w:rFonts w:hint="eastAsia"/>
          <w:color w:val="000000" w:themeColor="text1"/>
          <w:kern w:val="0"/>
          <w:szCs w:val="32"/>
          <w:shd w:val="clear" w:color="auto" w:fill="FFFFFF"/>
        </w:rPr>
        <w:t>年年初预算日常公用支出</w:t>
      </w:r>
      <w:r>
        <w:rPr>
          <w:rFonts w:hint="eastAsia"/>
          <w:color w:val="000000" w:themeColor="text1"/>
          <w:kern w:val="0"/>
          <w:szCs w:val="32"/>
          <w:shd w:val="clear" w:color="auto" w:fill="FFFFFF"/>
        </w:rPr>
        <w:t>81</w:t>
      </w:r>
      <w:r>
        <w:rPr>
          <w:rFonts w:hint="eastAsia"/>
          <w:color w:val="000000" w:themeColor="text1"/>
          <w:kern w:val="0"/>
          <w:szCs w:val="32"/>
          <w:shd w:val="clear" w:color="auto" w:fill="FFFFFF"/>
        </w:rPr>
        <w:t>万元，全年实际支出</w:t>
      </w:r>
      <w:r>
        <w:rPr>
          <w:rFonts w:hint="eastAsia"/>
          <w:color w:val="000000" w:themeColor="text1"/>
          <w:kern w:val="0"/>
          <w:szCs w:val="32"/>
          <w:shd w:val="clear" w:color="auto" w:fill="FFFFFF"/>
        </w:rPr>
        <w:t>62.25</w:t>
      </w:r>
      <w:r>
        <w:rPr>
          <w:rFonts w:hint="eastAsia"/>
          <w:color w:val="000000" w:themeColor="text1"/>
          <w:kern w:val="0"/>
          <w:szCs w:val="32"/>
          <w:shd w:val="clear" w:color="auto" w:fill="FFFFFF"/>
        </w:rPr>
        <w:t>万元，指标结余总计</w:t>
      </w:r>
      <w:r>
        <w:rPr>
          <w:rFonts w:hint="eastAsia"/>
          <w:color w:val="000000" w:themeColor="text1"/>
          <w:kern w:val="0"/>
          <w:szCs w:val="32"/>
          <w:shd w:val="clear" w:color="auto" w:fill="FFFFFF"/>
        </w:rPr>
        <w:t>18.75</w:t>
      </w:r>
      <w:r>
        <w:rPr>
          <w:rFonts w:hint="eastAsia"/>
          <w:color w:val="000000" w:themeColor="text1"/>
          <w:kern w:val="0"/>
          <w:szCs w:val="32"/>
          <w:shd w:val="clear" w:color="auto" w:fill="FFFFFF"/>
        </w:rPr>
        <w:t>万元，预算执行率为</w:t>
      </w:r>
      <w:r>
        <w:rPr>
          <w:rFonts w:hint="eastAsia"/>
          <w:color w:val="000000" w:themeColor="text1"/>
          <w:kern w:val="0"/>
          <w:szCs w:val="32"/>
          <w:shd w:val="clear" w:color="auto" w:fill="FFFFFF"/>
        </w:rPr>
        <w:t>76.85%</w:t>
      </w:r>
      <w:r>
        <w:rPr>
          <w:rFonts w:hint="eastAsia"/>
          <w:color w:val="000000" w:themeColor="text1"/>
          <w:kern w:val="0"/>
          <w:szCs w:val="32"/>
          <w:shd w:val="clear" w:color="auto" w:fill="FFFFFF"/>
        </w:rPr>
        <w:t>，资金结余率</w:t>
      </w:r>
      <w:r>
        <w:rPr>
          <w:rFonts w:hint="eastAsia"/>
          <w:color w:val="000000" w:themeColor="text1"/>
          <w:kern w:val="0"/>
          <w:szCs w:val="32"/>
          <w:shd w:val="clear" w:color="auto" w:fill="FFFFFF"/>
        </w:rPr>
        <w:t>23.15%</w:t>
      </w:r>
      <w:r>
        <w:rPr>
          <w:rFonts w:hint="eastAsia"/>
          <w:color w:val="000000" w:themeColor="text1"/>
          <w:kern w:val="0"/>
          <w:szCs w:val="32"/>
          <w:shd w:val="clear" w:color="auto" w:fill="FFFFFF"/>
        </w:rPr>
        <w:t>，主要原因是按相关要求压缩“三公经费”、控制差旅次数、党建活动开展次数减少，无违规记录。</w:t>
      </w:r>
    </w:p>
    <w:p w14:paraId="0B2397A2" w14:textId="77777777" w:rsidR="003649D2" w:rsidRDefault="00000000">
      <w:pPr>
        <w:widowControl/>
        <w:numPr>
          <w:ilvl w:val="0"/>
          <w:numId w:val="2"/>
        </w:numPr>
        <w:adjustRightInd w:val="0"/>
        <w:snapToGrid w:val="0"/>
        <w:spacing w:line="580" w:lineRule="exact"/>
        <w:ind w:firstLineChars="200" w:firstLine="640"/>
        <w:contextualSpacing/>
        <w:jc w:val="left"/>
        <w:rPr>
          <w:color w:val="000000"/>
          <w:kern w:val="0"/>
          <w:szCs w:val="32"/>
          <w:shd w:val="clear" w:color="auto" w:fill="FFFFFF"/>
        </w:rPr>
      </w:pPr>
      <w:r>
        <w:rPr>
          <w:rFonts w:hint="eastAsia"/>
          <w:color w:val="000000"/>
          <w:kern w:val="0"/>
          <w:szCs w:val="32"/>
          <w:shd w:val="clear" w:color="auto" w:fill="FFFFFF"/>
        </w:rPr>
        <w:t>特定目标类支出安排及使用情况</w:t>
      </w:r>
    </w:p>
    <w:p w14:paraId="6F7CDCAB" w14:textId="49E717CE" w:rsidR="003649D2" w:rsidRDefault="00000000">
      <w:pPr>
        <w:widowControl/>
        <w:adjustRightInd w:val="0"/>
        <w:snapToGrid w:val="0"/>
        <w:spacing w:line="580" w:lineRule="exact"/>
        <w:contextualSpacing/>
        <w:jc w:val="left"/>
        <w:rPr>
          <w:color w:val="000000"/>
          <w:kern w:val="0"/>
          <w:szCs w:val="32"/>
          <w:shd w:val="clear" w:color="auto" w:fill="FFFFFF"/>
          <w:lang w:val="zh-CN"/>
        </w:rPr>
      </w:pPr>
      <w:r>
        <w:rPr>
          <w:rFonts w:hint="eastAsia"/>
          <w:color w:val="000000"/>
          <w:kern w:val="0"/>
          <w:szCs w:val="32"/>
          <w:shd w:val="clear" w:color="auto" w:fill="FFFFFF"/>
        </w:rPr>
        <w:t xml:space="preserve">    </w:t>
      </w:r>
      <w:r>
        <w:rPr>
          <w:rFonts w:hint="eastAsia"/>
          <w:color w:val="000000" w:themeColor="text1"/>
          <w:kern w:val="0"/>
          <w:szCs w:val="32"/>
          <w:shd w:val="clear" w:color="auto" w:fill="FFFFFF"/>
        </w:rPr>
        <w:t xml:space="preserve"> </w:t>
      </w:r>
      <w:r>
        <w:rPr>
          <w:rFonts w:hint="eastAsia"/>
          <w:color w:val="000000" w:themeColor="text1"/>
          <w:kern w:val="0"/>
          <w:szCs w:val="32"/>
          <w:shd w:val="clear" w:color="auto" w:fill="FFFFFF"/>
        </w:rPr>
        <w:t>预算安排坚持突出重点，有保有压的原则。涉及民生优先保证，属于建设和发展的适当控制，支出管理坚持依法规范、盘活存量、注重绩效的原则。</w:t>
      </w:r>
      <w:r>
        <w:rPr>
          <w:rFonts w:hint="eastAsia"/>
          <w:color w:val="000000" w:themeColor="text1"/>
          <w:kern w:val="0"/>
          <w:szCs w:val="32"/>
          <w:shd w:val="clear" w:color="auto" w:fill="FFFFFF"/>
        </w:rPr>
        <w:t>2024</w:t>
      </w:r>
      <w:r>
        <w:rPr>
          <w:rFonts w:hint="eastAsia"/>
          <w:color w:val="000000" w:themeColor="text1"/>
          <w:kern w:val="0"/>
          <w:szCs w:val="32"/>
          <w:shd w:val="clear" w:color="auto" w:fill="FFFFFF"/>
        </w:rPr>
        <w:t>年年初特定目标类预算工作专项支出</w:t>
      </w:r>
      <w:r>
        <w:rPr>
          <w:rFonts w:hint="eastAsia"/>
          <w:color w:val="000000" w:themeColor="text1"/>
          <w:kern w:val="0"/>
          <w:szCs w:val="32"/>
          <w:shd w:val="clear" w:color="auto" w:fill="FFFFFF"/>
        </w:rPr>
        <w:t>1007.98</w:t>
      </w:r>
      <w:r>
        <w:rPr>
          <w:rFonts w:hint="eastAsia"/>
          <w:color w:val="000000" w:themeColor="text1"/>
          <w:kern w:val="0"/>
          <w:szCs w:val="32"/>
          <w:shd w:val="clear" w:color="auto" w:fill="FFFFFF"/>
        </w:rPr>
        <w:t>万元，全年实际支出</w:t>
      </w:r>
      <w:r>
        <w:rPr>
          <w:rFonts w:hint="eastAsia"/>
          <w:color w:val="000000" w:themeColor="text1"/>
          <w:kern w:val="0"/>
          <w:szCs w:val="32"/>
          <w:shd w:val="clear" w:color="auto" w:fill="FFFFFF"/>
        </w:rPr>
        <w:t>1263.81</w:t>
      </w:r>
      <w:r>
        <w:rPr>
          <w:rFonts w:hint="eastAsia"/>
          <w:color w:val="000000" w:themeColor="text1"/>
          <w:kern w:val="0"/>
          <w:szCs w:val="32"/>
          <w:shd w:val="clear" w:color="auto" w:fill="FFFFFF"/>
        </w:rPr>
        <w:t>万元，调整预算执行率为</w:t>
      </w:r>
      <w:r>
        <w:rPr>
          <w:rFonts w:hint="eastAsia"/>
          <w:color w:val="000000" w:themeColor="text1"/>
          <w:kern w:val="0"/>
          <w:szCs w:val="32"/>
          <w:shd w:val="clear" w:color="auto" w:fill="FFFFFF"/>
        </w:rPr>
        <w:t>100%</w:t>
      </w:r>
      <w:r>
        <w:rPr>
          <w:rFonts w:hint="eastAsia"/>
          <w:color w:val="000000" w:themeColor="text1"/>
          <w:kern w:val="0"/>
          <w:szCs w:val="32"/>
          <w:shd w:val="clear" w:color="auto" w:fill="FFFFFF"/>
        </w:rPr>
        <w:t>，主要原因是财政投入东区加快创建全国百强区扎实推进共同富裕工作经费、示范性老年助餐网络建设等，年度工作开展过程中，追加办公楼卫生间改造项目和金福社区和华山村城乡融合区域交通和环境提升项目方案设计费等部分工作经费预算，定目标执行过程中无违规记录。</w:t>
      </w:r>
    </w:p>
    <w:p w14:paraId="242A7C84" w14:textId="77777777" w:rsidR="003649D2"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（二）绩效结果应用情况。</w:t>
      </w:r>
    </w:p>
    <w:p w14:paraId="0CF7991E"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rPr>
        <w:t>提高了居民生活质量，通过公共服务运行的基础设施维护、小区清扫保洁、绿化管护等项目实施，基础设施效益发挥更加长期持久，辖区更加清洁美丽、群众生活更加便利、业余生活更加丰富，有效地提高了群众的生活质量，巩固了党在基层的执政基础。在下</w:t>
      </w:r>
      <w:r>
        <w:rPr>
          <w:rFonts w:hint="eastAsia"/>
          <w:color w:val="000000"/>
          <w:kern w:val="0"/>
          <w:szCs w:val="32"/>
          <w:shd w:val="clear" w:color="auto" w:fill="FFFFFF"/>
        </w:rPr>
        <w:lastRenderedPageBreak/>
        <w:t>一年度的预算编制过程中，街办将充分考虑绩效评价结果，对预算进行更加精细化的编制。</w:t>
      </w:r>
    </w:p>
    <w:p w14:paraId="11B9BA1D" w14:textId="77777777" w:rsidR="003649D2"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（三）绩效自评质量。</w:t>
      </w:r>
    </w:p>
    <w:p w14:paraId="1D25B671"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rPr>
      </w:pPr>
      <w:r>
        <w:rPr>
          <w:color w:val="000000"/>
          <w:kern w:val="0"/>
          <w:szCs w:val="32"/>
          <w:shd w:val="clear" w:color="auto" w:fill="FFFFFF"/>
        </w:rPr>
        <w:t xml:space="preserve">    </w:t>
      </w:r>
      <w:r>
        <w:rPr>
          <w:rFonts w:hint="eastAsia"/>
          <w:color w:val="000000"/>
          <w:kern w:val="0"/>
          <w:szCs w:val="32"/>
          <w:shd w:val="clear" w:color="auto" w:fill="FFFFFF"/>
        </w:rPr>
        <w:t>1.</w:t>
      </w:r>
      <w:r>
        <w:rPr>
          <w:rFonts w:hint="eastAsia"/>
          <w:color w:val="000000"/>
          <w:kern w:val="0"/>
          <w:szCs w:val="32"/>
          <w:shd w:val="clear" w:color="auto" w:fill="FFFFFF"/>
        </w:rPr>
        <w:t>产出指标完成情况分析</w:t>
      </w:r>
    </w:p>
    <w:p w14:paraId="4AD4C09A" w14:textId="77777777" w:rsidR="003649D2" w:rsidRDefault="00000000">
      <w:pPr>
        <w:widowControl/>
        <w:adjustRightInd w:val="0"/>
        <w:snapToGrid w:val="0"/>
        <w:spacing w:line="580" w:lineRule="exact"/>
        <w:ind w:firstLineChars="200" w:firstLine="640"/>
        <w:contextualSpacing/>
        <w:jc w:val="left"/>
        <w:rPr>
          <w:color w:val="000000" w:themeColor="text1"/>
          <w:kern w:val="0"/>
          <w:szCs w:val="32"/>
          <w:shd w:val="clear" w:color="auto" w:fill="FFFFFF"/>
        </w:rPr>
      </w:pPr>
      <w:r>
        <w:rPr>
          <w:rFonts w:hint="eastAsia"/>
          <w:color w:val="000000" w:themeColor="text1"/>
          <w:kern w:val="0"/>
          <w:szCs w:val="32"/>
          <w:shd w:val="clear" w:color="auto" w:fill="FFFFFF"/>
        </w:rPr>
        <w:t>数量指标完成情况：共实施预算项目</w:t>
      </w:r>
      <w:r>
        <w:rPr>
          <w:rFonts w:hint="eastAsia"/>
          <w:color w:val="000000" w:themeColor="text1"/>
          <w:kern w:val="0"/>
          <w:szCs w:val="32"/>
          <w:shd w:val="clear" w:color="auto" w:fill="FFFFFF"/>
        </w:rPr>
        <w:t>61</w:t>
      </w:r>
      <w:r>
        <w:rPr>
          <w:rFonts w:hint="eastAsia"/>
          <w:color w:val="000000" w:themeColor="text1"/>
          <w:kern w:val="0"/>
          <w:szCs w:val="32"/>
          <w:shd w:val="clear" w:color="auto" w:fill="FFFFFF"/>
        </w:rPr>
        <w:t>个，其中区级预算项目</w:t>
      </w:r>
      <w:r>
        <w:rPr>
          <w:rFonts w:hint="eastAsia"/>
          <w:color w:val="000000" w:themeColor="text1"/>
          <w:kern w:val="0"/>
          <w:szCs w:val="32"/>
          <w:shd w:val="clear" w:color="auto" w:fill="FFFFFF"/>
        </w:rPr>
        <w:t>45</w:t>
      </w:r>
      <w:r>
        <w:rPr>
          <w:rFonts w:hint="eastAsia"/>
          <w:color w:val="000000" w:themeColor="text1"/>
          <w:kern w:val="0"/>
          <w:szCs w:val="32"/>
          <w:shd w:val="clear" w:color="auto" w:fill="FFFFFF"/>
        </w:rPr>
        <w:t>个，中央级预算项目</w:t>
      </w:r>
      <w:r>
        <w:rPr>
          <w:rFonts w:hint="eastAsia"/>
          <w:color w:val="000000" w:themeColor="text1"/>
          <w:kern w:val="0"/>
          <w:szCs w:val="32"/>
          <w:shd w:val="clear" w:color="auto" w:fill="FFFFFF"/>
        </w:rPr>
        <w:t>2</w:t>
      </w:r>
      <w:r>
        <w:rPr>
          <w:rFonts w:hint="eastAsia"/>
          <w:color w:val="000000" w:themeColor="text1"/>
          <w:kern w:val="0"/>
          <w:szCs w:val="32"/>
          <w:shd w:val="clear" w:color="auto" w:fill="FFFFFF"/>
        </w:rPr>
        <w:t>个，省级预算项目</w:t>
      </w:r>
      <w:r>
        <w:rPr>
          <w:rFonts w:hint="eastAsia"/>
          <w:color w:val="000000" w:themeColor="text1"/>
          <w:kern w:val="0"/>
          <w:szCs w:val="32"/>
          <w:shd w:val="clear" w:color="auto" w:fill="FFFFFF"/>
        </w:rPr>
        <w:t>6</w:t>
      </w:r>
      <w:r>
        <w:rPr>
          <w:rFonts w:hint="eastAsia"/>
          <w:color w:val="000000" w:themeColor="text1"/>
          <w:kern w:val="0"/>
          <w:szCs w:val="32"/>
          <w:shd w:val="clear" w:color="auto" w:fill="FFFFFF"/>
        </w:rPr>
        <w:t>个，市级预算项目</w:t>
      </w:r>
      <w:r>
        <w:rPr>
          <w:rFonts w:hint="eastAsia"/>
          <w:color w:val="000000" w:themeColor="text1"/>
          <w:kern w:val="0"/>
          <w:szCs w:val="32"/>
          <w:shd w:val="clear" w:color="auto" w:fill="FFFFFF"/>
        </w:rPr>
        <w:t>8</w:t>
      </w:r>
      <w:r>
        <w:rPr>
          <w:rFonts w:hint="eastAsia"/>
          <w:color w:val="000000" w:themeColor="text1"/>
          <w:kern w:val="0"/>
          <w:szCs w:val="32"/>
          <w:shd w:val="clear" w:color="auto" w:fill="FFFFFF"/>
        </w:rPr>
        <w:t>个；时效指标完成情况：按年度工作安排推进；严格按照预算报销相应的批复数支出。</w:t>
      </w:r>
    </w:p>
    <w:p w14:paraId="5EEDAC95" w14:textId="77777777" w:rsidR="003649D2" w:rsidRDefault="00000000">
      <w:pPr>
        <w:widowControl/>
        <w:adjustRightInd w:val="0"/>
        <w:snapToGrid w:val="0"/>
        <w:spacing w:line="580" w:lineRule="exact"/>
        <w:ind w:left="640"/>
        <w:contextualSpacing/>
        <w:jc w:val="left"/>
        <w:rPr>
          <w:color w:val="000000"/>
          <w:kern w:val="0"/>
          <w:szCs w:val="32"/>
          <w:shd w:val="clear" w:color="auto" w:fill="FFFFFF"/>
        </w:rPr>
      </w:pPr>
      <w:r>
        <w:rPr>
          <w:rFonts w:hint="eastAsia"/>
          <w:color w:val="000000"/>
          <w:kern w:val="0"/>
          <w:szCs w:val="32"/>
          <w:shd w:val="clear" w:color="auto" w:fill="FFFFFF"/>
        </w:rPr>
        <w:t>2.</w:t>
      </w:r>
      <w:r>
        <w:rPr>
          <w:rFonts w:hint="eastAsia"/>
          <w:color w:val="000000"/>
          <w:kern w:val="0"/>
          <w:szCs w:val="32"/>
          <w:shd w:val="clear" w:color="auto" w:fill="FFFFFF"/>
        </w:rPr>
        <w:t>效益指标完成情况分析</w:t>
      </w:r>
    </w:p>
    <w:p w14:paraId="5F02CBC2"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rPr>
      </w:pPr>
      <w:r>
        <w:rPr>
          <w:rFonts w:hint="eastAsia"/>
          <w:color w:val="000000"/>
          <w:kern w:val="0"/>
          <w:szCs w:val="32"/>
          <w:shd w:val="clear" w:color="auto" w:fill="FFFFFF"/>
        </w:rPr>
        <w:t>社会效益指标：通过项目的实施，完善公共服务体系，形成管理有序、服务完善、文明祥和的社会生活共同体。提高资金使用效率，保障各项工作进展顺利。</w:t>
      </w:r>
    </w:p>
    <w:p w14:paraId="094FC671"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rPr>
      </w:pPr>
      <w:r>
        <w:rPr>
          <w:rFonts w:hint="eastAsia"/>
          <w:color w:val="000000"/>
          <w:kern w:val="0"/>
          <w:szCs w:val="32"/>
          <w:shd w:val="clear" w:color="auto" w:fill="FFFFFF"/>
        </w:rPr>
        <w:t>生态效益指标：及时修复辖区生态环境，增加绿化覆盖率，提高空气质量，积极创建美丽东区、宜居城市。</w:t>
      </w:r>
    </w:p>
    <w:p w14:paraId="547CA548" w14:textId="77777777" w:rsidR="003649D2" w:rsidRDefault="00000000">
      <w:pPr>
        <w:widowControl/>
        <w:adjustRightInd w:val="0"/>
        <w:snapToGrid w:val="0"/>
        <w:spacing w:line="580" w:lineRule="exact"/>
        <w:ind w:left="640"/>
        <w:contextualSpacing/>
        <w:jc w:val="left"/>
        <w:rPr>
          <w:color w:val="000000"/>
          <w:kern w:val="0"/>
          <w:szCs w:val="32"/>
          <w:shd w:val="clear" w:color="auto" w:fill="FFFFFF"/>
        </w:rPr>
      </w:pPr>
      <w:r>
        <w:rPr>
          <w:rFonts w:hint="eastAsia"/>
          <w:color w:val="000000"/>
          <w:kern w:val="0"/>
          <w:szCs w:val="32"/>
          <w:shd w:val="clear" w:color="auto" w:fill="FFFFFF"/>
        </w:rPr>
        <w:t>3.</w:t>
      </w:r>
      <w:r>
        <w:rPr>
          <w:rFonts w:hint="eastAsia"/>
          <w:color w:val="000000"/>
          <w:kern w:val="0"/>
          <w:szCs w:val="32"/>
          <w:shd w:val="clear" w:color="auto" w:fill="FFFFFF"/>
        </w:rPr>
        <w:t>满意度指标：预算项目对象满意度达</w:t>
      </w:r>
      <w:r>
        <w:rPr>
          <w:rFonts w:hint="eastAsia"/>
          <w:color w:val="000000"/>
          <w:kern w:val="0"/>
          <w:szCs w:val="32"/>
          <w:shd w:val="clear" w:color="auto" w:fill="FFFFFF"/>
        </w:rPr>
        <w:t>90%</w:t>
      </w:r>
      <w:r>
        <w:rPr>
          <w:rFonts w:hint="eastAsia"/>
          <w:color w:val="000000"/>
          <w:kern w:val="0"/>
          <w:szCs w:val="32"/>
          <w:shd w:val="clear" w:color="auto" w:fill="FFFFFF"/>
        </w:rPr>
        <w:t>以上。</w:t>
      </w:r>
    </w:p>
    <w:p w14:paraId="4CDD98E4" w14:textId="77777777" w:rsidR="003649D2" w:rsidRDefault="00000000">
      <w:pPr>
        <w:widowControl/>
        <w:adjustRightInd w:val="0"/>
        <w:snapToGrid w:val="0"/>
        <w:spacing w:line="580" w:lineRule="exact"/>
        <w:ind w:firstLineChars="200" w:firstLine="64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w:t>
      </w:r>
    </w:p>
    <w:p w14:paraId="6C3F4595"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rPr>
      </w:pPr>
      <w:r>
        <w:rPr>
          <w:rFonts w:ascii="楷体_GB2312" w:eastAsia="楷体_GB2312" w:hAnsi="楷体_GB2312" w:cs="楷体_GB2312" w:hint="eastAsia"/>
          <w:color w:val="000000"/>
          <w:kern w:val="0"/>
          <w:szCs w:val="32"/>
          <w:shd w:val="clear" w:color="auto" w:fill="FFFFFF"/>
          <w:lang w:val="zh-CN"/>
        </w:rPr>
        <w:t>（一）评价结论。</w:t>
      </w:r>
      <w:r>
        <w:rPr>
          <w:rFonts w:hint="eastAsia"/>
          <w:color w:val="000000"/>
          <w:kern w:val="0"/>
          <w:szCs w:val="32"/>
          <w:shd w:val="clear" w:color="auto" w:fill="FFFFFF"/>
        </w:rPr>
        <w:t>2024</w:t>
      </w:r>
      <w:r>
        <w:rPr>
          <w:rFonts w:hint="eastAsia"/>
          <w:color w:val="000000"/>
          <w:kern w:val="0"/>
          <w:szCs w:val="32"/>
          <w:shd w:val="clear" w:color="auto" w:fill="FFFFFF"/>
        </w:rPr>
        <w:t>年我街道的部门预算编制规范、准确，各项经费足额纳入预算安排，整体支出绩效自评得分</w:t>
      </w:r>
      <w:r>
        <w:rPr>
          <w:rFonts w:hint="eastAsia"/>
          <w:color w:val="000000"/>
          <w:kern w:val="0"/>
          <w:szCs w:val="32"/>
          <w:shd w:val="clear" w:color="auto" w:fill="FFFFFF"/>
        </w:rPr>
        <w:t>83.6</w:t>
      </w:r>
      <w:r>
        <w:rPr>
          <w:rFonts w:hint="eastAsia"/>
          <w:color w:val="000000"/>
          <w:kern w:val="0"/>
          <w:szCs w:val="32"/>
          <w:shd w:val="clear" w:color="auto" w:fill="FFFFFF"/>
        </w:rPr>
        <w:t>分；确保单位的正常运转和专项工作的顺利开展，较好地完成年初绩效目标任务；部门决算按照区财政和上级财政要求进行编制，准确、详实、真实地反映了本单位财政收支情况。</w:t>
      </w:r>
    </w:p>
    <w:p w14:paraId="525D4E67"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rPr>
      </w:pPr>
      <w:r>
        <w:rPr>
          <w:rFonts w:ascii="楷体_GB2312" w:eastAsia="楷体_GB2312" w:hAnsi="楷体_GB2312" w:cs="楷体_GB2312" w:hint="eastAsia"/>
          <w:color w:val="000000"/>
          <w:kern w:val="0"/>
          <w:szCs w:val="32"/>
          <w:shd w:val="clear" w:color="auto" w:fill="FFFFFF"/>
          <w:lang w:val="zh-CN"/>
        </w:rPr>
        <w:t>（二）存在问题。</w:t>
      </w:r>
      <w:r>
        <w:rPr>
          <w:rFonts w:hint="eastAsia"/>
          <w:color w:val="000000"/>
          <w:kern w:val="0"/>
          <w:szCs w:val="32"/>
          <w:shd w:val="clear" w:color="auto" w:fill="FFFFFF"/>
        </w:rPr>
        <w:t>绩效方面专业业务有待学习提高。</w:t>
      </w:r>
      <w:r>
        <w:rPr>
          <w:rFonts w:hint="eastAsia"/>
          <w:color w:val="000000"/>
          <w:kern w:val="0"/>
          <w:szCs w:val="32"/>
          <w:shd w:val="clear" w:color="auto" w:fill="FFFFFF"/>
        </w:rPr>
        <w:t>1.</w:t>
      </w:r>
      <w:r>
        <w:rPr>
          <w:rFonts w:hint="eastAsia"/>
          <w:color w:val="000000"/>
          <w:kern w:val="0"/>
          <w:szCs w:val="32"/>
          <w:shd w:val="clear" w:color="auto" w:fill="FFFFFF"/>
        </w:rPr>
        <w:t>预算绩效观念不深入</w:t>
      </w:r>
      <w:r>
        <w:rPr>
          <w:rFonts w:hint="eastAsia"/>
          <w:color w:val="000000"/>
          <w:kern w:val="0"/>
          <w:szCs w:val="32"/>
          <w:shd w:val="clear" w:color="auto" w:fill="FFFFFF"/>
        </w:rPr>
        <w:t>,</w:t>
      </w:r>
      <w:r>
        <w:rPr>
          <w:rFonts w:hint="eastAsia"/>
          <w:color w:val="000000"/>
          <w:kern w:val="0"/>
          <w:szCs w:val="32"/>
          <w:shd w:val="clear" w:color="auto" w:fill="FFFFFF"/>
        </w:rPr>
        <w:t>思想认识有误区。部分职工对预算绩效管理制度的认知不是十分到位，认为预算申报的项目能落实到位，预算安排的</w:t>
      </w:r>
      <w:r>
        <w:rPr>
          <w:rFonts w:hint="eastAsia"/>
          <w:color w:val="000000"/>
          <w:kern w:val="0"/>
          <w:szCs w:val="32"/>
          <w:shd w:val="clear" w:color="auto" w:fill="FFFFFF"/>
        </w:rPr>
        <w:lastRenderedPageBreak/>
        <w:t>资金能用出去就不会有大的问题</w:t>
      </w:r>
      <w:r>
        <w:rPr>
          <w:rFonts w:hint="eastAsia"/>
          <w:color w:val="000000"/>
          <w:kern w:val="0"/>
          <w:szCs w:val="32"/>
          <w:shd w:val="clear" w:color="auto" w:fill="FFFFFF"/>
        </w:rPr>
        <w:t>,</w:t>
      </w:r>
      <w:r>
        <w:rPr>
          <w:rFonts w:hint="eastAsia"/>
          <w:color w:val="000000"/>
          <w:kern w:val="0"/>
          <w:szCs w:val="32"/>
          <w:shd w:val="clear" w:color="auto" w:fill="FFFFFF"/>
        </w:rPr>
        <w:t>没有站在全局高度考虑是不是达到了效益最大化。</w:t>
      </w:r>
    </w:p>
    <w:p w14:paraId="6095A733"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2.</w:t>
      </w:r>
      <w:r>
        <w:rPr>
          <w:rFonts w:hint="eastAsia"/>
          <w:color w:val="000000"/>
          <w:kern w:val="0"/>
          <w:szCs w:val="32"/>
          <w:shd w:val="clear" w:color="auto" w:fill="FFFFFF"/>
          <w:lang w:val="zh-CN"/>
        </w:rPr>
        <w:t>绩效管理专业人员匮乏</w:t>
      </w:r>
      <w:r>
        <w:rPr>
          <w:rFonts w:hint="eastAsia"/>
          <w:color w:val="000000"/>
          <w:kern w:val="0"/>
          <w:szCs w:val="32"/>
          <w:shd w:val="clear" w:color="auto" w:fill="FFFFFF"/>
          <w:lang w:val="zh-CN"/>
        </w:rPr>
        <w:t>,</w:t>
      </w:r>
      <w:r>
        <w:rPr>
          <w:rFonts w:hint="eastAsia"/>
          <w:color w:val="000000"/>
          <w:kern w:val="0"/>
          <w:szCs w:val="32"/>
          <w:shd w:val="clear" w:color="auto" w:fill="FFFFFF"/>
          <w:lang w:val="zh-CN"/>
        </w:rPr>
        <w:t>规范管理有盲点。预算绩效管理工作的覆盖面广、专业性强</w:t>
      </w:r>
      <w:r>
        <w:rPr>
          <w:rFonts w:hint="eastAsia"/>
          <w:color w:val="000000"/>
          <w:kern w:val="0"/>
          <w:szCs w:val="32"/>
          <w:shd w:val="clear" w:color="auto" w:fill="FFFFFF"/>
          <w:lang w:val="zh-CN"/>
        </w:rPr>
        <w:t>,</w:t>
      </w:r>
      <w:r>
        <w:rPr>
          <w:rFonts w:hint="eastAsia"/>
          <w:color w:val="000000"/>
          <w:kern w:val="0"/>
          <w:szCs w:val="32"/>
          <w:shd w:val="clear" w:color="auto" w:fill="FFFFFF"/>
          <w:lang w:val="zh-CN"/>
        </w:rPr>
        <w:t>预算单位开展日常绩效管理需要具备一定专业素养和实战经验的人员。我局绩效管理专业人员匮乏，从而导致推进绩效管理既缺乏工作经验也缺乏专业技能</w:t>
      </w:r>
      <w:r>
        <w:rPr>
          <w:rFonts w:hint="eastAsia"/>
          <w:color w:val="000000"/>
          <w:kern w:val="0"/>
          <w:szCs w:val="32"/>
          <w:shd w:val="clear" w:color="auto" w:fill="FFFFFF"/>
          <w:lang w:val="zh-CN"/>
        </w:rPr>
        <w:t>,</w:t>
      </w:r>
      <w:r>
        <w:rPr>
          <w:rFonts w:hint="eastAsia"/>
          <w:color w:val="000000"/>
          <w:kern w:val="0"/>
          <w:szCs w:val="32"/>
          <w:shd w:val="clear" w:color="auto" w:fill="FFFFFF"/>
          <w:lang w:val="zh-CN"/>
        </w:rPr>
        <w:t>难以做到程序规范、管理科学和绩效显著。</w:t>
      </w:r>
    </w:p>
    <w:p w14:paraId="683C2AF0"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3.</w:t>
      </w:r>
      <w:r>
        <w:rPr>
          <w:rFonts w:hint="eastAsia"/>
          <w:color w:val="000000"/>
          <w:kern w:val="0"/>
          <w:szCs w:val="32"/>
          <w:shd w:val="clear" w:color="auto" w:fill="FFFFFF"/>
          <w:lang w:val="zh-CN"/>
        </w:rPr>
        <w:t>评价结果运用不充分</w:t>
      </w:r>
      <w:r>
        <w:rPr>
          <w:rFonts w:hint="eastAsia"/>
          <w:color w:val="000000"/>
          <w:kern w:val="0"/>
          <w:szCs w:val="32"/>
          <w:shd w:val="clear" w:color="auto" w:fill="FFFFFF"/>
          <w:lang w:val="zh-CN"/>
        </w:rPr>
        <w:t>,</w:t>
      </w:r>
      <w:r>
        <w:rPr>
          <w:rFonts w:hint="eastAsia"/>
          <w:color w:val="000000"/>
          <w:kern w:val="0"/>
          <w:szCs w:val="32"/>
          <w:shd w:val="clear" w:color="auto" w:fill="FFFFFF"/>
          <w:lang w:val="zh-CN"/>
        </w:rPr>
        <w:t>推动作用有局限。绩效管理与年度预算编制结合得不够紧密</w:t>
      </w:r>
      <w:r>
        <w:rPr>
          <w:rFonts w:hint="eastAsia"/>
          <w:color w:val="000000"/>
          <w:kern w:val="0"/>
          <w:szCs w:val="32"/>
          <w:shd w:val="clear" w:color="auto" w:fill="FFFFFF"/>
          <w:lang w:val="zh-CN"/>
        </w:rPr>
        <w:t>,</w:t>
      </w:r>
      <w:r>
        <w:rPr>
          <w:rFonts w:hint="eastAsia"/>
          <w:color w:val="000000"/>
          <w:kern w:val="0"/>
          <w:szCs w:val="32"/>
          <w:shd w:val="clear" w:color="auto" w:fill="FFFFFF"/>
          <w:lang w:val="zh-CN"/>
        </w:rPr>
        <w:t>落实问题整改意见不是很到位</w:t>
      </w:r>
      <w:r>
        <w:rPr>
          <w:rFonts w:hint="eastAsia"/>
          <w:color w:val="000000"/>
          <w:kern w:val="0"/>
          <w:szCs w:val="32"/>
          <w:shd w:val="clear" w:color="auto" w:fill="FFFFFF"/>
          <w:lang w:val="zh-CN"/>
        </w:rPr>
        <w:t>,</w:t>
      </w:r>
      <w:r>
        <w:rPr>
          <w:rFonts w:hint="eastAsia"/>
          <w:color w:val="000000"/>
          <w:kern w:val="0"/>
          <w:szCs w:val="32"/>
          <w:shd w:val="clear" w:color="auto" w:fill="FFFFFF"/>
          <w:lang w:val="zh-CN"/>
        </w:rPr>
        <w:t>预算绩效管理的追责问效机制还不完善、绩效评价结果不能更快更多地转化成管理措施。</w:t>
      </w:r>
    </w:p>
    <w:p w14:paraId="67482A1A" w14:textId="77777777" w:rsidR="003649D2" w:rsidRDefault="00000000">
      <w:pPr>
        <w:widowControl/>
        <w:adjustRightInd w:val="0"/>
        <w:snapToGrid w:val="0"/>
        <w:spacing w:line="580" w:lineRule="exact"/>
        <w:ind w:firstLineChars="200" w:firstLine="640"/>
        <w:contextualSpacing/>
        <w:jc w:val="left"/>
        <w:rPr>
          <w:rFonts w:ascii="楷体_GB2312" w:eastAsia="楷体_GB2312" w:hAnsi="楷体_GB2312" w:cs="楷体_GB2312" w:hint="eastAsia"/>
          <w:color w:val="000000"/>
          <w:kern w:val="0"/>
          <w:szCs w:val="32"/>
          <w:shd w:val="clear" w:color="auto" w:fill="FFFFFF"/>
          <w:lang w:val="zh-CN"/>
        </w:rPr>
      </w:pPr>
      <w:r>
        <w:rPr>
          <w:rFonts w:ascii="楷体_GB2312" w:eastAsia="楷体_GB2312" w:hAnsi="楷体_GB2312" w:cs="楷体_GB2312" w:hint="eastAsia"/>
          <w:color w:val="000000"/>
          <w:kern w:val="0"/>
          <w:szCs w:val="32"/>
          <w:shd w:val="clear" w:color="auto" w:fill="FFFFFF"/>
          <w:lang w:val="zh-CN"/>
        </w:rPr>
        <w:t>（三）整改措施。</w:t>
      </w:r>
    </w:p>
    <w:p w14:paraId="56841D62"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1.</w:t>
      </w:r>
      <w:r>
        <w:rPr>
          <w:rFonts w:hint="eastAsia"/>
          <w:color w:val="000000"/>
          <w:kern w:val="0"/>
          <w:szCs w:val="32"/>
          <w:shd w:val="clear" w:color="auto" w:fill="FFFFFF"/>
          <w:lang w:val="zh-CN"/>
        </w:rPr>
        <w:t>我们将进一步重视预算的编制工作，加强财务管理制度建设，完善单位内部财务管理制度，增强可执行性；提高预算编制的精确度，提高财政资金使用效率，尽量减少预算执行调整、结转和结余情形。</w:t>
      </w:r>
    </w:p>
    <w:p w14:paraId="25680EB2" w14:textId="77777777" w:rsidR="003649D2" w:rsidRDefault="00000000">
      <w:pPr>
        <w:widowControl/>
        <w:adjustRightInd w:val="0"/>
        <w:snapToGrid w:val="0"/>
        <w:spacing w:line="580" w:lineRule="exact"/>
        <w:ind w:firstLineChars="200" w:firstLine="640"/>
        <w:contextualSpacing/>
        <w:jc w:val="left"/>
        <w:rPr>
          <w:color w:val="000000"/>
          <w:kern w:val="0"/>
          <w:szCs w:val="32"/>
          <w:shd w:val="clear" w:color="auto" w:fill="FFFFFF"/>
          <w:lang w:val="zh-CN"/>
        </w:rPr>
      </w:pPr>
      <w:r>
        <w:rPr>
          <w:rFonts w:hint="eastAsia"/>
          <w:color w:val="000000"/>
          <w:kern w:val="0"/>
          <w:szCs w:val="32"/>
          <w:shd w:val="clear" w:color="auto" w:fill="FFFFFF"/>
          <w:lang w:val="zh-CN"/>
        </w:rPr>
        <w:t>2.</w:t>
      </w:r>
      <w:r>
        <w:rPr>
          <w:rFonts w:hint="eastAsia"/>
          <w:color w:val="000000"/>
          <w:kern w:val="0"/>
          <w:szCs w:val="32"/>
          <w:shd w:val="clear" w:color="auto" w:fill="FFFFFF"/>
          <w:lang w:val="zh-CN"/>
        </w:rPr>
        <w:t>加强资金的合理使用，提前做好资金使用规划，对资金使用和管理实施绩效管理、建立考核机制，实行动态管理，确保资金使用效益最大化。</w:t>
      </w:r>
    </w:p>
    <w:sectPr w:rsidR="003649D2">
      <w:headerReference w:type="default" r:id="rId7"/>
      <w:footerReference w:type="even" r:id="rId8"/>
      <w:pgSz w:w="11906" w:h="16838"/>
      <w:pgMar w:top="907" w:right="1361" w:bottom="851" w:left="1361" w:header="851" w:footer="992" w:gutter="0"/>
      <w:pgNumType w:fmt="numberInDash" w:start="12"/>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FB363" w14:textId="77777777" w:rsidR="00E33A02" w:rsidRDefault="00E33A02">
      <w:r>
        <w:separator/>
      </w:r>
    </w:p>
  </w:endnote>
  <w:endnote w:type="continuationSeparator" w:id="0">
    <w:p w14:paraId="79C15CC4" w14:textId="77777777" w:rsidR="00E33A02" w:rsidRDefault="00E3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31518"/>
    </w:sdtPr>
    <w:sdtContent>
      <w:p w14:paraId="36049238" w14:textId="77777777" w:rsidR="003649D2" w:rsidRDefault="00000000">
        <w:pPr>
          <w:pStyle w:val="a8"/>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12 -</w:t>
        </w:r>
        <w:r>
          <w:rPr>
            <w:rFonts w:asciiTheme="minorEastAsia" w:eastAsiaTheme="minorEastAsia" w:hAnsiTheme="minorEastAsia"/>
            <w:sz w:val="28"/>
            <w:szCs w:val="28"/>
          </w:rPr>
          <w:fldChar w:fldCharType="end"/>
        </w:r>
      </w:p>
    </w:sdtContent>
  </w:sdt>
  <w:p w14:paraId="686A3FDD" w14:textId="77777777" w:rsidR="003649D2" w:rsidRDefault="003649D2">
    <w:pPr>
      <w:pStyle w:val="a8"/>
      <w:tabs>
        <w:tab w:val="clear" w:pos="4153"/>
        <w:tab w:val="clear" w:pos="8306"/>
        <w:tab w:val="right" w:pos="9184"/>
      </w:tabs>
      <w:rPr>
        <w:rFonts w:ascii="宋体" w:hAnsi="宋体" w:hint="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141FC" w14:textId="77777777" w:rsidR="00E33A02" w:rsidRDefault="00E33A02">
      <w:r>
        <w:separator/>
      </w:r>
    </w:p>
  </w:footnote>
  <w:footnote w:type="continuationSeparator" w:id="0">
    <w:p w14:paraId="022CCF50" w14:textId="77777777" w:rsidR="00E33A02" w:rsidRDefault="00E3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F6EA" w14:textId="77777777" w:rsidR="003649D2" w:rsidRDefault="003649D2">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54FB57"/>
    <w:multiLevelType w:val="singleLevel"/>
    <w:tmpl w:val="8454FB57"/>
    <w:lvl w:ilvl="0">
      <w:start w:val="2"/>
      <w:numFmt w:val="chineseCounting"/>
      <w:suff w:val="nothing"/>
      <w:lvlText w:val="（%1）"/>
      <w:lvlJc w:val="left"/>
      <w:rPr>
        <w:rFonts w:hint="eastAsia"/>
      </w:rPr>
    </w:lvl>
  </w:abstractNum>
  <w:abstractNum w:abstractNumId="1" w15:restartNumberingAfterBreak="0">
    <w:nsid w:val="594BA0A4"/>
    <w:multiLevelType w:val="singleLevel"/>
    <w:tmpl w:val="594BA0A4"/>
    <w:lvl w:ilvl="0">
      <w:start w:val="1"/>
      <w:numFmt w:val="decimal"/>
      <w:lvlText w:val="%1."/>
      <w:lvlJc w:val="left"/>
      <w:pPr>
        <w:tabs>
          <w:tab w:val="left" w:pos="312"/>
        </w:tabs>
      </w:pPr>
    </w:lvl>
  </w:abstractNum>
  <w:num w:numId="1" w16cid:durableId="125246206">
    <w:abstractNumId w:val="0"/>
  </w:num>
  <w:num w:numId="2" w16cid:durableId="120633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174"/>
    <w:rsid w:val="B5F66F24"/>
    <w:rsid w:val="C5B3F496"/>
    <w:rsid w:val="DDD7453A"/>
    <w:rsid w:val="DFE75A3D"/>
    <w:rsid w:val="DFEF594B"/>
    <w:rsid w:val="F1F9A9B5"/>
    <w:rsid w:val="FABF7411"/>
    <w:rsid w:val="FEFD95B3"/>
    <w:rsid w:val="FF2E694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649D2"/>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AD9"/>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3A02"/>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2AF7"/>
    <w:rsid w:val="00FB3345"/>
    <w:rsid w:val="00FD0228"/>
    <w:rsid w:val="00FD3BB7"/>
    <w:rsid w:val="00FE0D93"/>
    <w:rsid w:val="00FF2572"/>
    <w:rsid w:val="00FF32AD"/>
    <w:rsid w:val="082F208D"/>
    <w:rsid w:val="0DC31556"/>
    <w:rsid w:val="1A3D6143"/>
    <w:rsid w:val="1C013801"/>
    <w:rsid w:val="1CCC5E4E"/>
    <w:rsid w:val="20EA3839"/>
    <w:rsid w:val="2BA96E6D"/>
    <w:rsid w:val="2D527252"/>
    <w:rsid w:val="2E8857D5"/>
    <w:rsid w:val="2EAE55F2"/>
    <w:rsid w:val="2EDF4302"/>
    <w:rsid w:val="305C78F1"/>
    <w:rsid w:val="36052C79"/>
    <w:rsid w:val="379B38A4"/>
    <w:rsid w:val="47550EBA"/>
    <w:rsid w:val="4B0E2CDE"/>
    <w:rsid w:val="51DC6759"/>
    <w:rsid w:val="56F968D3"/>
    <w:rsid w:val="5C757D4C"/>
    <w:rsid w:val="6636451A"/>
    <w:rsid w:val="69017CEF"/>
    <w:rsid w:val="6ED3703B"/>
    <w:rsid w:val="6EF65E9C"/>
    <w:rsid w:val="71397E03"/>
    <w:rsid w:val="77FFA8F9"/>
    <w:rsid w:val="79826A81"/>
    <w:rsid w:val="7A9314AC"/>
    <w:rsid w:val="7C631402"/>
    <w:rsid w:val="7E140770"/>
    <w:rsid w:val="7FEFB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F3B1"/>
  <w15:docId w15:val="{80271072-1C8A-412D-91AE-A470C64C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rPr>
      <w:rFonts w:ascii="仿宋_GB2312"/>
    </w:rPr>
  </w:style>
  <w:style w:type="paragraph" w:styleId="a4">
    <w:name w:val="Plain Text"/>
    <w:basedOn w:val="a"/>
    <w:uiPriority w:val="99"/>
    <w:qFormat/>
    <w:rPr>
      <w:rFonts w:ascii="宋体" w:hAnsi="Courier New"/>
    </w:rPr>
  </w:style>
  <w:style w:type="paragraph" w:styleId="a5">
    <w:name w:val="Document Map"/>
    <w:basedOn w:val="a"/>
    <w:link w:val="a6"/>
    <w:qFormat/>
    <w:rPr>
      <w:rFonts w:ascii="宋体" w:eastAsia="宋体"/>
      <w:sz w:val="18"/>
      <w:szCs w:val="18"/>
    </w:r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rFonts w:eastAsia="宋体"/>
      <w:sz w:val="18"/>
      <w:szCs w:val="18"/>
    </w:rPr>
  </w:style>
  <w:style w:type="paragraph" w:styleId="aa">
    <w:name w:val="header"/>
    <w:basedOn w:val="a"/>
    <w:qFormat/>
    <w:pPr>
      <w:pBdr>
        <w:bottom w:val="single" w:sz="6" w:space="1" w:color="auto"/>
      </w:pBdr>
      <w:tabs>
        <w:tab w:val="center" w:pos="4153"/>
        <w:tab w:val="right" w:pos="8306"/>
      </w:tabs>
      <w:snapToGrid w:val="0"/>
      <w:jc w:val="center"/>
    </w:pPr>
    <w:rPr>
      <w:rFonts w:eastAsia="宋体"/>
      <w:sz w:val="18"/>
      <w:szCs w:val="18"/>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style>
  <w:style w:type="paragraph" w:customStyle="1" w:styleId="ad">
    <w:name w:val="四号正文"/>
    <w:basedOn w:val="a"/>
    <w:link w:val="Char"/>
    <w:qFormat/>
    <w:pPr>
      <w:spacing w:line="360" w:lineRule="auto"/>
    </w:pPr>
    <w:rPr>
      <w:rFonts w:ascii="??" w:eastAsia="宋体" w:hAnsi="??" w:cs="宋体"/>
      <w:color w:val="000000"/>
      <w:kern w:val="0"/>
      <w:sz w:val="28"/>
      <w:szCs w:val="21"/>
    </w:rPr>
  </w:style>
  <w:style w:type="character" w:customStyle="1" w:styleId="Char">
    <w:name w:val="四号正文 Char"/>
    <w:basedOn w:val="a1"/>
    <w:link w:val="ad"/>
    <w:qFormat/>
    <w:rPr>
      <w:rFonts w:ascii="??" w:eastAsia="宋体" w:hAnsi="??" w:cs="宋体"/>
      <w:color w:val="000000"/>
      <w:sz w:val="28"/>
      <w:szCs w:val="21"/>
      <w:lang w:val="en-US" w:eastAsia="zh-CN" w:bidi="ar-SA"/>
    </w:rPr>
  </w:style>
  <w:style w:type="character" w:customStyle="1" w:styleId="a6">
    <w:name w:val="文档结构图 字符"/>
    <w:basedOn w:val="a1"/>
    <w:link w:val="a5"/>
    <w:qFormat/>
    <w:rPr>
      <w:rFonts w:ascii="宋体"/>
      <w:kern w:val="2"/>
      <w:sz w:val="18"/>
      <w:szCs w:val="18"/>
    </w:rPr>
  </w:style>
  <w:style w:type="paragraph" w:customStyle="1" w:styleId="ae">
    <w:name w:val="a"/>
    <w:basedOn w:val="a"/>
    <w:qFormat/>
    <w:pPr>
      <w:widowControl/>
      <w:spacing w:before="100" w:beforeAutospacing="1" w:after="100" w:afterAutospacing="1"/>
      <w:jc w:val="left"/>
    </w:pPr>
    <w:rPr>
      <w:rFonts w:ascii="宋体" w:eastAsia="宋体" w:hAnsi="宋体" w:cs="宋体"/>
      <w:kern w:val="0"/>
      <w:sz w:val="24"/>
    </w:rPr>
  </w:style>
  <w:style w:type="character" w:customStyle="1" w:styleId="a9">
    <w:name w:val="页脚 字符"/>
    <w:basedOn w:val="a1"/>
    <w:link w:val="a8"/>
    <w:uiPriority w:val="99"/>
    <w:qFormat/>
    <w:rPr>
      <w:kern w:val="2"/>
      <w:sz w:val="18"/>
      <w:szCs w:val="18"/>
    </w:rPr>
  </w:style>
  <w:style w:type="character" w:customStyle="1" w:styleId="font31">
    <w:name w:val="font3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1451</Characters>
  <Application>Microsoft Office Word</Application>
  <DocSecurity>0</DocSecurity>
  <Lines>63</Lines>
  <Paragraphs>38</Paragraphs>
  <ScaleCrop>false</ScaleCrop>
  <Company>PSZX</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区域性就业培训基地建设项目</dc:title>
  <dc:creator>陈萍</dc:creator>
  <cp:lastModifiedBy>静静 李</cp:lastModifiedBy>
  <cp:revision>19</cp:revision>
  <cp:lastPrinted>2023-04-07T02:36:00Z</cp:lastPrinted>
  <dcterms:created xsi:type="dcterms:W3CDTF">2019-05-16T11:06:00Z</dcterms:created>
  <dcterms:modified xsi:type="dcterms:W3CDTF">2025-08-10T09:42:00Z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83CB796F42FB46F881865F91D6A07C99</vt:lpwstr>
  </property>
  <property fmtid="{D5CDD505-2E9C-101B-9397-08002B2CF9AE}" pid="4" name="KSOTemplateDocerSaveRecord">
    <vt:lpwstr>eyJoZGlkIjoiZTBhMDQ4YTlkYjAyZmE2MTk1N2ViMzgzMjkyOWUyMjMifQ==</vt:lpwstr>
  </property>
</Properties>
</file>