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eastAsia="方正小标宋简体"/>
          <w:b/>
          <w:bCs/>
          <w:color w:val="000000" w:themeColor="text1"/>
          <w:sz w:val="44"/>
          <w:szCs w:val="44"/>
          <w:highlight w:val="none"/>
          <w14:textFill>
            <w14:solidFill>
              <w14:schemeClr w14:val="tx1"/>
            </w14:solidFill>
          </w14:textFill>
        </w:rPr>
      </w:pPr>
      <w:r>
        <w:rPr>
          <w:rFonts w:hint="eastAsia" w:eastAsia="方正小标宋简体"/>
          <w:b/>
          <w:bCs/>
          <w:color w:val="000000" w:themeColor="text1"/>
          <w:sz w:val="44"/>
          <w:szCs w:val="44"/>
          <w:highlight w:val="none"/>
          <w14:textFill>
            <w14:solidFill>
              <w14:schemeClr w14:val="tx1"/>
            </w14:solidFill>
          </w14:textFill>
        </w:rPr>
        <w:t>攀枝花市东区城市有机更新攻坚行动方案（2025-2027年）</w:t>
      </w:r>
    </w:p>
    <w:p>
      <w:pPr>
        <w:spacing w:line="576" w:lineRule="exact"/>
        <w:ind w:firstLine="640" w:firstLineChars="200"/>
        <w:rPr>
          <w:rFonts w:eastAsia="黑体"/>
          <w:color w:val="000000" w:themeColor="text1"/>
          <w:szCs w:val="32"/>
          <w:highlight w:val="none"/>
          <w14:textFill>
            <w14:solidFill>
              <w14:schemeClr w14:val="tx1"/>
            </w14:solidFill>
          </w14:textFill>
        </w:rPr>
      </w:pPr>
    </w:p>
    <w:p>
      <w:pPr>
        <w:spacing w:line="576" w:lineRule="exact"/>
        <w:ind w:firstLine="640" w:firstLineChars="200"/>
        <w:rPr>
          <w:rFonts w:ascii="仿宋" w:hAnsi="仿宋" w:cs="仿宋"/>
          <w:color w:val="000000" w:themeColor="text1"/>
          <w:szCs w:val="32"/>
          <w:highlight w:val="none"/>
          <w14:textFill>
            <w14:solidFill>
              <w14:schemeClr w14:val="tx1"/>
            </w14:solidFill>
          </w14:textFill>
        </w:rPr>
      </w:pPr>
      <w:r>
        <w:rPr>
          <w:rFonts w:hint="eastAsia" w:ascii="仿宋" w:hAnsi="仿宋" w:cs="仿宋"/>
          <w:color w:val="000000" w:themeColor="text1"/>
          <w:szCs w:val="32"/>
          <w:highlight w:val="none"/>
          <w14:textFill>
            <w14:solidFill>
              <w14:schemeClr w14:val="tx1"/>
            </w14:solidFill>
          </w14:textFill>
        </w:rPr>
        <w:t>为深入贯彻市委十一届八次全会及区委十一届七次全会精神，落实《攀枝花市共富共美城市有机更新攻坚行动方案（2025—2027年）</w:t>
      </w:r>
      <w:r>
        <w:rPr>
          <w:rFonts w:hint="eastAsia"/>
          <w:color w:val="000000" w:themeColor="text1"/>
          <w:szCs w:val="32"/>
          <w:highlight w:val="none"/>
          <w14:textFill>
            <w14:solidFill>
              <w14:schemeClr w14:val="tx1"/>
            </w14:solidFill>
          </w14:textFill>
        </w:rPr>
        <w:t>》有关要求，</w:t>
      </w:r>
      <w:r>
        <w:rPr>
          <w:rFonts w:hint="eastAsia" w:ascii="仿宋" w:hAnsi="仿宋" w:cs="仿宋"/>
          <w:color w:val="000000" w:themeColor="text1"/>
          <w:szCs w:val="32"/>
          <w:highlight w:val="none"/>
          <w14:textFill>
            <w14:solidFill>
              <w14:schemeClr w14:val="tx1"/>
            </w14:solidFill>
          </w14:textFill>
        </w:rPr>
        <w:t>以“强区引领、两试担当、五地协同、共富幸福”工作体系为引领，以更好促进攀枝花共同富裕试验区建设为目标，有力有序推进城市更新行动,推动城市建设方式转型，促进城市品质提升。特制定本方案。</w:t>
      </w:r>
    </w:p>
    <w:p>
      <w:pPr>
        <w:spacing w:line="576" w:lineRule="exact"/>
        <w:ind w:firstLine="640" w:firstLineChars="200"/>
        <w:outlineLvl w:val="0"/>
        <w:rPr>
          <w:rFonts w:eastAsia="黑体"/>
          <w:color w:val="000000" w:themeColor="text1"/>
          <w:szCs w:val="32"/>
          <w:highlight w:val="none"/>
          <w14:textFill>
            <w14:solidFill>
              <w14:schemeClr w14:val="tx1"/>
            </w14:solidFill>
          </w14:textFill>
        </w:rPr>
      </w:pPr>
      <w:r>
        <w:rPr>
          <w:rFonts w:hint="eastAsia" w:eastAsia="黑体"/>
          <w:color w:val="000000" w:themeColor="text1"/>
          <w:szCs w:val="32"/>
          <w:highlight w:val="none"/>
          <w14:textFill>
            <w14:solidFill>
              <w14:schemeClr w14:val="tx1"/>
            </w14:solidFill>
          </w14:textFill>
        </w:rPr>
        <w:t>一、总体要求</w:t>
      </w:r>
    </w:p>
    <w:p>
      <w:pPr>
        <w:spacing w:line="576" w:lineRule="exact"/>
        <w:ind w:firstLine="640" w:firstLineChars="200"/>
        <w:outlineLvl w:val="0"/>
        <w:rPr>
          <w:rFonts w:ascii="仿宋" w:hAnsi="仿宋"/>
          <w:color w:val="000000" w:themeColor="text1"/>
          <w:szCs w:val="32"/>
          <w:highlight w:val="none"/>
          <w14:textFill>
            <w14:solidFill>
              <w14:schemeClr w14:val="tx1"/>
            </w14:solidFill>
          </w14:textFill>
        </w:rPr>
      </w:pPr>
      <w:r>
        <w:rPr>
          <w:rFonts w:hint="eastAsia" w:ascii="仿宋" w:hAnsi="仿宋" w:cs="仿宋"/>
          <w:color w:val="000000" w:themeColor="text1"/>
          <w:szCs w:val="32"/>
          <w:highlight w:val="none"/>
          <w14:textFill>
            <w14:solidFill>
              <w14:schemeClr w14:val="tx1"/>
            </w14:solidFill>
          </w14:textFill>
        </w:rPr>
        <w:t>以习近平新时代中国特色社会主义思想为指导，坚持民生为先、品质为重，加快转变城市建设发展方式，由依靠增量开发向存量更新转变。</w:t>
      </w:r>
      <w:r>
        <w:rPr>
          <w:rFonts w:hint="eastAsia" w:ascii="仿宋" w:hAnsi="仿宋"/>
          <w:color w:val="000000" w:themeColor="text1"/>
          <w:szCs w:val="32"/>
          <w:highlight w:val="none"/>
          <w14:textFill>
            <w14:solidFill>
              <w14:schemeClr w14:val="tx1"/>
            </w14:solidFill>
          </w14:textFill>
        </w:rPr>
        <w:t>聚焦东区“工业遗产活化、城市功能完善、生态品质提升”三大核心任务，创新“规划引领、片区统筹、多元参与、场景营城”模式，以城市更新重点片区为载体整合资源、集成项目，在城市更新中充分融入共富元素，“点线面”相相结合，以点带线、以线促面、通过3年攻坚行动，促进城市结构优化、功能完善、文脉赓续、品质提升，实现“钢城焕新姿”。</w:t>
      </w:r>
    </w:p>
    <w:p>
      <w:pPr>
        <w:spacing w:line="576" w:lineRule="exact"/>
        <w:ind w:firstLine="640" w:firstLineChars="200"/>
        <w:outlineLvl w:val="0"/>
        <w:rPr>
          <w:rFonts w:eastAsia="黑体"/>
          <w:color w:val="000000" w:themeColor="text1"/>
          <w:szCs w:val="32"/>
          <w:highlight w:val="none"/>
          <w14:textFill>
            <w14:solidFill>
              <w14:schemeClr w14:val="tx1"/>
            </w14:solidFill>
          </w14:textFill>
        </w:rPr>
      </w:pPr>
      <w:r>
        <w:rPr>
          <w:rFonts w:hint="eastAsia" w:eastAsia="黑体"/>
          <w:color w:val="000000" w:themeColor="text1"/>
          <w:szCs w:val="32"/>
          <w:highlight w:val="none"/>
          <w14:textFill>
            <w14:solidFill>
              <w14:schemeClr w14:val="tx1"/>
            </w14:solidFill>
          </w14:textFill>
        </w:rPr>
        <w:t>二、工作目标</w:t>
      </w:r>
    </w:p>
    <w:p>
      <w:pPr>
        <w:spacing w:line="576" w:lineRule="exact"/>
        <w:ind w:firstLine="642" w:firstLineChars="200"/>
        <w:outlineLvl w:val="0"/>
        <w:rPr>
          <w:rFonts w:ascii="仿宋" w:hAnsi="仿宋" w:cs="仿宋"/>
          <w:color w:val="000000" w:themeColor="text1"/>
          <w:szCs w:val="32"/>
          <w:highlight w:val="none"/>
          <w14:textFill>
            <w14:solidFill>
              <w14:schemeClr w14:val="tx1"/>
            </w14:solidFill>
          </w14:textFill>
        </w:rPr>
      </w:pPr>
      <w:r>
        <w:rPr>
          <w:rFonts w:hint="eastAsia" w:ascii="楷体_GB2312" w:hAnsi="楷体_GB2312" w:eastAsia="楷体_GB2312" w:cs="楷体_GB2312"/>
          <w:b/>
          <w:bCs/>
          <w:color w:val="000000" w:themeColor="text1"/>
          <w:kern w:val="0"/>
          <w:szCs w:val="32"/>
          <w:highlight w:val="none"/>
          <w14:textFill>
            <w14:solidFill>
              <w14:schemeClr w14:val="tx1"/>
            </w14:solidFill>
          </w14:textFill>
        </w:rPr>
        <w:t>2025年，民生攻坚，更新筑基。</w:t>
      </w:r>
      <w:r>
        <w:rPr>
          <w:rFonts w:hint="eastAsia" w:ascii="仿宋" w:hAnsi="仿宋" w:cs="仿宋"/>
          <w:color w:val="000000" w:themeColor="text1"/>
          <w:szCs w:val="32"/>
          <w:highlight w:val="none"/>
          <w14:textFill>
            <w14:solidFill>
              <w14:schemeClr w14:val="tx1"/>
            </w14:solidFill>
          </w14:textFill>
        </w:rPr>
        <w:t>坚持自上而下的规划引导与自下而上的更新需求相结合,</w:t>
      </w:r>
      <w:bookmarkStart w:id="0" w:name="OLE_LINK1"/>
      <w:r>
        <w:rPr>
          <w:rFonts w:hint="eastAsia" w:ascii="仿宋" w:hAnsi="仿宋" w:cs="仿宋"/>
          <w:color w:val="000000" w:themeColor="text1"/>
          <w:szCs w:val="32"/>
          <w:highlight w:val="none"/>
          <w14:textFill>
            <w14:solidFill>
              <w14:schemeClr w14:val="tx1"/>
            </w14:solidFill>
          </w14:textFill>
        </w:rPr>
        <w:t>以4大城市更新片区为重点，</w:t>
      </w:r>
      <w:bookmarkEnd w:id="0"/>
      <w:r>
        <w:rPr>
          <w:rFonts w:hint="eastAsia" w:ascii="仿宋" w:hAnsi="仿宋" w:cs="仿宋"/>
          <w:color w:val="000000" w:themeColor="text1"/>
          <w:szCs w:val="32"/>
          <w:highlight w:val="none"/>
          <w14:textFill>
            <w14:solidFill>
              <w14:schemeClr w14:val="tx1"/>
            </w14:solidFill>
          </w14:textFill>
        </w:rPr>
        <w:t>坚持问题导向、以点带面、项目化推进,探索城市更新的新模式、新路径、新机制。</w:t>
      </w:r>
      <w:bookmarkStart w:id="1" w:name="OLE_LINK2"/>
      <w:r>
        <w:rPr>
          <w:rFonts w:hint="eastAsia" w:ascii="仿宋" w:hAnsi="仿宋" w:cs="仿宋"/>
          <w:color w:val="000000" w:themeColor="text1"/>
          <w:szCs w:val="32"/>
          <w:highlight w:val="none"/>
          <w14:textFill>
            <w14:solidFill>
              <w14:schemeClr w14:val="tx1"/>
            </w14:solidFill>
          </w14:textFill>
        </w:rPr>
        <w:t>全年启动实施城市更新项目</w:t>
      </w:r>
      <w:r>
        <w:rPr>
          <w:rFonts w:ascii="仿宋" w:hAnsi="仿宋" w:cs="仿宋"/>
          <w:color w:val="000000" w:themeColor="text1"/>
          <w:szCs w:val="32"/>
          <w:highlight w:val="none"/>
          <w14:textFill>
            <w14:solidFill>
              <w14:schemeClr w14:val="tx1"/>
            </w14:solidFill>
          </w14:textFill>
        </w:rPr>
        <w:t>70</w:t>
      </w:r>
      <w:r>
        <w:rPr>
          <w:rFonts w:hint="eastAsia" w:ascii="仿宋" w:hAnsi="仿宋" w:cs="仿宋"/>
          <w:color w:val="000000" w:themeColor="text1"/>
          <w:szCs w:val="32"/>
          <w:highlight w:val="none"/>
          <w14:textFill>
            <w14:solidFill>
              <w14:schemeClr w14:val="tx1"/>
            </w14:solidFill>
          </w14:textFill>
        </w:rPr>
        <w:t>个以上（含新开工和续建项目，下同）</w:t>
      </w:r>
      <w:bookmarkEnd w:id="1"/>
      <w:r>
        <w:rPr>
          <w:rFonts w:hint="eastAsia" w:ascii="仿宋" w:hAnsi="仿宋" w:cs="仿宋"/>
          <w:color w:val="000000" w:themeColor="text1"/>
          <w:szCs w:val="32"/>
          <w:highlight w:val="none"/>
          <w14:textFill>
            <w14:solidFill>
              <w14:schemeClr w14:val="tx1"/>
            </w14:solidFill>
          </w14:textFill>
        </w:rPr>
        <w:t>，计划投资</w:t>
      </w:r>
      <w:r>
        <w:rPr>
          <w:rFonts w:ascii="仿宋" w:hAnsi="仿宋" w:cs="仿宋"/>
          <w:color w:val="000000" w:themeColor="text1"/>
          <w:szCs w:val="32"/>
          <w:highlight w:val="none"/>
          <w14:textFill>
            <w14:solidFill>
              <w14:schemeClr w14:val="tx1"/>
            </w14:solidFill>
          </w14:textFill>
        </w:rPr>
        <w:t>37</w:t>
      </w:r>
      <w:r>
        <w:rPr>
          <w:rFonts w:hint="eastAsia" w:ascii="仿宋" w:hAnsi="仿宋" w:cs="仿宋"/>
          <w:color w:val="000000" w:themeColor="text1"/>
          <w:szCs w:val="32"/>
          <w:highlight w:val="none"/>
          <w14:textFill>
            <w14:solidFill>
              <w14:schemeClr w14:val="tx1"/>
            </w14:solidFill>
          </w14:textFill>
        </w:rPr>
        <w:t>亿元，城市有机更新取得重要进展。</w:t>
      </w:r>
    </w:p>
    <w:p>
      <w:pPr>
        <w:spacing w:line="576" w:lineRule="exact"/>
        <w:ind w:firstLine="642" w:firstLineChars="200"/>
        <w:outlineLvl w:val="0"/>
        <w:rPr>
          <w:rFonts w:ascii="仿宋" w:hAnsi="仿宋" w:cs="仿宋"/>
          <w:color w:val="000000" w:themeColor="text1"/>
          <w:szCs w:val="32"/>
          <w:highlight w:val="none"/>
          <w14:textFill>
            <w14:solidFill>
              <w14:schemeClr w14:val="tx1"/>
            </w14:solidFill>
          </w14:textFill>
        </w:rPr>
      </w:pPr>
      <w:r>
        <w:rPr>
          <w:rFonts w:hint="eastAsia" w:ascii="楷体_GB2312" w:hAnsi="楷体_GB2312" w:eastAsia="楷体_GB2312" w:cs="楷体_GB2312"/>
          <w:b/>
          <w:bCs/>
          <w:color w:val="000000" w:themeColor="text1"/>
          <w:kern w:val="0"/>
          <w:szCs w:val="32"/>
          <w:highlight w:val="none"/>
          <w14:textFill>
            <w14:solidFill>
              <w14:schemeClr w14:val="tx1"/>
            </w14:solidFill>
          </w14:textFill>
        </w:rPr>
        <w:t>2026年，深化机制，示范引领。</w:t>
      </w:r>
      <w:r>
        <w:rPr>
          <w:rFonts w:ascii="仿宋" w:hAnsi="仿宋" w:cs="仿宋"/>
          <w:color w:val="000000" w:themeColor="text1"/>
          <w:szCs w:val="32"/>
          <w:highlight w:val="none"/>
          <w14:textFill>
            <w14:solidFill>
              <w14:schemeClr w14:val="tx1"/>
            </w14:solidFill>
          </w14:textFill>
        </w:rPr>
        <w:t>健全城市有机更新体制机制，基本建立适应高质量发展需要的城市有机更新可持续模式，</w:t>
      </w:r>
      <w:r>
        <w:rPr>
          <w:rFonts w:hint="eastAsia" w:ascii="仿宋" w:hAnsi="仿宋" w:cs="仿宋"/>
          <w:color w:val="000000" w:themeColor="text1"/>
          <w:szCs w:val="32"/>
          <w:highlight w:val="none"/>
          <w14:textFill>
            <w14:solidFill>
              <w14:schemeClr w14:val="tx1"/>
            </w14:solidFill>
          </w14:textFill>
        </w:rPr>
        <w:t>全年力争新开工实施城市更新项目</w:t>
      </w:r>
      <w:r>
        <w:rPr>
          <w:rFonts w:ascii="仿宋" w:hAnsi="仿宋" w:cs="仿宋"/>
          <w:color w:val="000000" w:themeColor="text1"/>
          <w:szCs w:val="32"/>
          <w:highlight w:val="none"/>
          <w14:textFill>
            <w14:solidFill>
              <w14:schemeClr w14:val="tx1"/>
            </w14:solidFill>
          </w14:textFill>
        </w:rPr>
        <w:t>40</w:t>
      </w:r>
      <w:r>
        <w:rPr>
          <w:rFonts w:hint="eastAsia" w:ascii="仿宋" w:hAnsi="仿宋" w:cs="仿宋"/>
          <w:color w:val="000000" w:themeColor="text1"/>
          <w:szCs w:val="32"/>
          <w:highlight w:val="none"/>
          <w14:textFill>
            <w14:solidFill>
              <w14:schemeClr w14:val="tx1"/>
            </w14:solidFill>
          </w14:textFill>
        </w:rPr>
        <w:t>个以上，力争</w:t>
      </w:r>
      <w:r>
        <w:rPr>
          <w:rFonts w:ascii="仿宋" w:hAnsi="仿宋" w:cs="仿宋"/>
          <w:color w:val="000000" w:themeColor="text1"/>
          <w:szCs w:val="32"/>
          <w:highlight w:val="none"/>
          <w14:textFill>
            <w14:solidFill>
              <w14:schemeClr w14:val="tx1"/>
            </w14:solidFill>
          </w14:textFill>
        </w:rPr>
        <w:t>投资</w:t>
      </w:r>
      <w:r>
        <w:rPr>
          <w:rFonts w:hint="eastAsia" w:ascii="仿宋" w:hAnsi="仿宋" w:cs="仿宋"/>
          <w:color w:val="000000" w:themeColor="text1"/>
          <w:szCs w:val="32"/>
          <w:highlight w:val="none"/>
          <w14:textFill>
            <w14:solidFill>
              <w14:schemeClr w14:val="tx1"/>
            </w14:solidFill>
          </w14:textFill>
        </w:rPr>
        <w:t>超</w:t>
      </w:r>
      <w:r>
        <w:rPr>
          <w:rFonts w:ascii="仿宋" w:hAnsi="仿宋" w:cs="仿宋"/>
          <w:color w:val="000000" w:themeColor="text1"/>
          <w:szCs w:val="32"/>
          <w:highlight w:val="none"/>
          <w14:textFill>
            <w14:solidFill>
              <w14:schemeClr w14:val="tx1"/>
            </w14:solidFill>
          </w14:textFill>
        </w:rPr>
        <w:t>20亿元，完成一批老旧小区、城中村、老旧街区等改造升级，建成</w:t>
      </w:r>
      <w:r>
        <w:rPr>
          <w:rFonts w:hint="eastAsia" w:ascii="仿宋" w:hAnsi="仿宋" w:cs="仿宋"/>
          <w:color w:val="000000" w:themeColor="text1"/>
          <w:szCs w:val="32"/>
          <w:highlight w:val="none"/>
          <w14:textFill>
            <w14:solidFill>
              <w14:schemeClr w14:val="tx1"/>
            </w14:solidFill>
          </w14:textFill>
        </w:rPr>
        <w:t>4个</w:t>
      </w:r>
      <w:r>
        <w:rPr>
          <w:rFonts w:ascii="仿宋" w:hAnsi="仿宋" w:cs="仿宋"/>
          <w:color w:val="000000" w:themeColor="text1"/>
          <w:szCs w:val="32"/>
          <w:highlight w:val="none"/>
          <w14:textFill>
            <w14:solidFill>
              <w14:schemeClr w14:val="tx1"/>
            </w14:solidFill>
          </w14:textFill>
        </w:rPr>
        <w:t>城市更新示范点位</w:t>
      </w:r>
      <w:r>
        <w:rPr>
          <w:rFonts w:hint="eastAsia" w:ascii="仿宋" w:hAnsi="仿宋" w:cs="仿宋"/>
          <w:color w:val="000000" w:themeColor="text1"/>
          <w:szCs w:val="32"/>
          <w:highlight w:val="none"/>
          <w14:textFill>
            <w14:solidFill>
              <w14:schemeClr w14:val="tx1"/>
            </w14:solidFill>
          </w14:textFill>
        </w:rPr>
        <w:t>，</w:t>
      </w:r>
      <w:r>
        <w:rPr>
          <w:rFonts w:ascii="仿宋" w:hAnsi="仿宋" w:cs="仿宋"/>
          <w:color w:val="000000" w:themeColor="text1"/>
          <w:szCs w:val="32"/>
          <w:highlight w:val="none"/>
          <w14:textFill>
            <w14:solidFill>
              <w14:schemeClr w14:val="tx1"/>
            </w14:solidFill>
          </w14:textFill>
        </w:rPr>
        <w:t>形成可复制推广的</w:t>
      </w:r>
      <w:r>
        <w:rPr>
          <w:rFonts w:hint="eastAsia" w:ascii="仿宋" w:hAnsi="仿宋" w:cs="仿宋"/>
          <w:color w:val="000000" w:themeColor="text1"/>
          <w:szCs w:val="32"/>
          <w:highlight w:val="none"/>
          <w14:textFill>
            <w14:solidFill>
              <w14:schemeClr w14:val="tx1"/>
            </w14:solidFill>
          </w14:textFill>
        </w:rPr>
        <w:t>东区</w:t>
      </w:r>
      <w:r>
        <w:rPr>
          <w:rFonts w:ascii="仿宋" w:hAnsi="仿宋" w:cs="仿宋"/>
          <w:color w:val="000000" w:themeColor="text1"/>
          <w:szCs w:val="32"/>
          <w:highlight w:val="none"/>
          <w14:textFill>
            <w14:solidFill>
              <w14:schemeClr w14:val="tx1"/>
            </w14:solidFill>
          </w14:textFill>
        </w:rPr>
        <w:t>经验</w:t>
      </w:r>
      <w:r>
        <w:rPr>
          <w:rFonts w:hint="eastAsia" w:ascii="仿宋" w:hAnsi="仿宋" w:cs="仿宋"/>
          <w:color w:val="000000" w:themeColor="text1"/>
          <w:szCs w:val="32"/>
          <w:highlight w:val="none"/>
          <w14:textFill>
            <w14:solidFill>
              <w14:schemeClr w14:val="tx1"/>
            </w14:solidFill>
          </w14:textFill>
        </w:rPr>
        <w:t>，逐步启动其他城市更新示范点位建设。</w:t>
      </w:r>
    </w:p>
    <w:p>
      <w:pPr>
        <w:spacing w:line="576" w:lineRule="exact"/>
        <w:ind w:firstLine="642" w:firstLineChars="200"/>
        <w:outlineLvl w:val="0"/>
        <w:rPr>
          <w:rFonts w:ascii="仿宋" w:hAnsi="仿宋" w:cs="仿宋"/>
          <w:color w:val="000000" w:themeColor="text1"/>
          <w:szCs w:val="32"/>
          <w:highlight w:val="none"/>
          <w14:textFill>
            <w14:solidFill>
              <w14:schemeClr w14:val="tx1"/>
            </w14:solidFill>
          </w14:textFill>
        </w:rPr>
      </w:pPr>
      <w:r>
        <w:rPr>
          <w:rFonts w:hint="eastAsia" w:ascii="楷体_GB2312" w:hAnsi="楷体_GB2312" w:eastAsia="楷体_GB2312" w:cs="楷体_GB2312"/>
          <w:b/>
          <w:bCs/>
          <w:color w:val="000000" w:themeColor="text1"/>
          <w:kern w:val="0"/>
          <w:szCs w:val="32"/>
          <w:highlight w:val="none"/>
          <w14:textFill>
            <w14:solidFill>
              <w14:schemeClr w14:val="tx1"/>
            </w14:solidFill>
          </w14:textFill>
        </w:rPr>
        <w:t>2027年，焕新蝶变，品质提升。</w:t>
      </w:r>
      <w:r>
        <w:rPr>
          <w:rFonts w:ascii="仿宋" w:hAnsi="仿宋" w:cs="仿宋"/>
          <w:color w:val="000000" w:themeColor="text1"/>
          <w:szCs w:val="32"/>
          <w:highlight w:val="none"/>
          <w14:textFill>
            <w14:solidFill>
              <w14:schemeClr w14:val="tx1"/>
            </w14:solidFill>
          </w14:textFill>
        </w:rPr>
        <w:t>持续补齐城市基础设施短板弱项，</w:t>
      </w:r>
      <w:r>
        <w:rPr>
          <w:rFonts w:hint="eastAsia" w:ascii="仿宋" w:hAnsi="仿宋" w:cs="仿宋"/>
          <w:color w:val="000000" w:themeColor="text1"/>
          <w:szCs w:val="32"/>
          <w:highlight w:val="none"/>
          <w14:textFill>
            <w14:solidFill>
              <w14:schemeClr w14:val="tx1"/>
            </w14:solidFill>
          </w14:textFill>
        </w:rPr>
        <w:t>力争累计推动城市更新项目形成有效投资80亿元以上，</w:t>
      </w:r>
      <w:r>
        <w:rPr>
          <w:rFonts w:ascii="仿宋" w:hAnsi="仿宋" w:cs="仿宋"/>
          <w:color w:val="000000" w:themeColor="text1"/>
          <w:szCs w:val="32"/>
          <w:highlight w:val="none"/>
          <w14:textFill>
            <w14:solidFill>
              <w14:schemeClr w14:val="tx1"/>
            </w14:solidFill>
          </w14:textFill>
        </w:rPr>
        <w:t>实现城区功能的全面优化、老城面貌</w:t>
      </w:r>
      <w:r>
        <w:rPr>
          <w:rFonts w:hint="eastAsia" w:ascii="仿宋" w:hAnsi="仿宋" w:cs="仿宋"/>
          <w:color w:val="000000" w:themeColor="text1"/>
          <w:szCs w:val="32"/>
          <w:highlight w:val="none"/>
          <w14:textFill>
            <w14:solidFill>
              <w14:schemeClr w14:val="tx1"/>
            </w14:solidFill>
          </w14:textFill>
        </w:rPr>
        <w:t>焕然一新</w:t>
      </w:r>
      <w:r>
        <w:rPr>
          <w:rFonts w:ascii="仿宋" w:hAnsi="仿宋" w:cs="仿宋"/>
          <w:color w:val="000000" w:themeColor="text1"/>
          <w:szCs w:val="32"/>
          <w:highlight w:val="none"/>
          <w14:textFill>
            <w14:solidFill>
              <w14:schemeClr w14:val="tx1"/>
            </w14:solidFill>
          </w14:textFill>
        </w:rPr>
        <w:t>、居民生活质量的明显提升，</w:t>
      </w:r>
      <w:r>
        <w:rPr>
          <w:rFonts w:hint="eastAsia" w:ascii="仿宋" w:hAnsi="仿宋" w:cs="仿宋"/>
          <w:color w:val="000000" w:themeColor="text1"/>
          <w:szCs w:val="32"/>
          <w:highlight w:val="none"/>
          <w14:textFill>
            <w14:solidFill>
              <w14:schemeClr w14:val="tx1"/>
            </w14:solidFill>
          </w14:textFill>
        </w:rPr>
        <w:t>创建一批全省、全市城市更新重点片区样板</w:t>
      </w:r>
      <w:r>
        <w:rPr>
          <w:rFonts w:ascii="仿宋" w:hAnsi="仿宋" w:cs="仿宋"/>
          <w:color w:val="000000" w:themeColor="text1"/>
          <w:szCs w:val="32"/>
          <w:highlight w:val="none"/>
          <w14:textFill>
            <w14:solidFill>
              <w14:schemeClr w14:val="tx1"/>
            </w14:solidFill>
          </w14:textFill>
        </w:rPr>
        <w:t>，城市功能品质实现大程度改观。</w:t>
      </w:r>
    </w:p>
    <w:p>
      <w:pPr>
        <w:spacing w:line="576" w:lineRule="exact"/>
        <w:ind w:firstLine="640" w:firstLineChars="200"/>
        <w:outlineLvl w:val="0"/>
        <w:rPr>
          <w:rFonts w:eastAsia="黑体"/>
          <w:color w:val="000000" w:themeColor="text1"/>
          <w:szCs w:val="32"/>
          <w:highlight w:val="none"/>
          <w14:textFill>
            <w14:solidFill>
              <w14:schemeClr w14:val="tx1"/>
            </w14:solidFill>
          </w14:textFill>
        </w:rPr>
      </w:pPr>
      <w:r>
        <w:rPr>
          <w:rFonts w:hint="eastAsia" w:eastAsia="黑体"/>
          <w:color w:val="000000" w:themeColor="text1"/>
          <w:szCs w:val="32"/>
          <w:highlight w:val="none"/>
          <w14:textFill>
            <w14:solidFill>
              <w14:schemeClr w14:val="tx1"/>
            </w14:solidFill>
          </w14:textFill>
        </w:rPr>
        <w:t>三、重点任务</w:t>
      </w:r>
    </w:p>
    <w:p>
      <w:pPr>
        <w:spacing w:line="576" w:lineRule="exact"/>
        <w:ind w:firstLine="640" w:firstLineChars="200"/>
        <w:outlineLvl w:val="0"/>
        <w:rPr>
          <w:rFonts w:ascii="仿宋" w:hAnsi="仿宋" w:cs="仿宋"/>
          <w:color w:val="000000" w:themeColor="text1"/>
          <w:szCs w:val="32"/>
          <w:highlight w:val="none"/>
          <w14:textFill>
            <w14:solidFill>
              <w14:schemeClr w14:val="tx1"/>
            </w14:solidFill>
          </w14:textFill>
        </w:rPr>
      </w:pPr>
      <w:r>
        <w:rPr>
          <w:rFonts w:hint="eastAsia" w:ascii="仿宋" w:hAnsi="仿宋" w:cs="仿宋"/>
          <w:color w:val="000000" w:themeColor="text1"/>
          <w:szCs w:val="32"/>
          <w:highlight w:val="none"/>
          <w14:textFill>
            <w14:solidFill>
              <w14:schemeClr w14:val="tx1"/>
            </w14:solidFill>
          </w14:textFill>
        </w:rPr>
        <w:t>结合实际、突出重点</w:t>
      </w:r>
      <w:r>
        <w:rPr>
          <w:rFonts w:ascii="仿宋" w:hAnsi="仿宋" w:cs="仿宋"/>
          <w:color w:val="000000" w:themeColor="text1"/>
          <w:szCs w:val="32"/>
          <w:highlight w:val="none"/>
          <w14:textFill>
            <w14:solidFill>
              <w14:schemeClr w14:val="tx1"/>
            </w14:solidFill>
          </w14:textFill>
        </w:rPr>
        <w:t>,</w:t>
      </w:r>
      <w:r>
        <w:rPr>
          <w:rFonts w:hint="eastAsia" w:ascii="仿宋" w:hAnsi="仿宋" w:cs="仿宋"/>
          <w:color w:val="000000" w:themeColor="text1"/>
          <w:szCs w:val="32"/>
          <w:highlight w:val="none"/>
          <w14:textFill>
            <w14:solidFill>
              <w14:schemeClr w14:val="tx1"/>
            </w14:solidFill>
          </w14:textFill>
        </w:rPr>
        <w:t>主要实施</w:t>
      </w:r>
      <w:r>
        <w:rPr>
          <w:rFonts w:ascii="仿宋" w:hAnsi="仿宋" w:cs="仿宋"/>
          <w:color w:val="000000" w:themeColor="text1"/>
          <w:szCs w:val="32"/>
          <w:highlight w:val="none"/>
          <w14:textFill>
            <w14:solidFill>
              <w14:schemeClr w14:val="tx1"/>
            </w14:solidFill>
          </w14:textFill>
        </w:rPr>
        <w:t>城市更新六大</w:t>
      </w:r>
      <w:r>
        <w:rPr>
          <w:rFonts w:hint="eastAsia" w:ascii="仿宋" w:hAnsi="仿宋" w:cs="仿宋"/>
          <w:color w:val="000000" w:themeColor="text1"/>
          <w:szCs w:val="32"/>
          <w:highlight w:val="none"/>
          <w14:textFill>
            <w14:solidFill>
              <w14:schemeClr w14:val="tx1"/>
            </w14:solidFill>
          </w14:textFill>
        </w:rPr>
        <w:t>改造提升工程。</w:t>
      </w:r>
    </w:p>
    <w:p>
      <w:pPr>
        <w:spacing w:line="576" w:lineRule="exact"/>
        <w:ind w:firstLine="642" w:firstLineChars="200"/>
        <w:outlineLvl w:val="1"/>
        <w:rPr>
          <w:rFonts w:ascii="仿宋" w:hAnsi="仿宋"/>
          <w:color w:val="000000" w:themeColor="text1"/>
          <w:szCs w:val="32"/>
          <w:highlight w:val="none"/>
          <w14:textFill>
            <w14:solidFill>
              <w14:schemeClr w14:val="tx1"/>
            </w14:solidFill>
          </w14:textFill>
        </w:rPr>
      </w:pPr>
      <w:r>
        <w:rPr>
          <w:rFonts w:hint="eastAsia" w:ascii="楷体_GB2312" w:hAnsi="楷体_GB2312" w:eastAsia="楷体_GB2312" w:cs="楷体_GB2312"/>
          <w:b/>
          <w:bCs/>
          <w:color w:val="000000" w:themeColor="text1"/>
          <w:kern w:val="0"/>
          <w:szCs w:val="32"/>
          <w:highlight w:val="none"/>
          <w14:textFill>
            <w14:solidFill>
              <w14:schemeClr w14:val="tx1"/>
            </w14:solidFill>
          </w14:textFill>
        </w:rPr>
        <w:t>（一）实施老旧小区及城中村改造提升工程。</w:t>
      </w:r>
      <w:r>
        <w:rPr>
          <w:rFonts w:hint="eastAsia" w:ascii="仿宋" w:hAnsi="仿宋"/>
          <w:b/>
          <w:bCs/>
          <w:color w:val="000000" w:themeColor="text1"/>
          <w:highlight w:val="none"/>
          <w14:textFill>
            <w14:solidFill>
              <w14:schemeClr w14:val="tx1"/>
            </w14:solidFill>
          </w14:textFill>
        </w:rPr>
        <w:t>一是</w:t>
      </w:r>
      <w:r>
        <w:rPr>
          <w:rFonts w:hint="eastAsia" w:ascii="仿宋" w:hAnsi="仿宋"/>
          <w:color w:val="000000" w:themeColor="text1"/>
          <w:szCs w:val="32"/>
          <w:highlight w:val="none"/>
          <w14:textFill>
            <w14:solidFill>
              <w14:schemeClr w14:val="tx1"/>
            </w14:solidFill>
          </w14:textFill>
        </w:rPr>
        <w:t>以供排水、供电、燃气、通信、消防、安防、生活垃圾分类等配套设施更新和小区内建筑物屋面、外墙、楼梯等公共部位维修为重点，加快</w:t>
      </w:r>
      <w:r>
        <w:rPr>
          <w:rFonts w:hint="eastAsia" w:ascii="仿宋" w:hAnsi="仿宋"/>
          <w:color w:val="000000" w:themeColor="text1"/>
          <w:highlight w:val="none"/>
          <w14:textFill>
            <w14:solidFill>
              <w14:schemeClr w14:val="tx1"/>
            </w14:solidFill>
          </w14:textFill>
        </w:rPr>
        <w:t>推进聚宝路片区、竹湖园片区、瓜子坪片区、银江镇片区等老旧小区</w:t>
      </w:r>
      <w:r>
        <w:rPr>
          <w:rFonts w:hint="eastAsia" w:ascii="仿宋" w:hAnsi="仿宋"/>
          <w:color w:val="000000" w:themeColor="text1"/>
          <w:szCs w:val="32"/>
          <w:highlight w:val="none"/>
          <w14:textFill>
            <w14:solidFill>
              <w14:schemeClr w14:val="tx1"/>
            </w14:solidFill>
          </w14:textFill>
        </w:rPr>
        <w:t>基础改造，</w:t>
      </w:r>
      <w:r>
        <w:rPr>
          <w:rFonts w:hint="eastAsia" w:ascii="仿宋" w:hAnsi="仿宋"/>
          <w:color w:val="000000" w:themeColor="text1"/>
          <w:szCs w:val="32"/>
          <w:highlight w:val="none"/>
          <w14:textFill>
            <w14:solidFill>
              <w14:schemeClr w14:val="tx1"/>
            </w14:solidFill>
          </w14:textFill>
        </w:rPr>
        <w:t>有条件的老旧小区宜同步开展</w:t>
      </w:r>
      <w:r>
        <w:rPr>
          <w:rFonts w:ascii="仿宋" w:hAnsi="仿宋"/>
          <w:color w:val="000000" w:themeColor="text1"/>
          <w:szCs w:val="32"/>
          <w:highlight w:val="none"/>
          <w14:textFill>
            <w14:solidFill>
              <w14:schemeClr w14:val="tx1"/>
            </w14:solidFill>
          </w14:textFill>
        </w:rPr>
        <w:t>楼栋内人行走道、排风烟道、通风井道</w:t>
      </w:r>
      <w:r>
        <w:rPr>
          <w:rFonts w:hint="eastAsia" w:ascii="仿宋" w:hAnsi="仿宋"/>
          <w:color w:val="000000" w:themeColor="text1"/>
          <w:szCs w:val="32"/>
          <w:highlight w:val="none"/>
          <w14:textFill>
            <w14:solidFill>
              <w14:schemeClr w14:val="tx1"/>
            </w14:solidFill>
          </w14:textFill>
        </w:rPr>
        <w:t>等整治</w:t>
      </w:r>
      <w:r>
        <w:rPr>
          <w:rFonts w:ascii="仿宋" w:hAnsi="仿宋"/>
          <w:color w:val="000000" w:themeColor="text1"/>
          <w:szCs w:val="32"/>
          <w:highlight w:val="none"/>
          <w14:textFill>
            <w14:solidFill>
              <w14:schemeClr w14:val="tx1"/>
            </w14:solidFill>
          </w14:textFill>
        </w:rPr>
        <w:t>，</w:t>
      </w:r>
      <w:r>
        <w:rPr>
          <w:rFonts w:ascii="仿宋" w:hAnsi="仿宋"/>
          <w:color w:val="000000" w:themeColor="text1"/>
          <w:szCs w:val="32"/>
          <w:highlight w:val="none"/>
          <w14:textFill>
            <w14:solidFill>
              <w14:schemeClr w14:val="tx1"/>
            </w14:solidFill>
          </w14:textFill>
        </w:rPr>
        <w:t>全力消除安全隐患</w:t>
      </w:r>
      <w:r>
        <w:rPr>
          <w:rFonts w:hint="eastAsia" w:ascii="仿宋" w:hAnsi="仿宋"/>
          <w:color w:val="000000" w:themeColor="text1"/>
          <w:szCs w:val="32"/>
          <w:highlight w:val="none"/>
          <w14:textFill>
            <w14:solidFill>
              <w14:schemeClr w14:val="tx1"/>
            </w14:solidFill>
          </w14:textFill>
        </w:rPr>
        <w:t>，加快推动既有住宅增设、更新电梯。</w:t>
      </w:r>
      <w:r>
        <w:rPr>
          <w:rFonts w:hint="eastAsia" w:ascii="仿宋" w:hAnsi="仿宋"/>
          <w:b/>
          <w:bCs/>
          <w:color w:val="000000" w:themeColor="text1"/>
          <w:szCs w:val="32"/>
          <w:highlight w:val="none"/>
          <w14:textFill>
            <w14:solidFill>
              <w14:schemeClr w14:val="tx1"/>
            </w14:solidFill>
          </w14:textFill>
        </w:rPr>
        <w:t>二是</w:t>
      </w:r>
      <w:r>
        <w:rPr>
          <w:rFonts w:hint="eastAsia" w:ascii="仿宋" w:hAnsi="仿宋"/>
          <w:color w:val="000000" w:themeColor="text1"/>
          <w:szCs w:val="32"/>
          <w:highlight w:val="none"/>
          <w14:textFill>
            <w14:solidFill>
              <w14:schemeClr w14:val="tx1"/>
            </w14:solidFill>
          </w14:textFill>
        </w:rPr>
        <w:t>通过政府统筹、居民共治和市场运作，以恒德社区、金汇社区、望江街社区、竹湖园社区等为试点，大力开展完整社区建设，实施基础设施补短、公共服务完善和公共空间环境提升等项目，因地制宜补充小区环境绿化、休闲空间、停车泊位、物业用房、环卫设施，进一步补齐养老、托育、健身、菜市场、快递驿站等设施短板，构建“15分钟生活圈”。</w:t>
      </w:r>
      <w:r>
        <w:rPr>
          <w:rFonts w:hint="eastAsia" w:ascii="仿宋" w:hAnsi="仿宋"/>
          <w:b/>
          <w:bCs/>
          <w:color w:val="000000" w:themeColor="text1"/>
          <w:szCs w:val="32"/>
          <w:highlight w:val="none"/>
          <w14:textFill>
            <w14:solidFill>
              <w14:schemeClr w14:val="tx1"/>
            </w14:solidFill>
          </w14:textFill>
        </w:rPr>
        <w:t>三是</w:t>
      </w:r>
      <w:r>
        <w:rPr>
          <w:rFonts w:ascii="仿宋" w:hAnsi="仿宋"/>
          <w:color w:val="000000" w:themeColor="text1"/>
          <w:szCs w:val="32"/>
          <w:highlight w:val="none"/>
          <w14:textFill>
            <w14:solidFill>
              <w14:schemeClr w14:val="tx1"/>
            </w14:solidFill>
          </w14:textFill>
        </w:rPr>
        <w:t>建立居民全过程参与的基层治理机制</w:t>
      </w:r>
      <w:r>
        <w:rPr>
          <w:rFonts w:hint="eastAsia" w:ascii="仿宋" w:hAnsi="仿宋"/>
          <w:color w:val="000000" w:themeColor="text1"/>
          <w:szCs w:val="32"/>
          <w:highlight w:val="none"/>
          <w14:textFill>
            <w14:solidFill>
              <w14:schemeClr w14:val="tx1"/>
            </w14:solidFill>
          </w14:textFill>
        </w:rPr>
        <w:t>、</w:t>
      </w:r>
      <w:r>
        <w:rPr>
          <w:rFonts w:ascii="仿宋" w:hAnsi="仿宋"/>
          <w:color w:val="000000" w:themeColor="text1"/>
          <w:szCs w:val="32"/>
          <w:highlight w:val="none"/>
          <w14:textFill>
            <w14:solidFill>
              <w14:schemeClr w14:val="tx1"/>
            </w14:solidFill>
          </w14:textFill>
        </w:rPr>
        <w:t>群众意愿长效收集机制，以差异化改造方案化解多元利益矛盾</w:t>
      </w:r>
      <w:r>
        <w:rPr>
          <w:rFonts w:hint="eastAsia" w:ascii="仿宋" w:hAnsi="仿宋"/>
          <w:color w:val="000000" w:themeColor="text1"/>
          <w:szCs w:val="32"/>
          <w:highlight w:val="none"/>
          <w14:textFill>
            <w14:solidFill>
              <w14:schemeClr w14:val="tx1"/>
            </w14:solidFill>
          </w14:textFill>
        </w:rPr>
        <w:t>。推广弄弄坪街道4号小区试点经验，引入“信任制”物业，建立“社区居委会+业主委员会+物业公司”三方共治模式破解老旧小区物业管理难题。</w:t>
      </w:r>
      <w:r>
        <w:rPr>
          <w:rFonts w:hint="eastAsia" w:ascii="仿宋" w:hAnsi="仿宋"/>
          <w:b/>
          <w:bCs/>
          <w:color w:val="000000" w:themeColor="text1"/>
          <w:kern w:val="32"/>
          <w:szCs w:val="32"/>
          <w:highlight w:val="none"/>
          <w14:textFill>
            <w14:solidFill>
              <w14:schemeClr w14:val="tx1"/>
            </w14:solidFill>
          </w14:textFill>
        </w:rPr>
        <w:t>四是</w:t>
      </w:r>
      <w:r>
        <w:rPr>
          <w:rFonts w:hint="eastAsia" w:ascii="仿宋" w:hAnsi="仿宋"/>
          <w:color w:val="000000" w:themeColor="text1"/>
          <w:szCs w:val="32"/>
          <w:highlight w:val="none"/>
          <w14:textFill>
            <w14:solidFill>
              <w14:schemeClr w14:val="tx1"/>
            </w14:solidFill>
          </w14:textFill>
        </w:rPr>
        <w:t>坚持“拆危补短、留改提优”并举，进一步</w:t>
      </w:r>
      <w:r>
        <w:rPr>
          <w:rFonts w:ascii="仿宋" w:hAnsi="仿宋"/>
          <w:color w:val="000000" w:themeColor="text1"/>
          <w:szCs w:val="32"/>
          <w:highlight w:val="none"/>
          <w14:textFill>
            <w14:solidFill>
              <w14:schemeClr w14:val="tx1"/>
            </w14:solidFill>
          </w14:textFill>
        </w:rPr>
        <w:t>摸清</w:t>
      </w:r>
      <w:r>
        <w:rPr>
          <w:rFonts w:hint="eastAsia" w:ascii="仿宋" w:hAnsi="仿宋"/>
          <w:color w:val="000000" w:themeColor="text1"/>
          <w:szCs w:val="32"/>
          <w:highlight w:val="none"/>
          <w14:textFill>
            <w14:solidFill>
              <w14:schemeClr w14:val="tx1"/>
            </w14:solidFill>
          </w14:textFill>
        </w:rPr>
        <w:t>区内华山村、攀枝花村、阿署达村等</w:t>
      </w:r>
      <w:r>
        <w:rPr>
          <w:rFonts w:ascii="仿宋" w:hAnsi="仿宋"/>
          <w:color w:val="000000" w:themeColor="text1"/>
          <w:szCs w:val="32"/>
          <w:highlight w:val="none"/>
          <w14:textFill>
            <w14:solidFill>
              <w14:schemeClr w14:val="tx1"/>
            </w14:solidFill>
          </w14:textFill>
        </w:rPr>
        <w:t>7个城中村现状及需求，</w:t>
      </w:r>
      <w:r>
        <w:rPr>
          <w:rFonts w:hint="eastAsia" w:ascii="仿宋" w:hAnsi="仿宋"/>
          <w:color w:val="000000" w:themeColor="text1"/>
          <w:szCs w:val="32"/>
          <w:highlight w:val="none"/>
          <w14:textFill>
            <w14:solidFill>
              <w14:schemeClr w14:val="tx1"/>
            </w14:solidFill>
          </w14:textFill>
        </w:rPr>
        <w:t>积极</w:t>
      </w:r>
      <w:r>
        <w:rPr>
          <w:rFonts w:ascii="仿宋" w:hAnsi="仿宋"/>
          <w:color w:val="000000" w:themeColor="text1"/>
          <w:szCs w:val="32"/>
          <w:highlight w:val="none"/>
          <w14:textFill>
            <w14:solidFill>
              <w14:schemeClr w14:val="tx1"/>
            </w14:solidFill>
          </w14:textFill>
        </w:rPr>
        <w:t>包装项目申报纳入国家改造计划，稳步推进城中村改造，系统解决城中村“安全隐患突出、住宅功能不成套、基础设施和公共配套设施严重缺失”的问题</w:t>
      </w:r>
      <w:r>
        <w:rPr>
          <w:rFonts w:hint="eastAsia" w:ascii="仿宋" w:hAnsi="仿宋"/>
          <w:color w:val="000000" w:themeColor="text1"/>
          <w:szCs w:val="32"/>
          <w:highlight w:val="none"/>
          <w14:textFill>
            <w14:solidFill>
              <w14:schemeClr w14:val="tx1"/>
            </w14:solidFill>
          </w14:textFill>
        </w:rPr>
        <w:t>。</w:t>
      </w:r>
    </w:p>
    <w:p>
      <w:pPr>
        <w:spacing w:line="576" w:lineRule="exact"/>
        <w:ind w:firstLine="640" w:firstLineChars="200"/>
        <w:outlineLvl w:val="1"/>
        <w:rPr>
          <w:rFonts w:ascii="仿宋" w:hAnsi="仿宋"/>
          <w:color w:val="000000" w:themeColor="text1"/>
          <w:szCs w:val="32"/>
          <w:highlight w:val="none"/>
          <w14:textFill>
            <w14:solidFill>
              <w14:schemeClr w14:val="tx1"/>
            </w14:solidFill>
          </w14:textFill>
        </w:rPr>
      </w:pPr>
      <w:r>
        <w:rPr>
          <w:rFonts w:hint="eastAsia" w:ascii="仿宋" w:hAnsi="仿宋"/>
          <w:color w:val="000000" w:themeColor="text1"/>
          <w:szCs w:val="32"/>
          <w:highlight w:val="none"/>
          <w14:textFill>
            <w14:solidFill>
              <w14:schemeClr w14:val="tx1"/>
            </w14:solidFill>
          </w14:textFill>
        </w:rPr>
        <w:t>到2027年，完成老旧小区改造12</w:t>
      </w:r>
      <w:r>
        <w:rPr>
          <w:rFonts w:ascii="仿宋" w:hAnsi="仿宋"/>
          <w:color w:val="000000" w:themeColor="text1"/>
          <w:szCs w:val="32"/>
          <w:highlight w:val="none"/>
          <w14:textFill>
            <w14:solidFill>
              <w14:schemeClr w14:val="tx1"/>
            </w14:solidFill>
          </w14:textFill>
        </w:rPr>
        <w:t>7</w:t>
      </w:r>
      <w:r>
        <w:rPr>
          <w:rFonts w:hint="eastAsia" w:ascii="仿宋" w:hAnsi="仿宋"/>
          <w:color w:val="000000" w:themeColor="text1"/>
          <w:szCs w:val="32"/>
          <w:highlight w:val="none"/>
          <w14:textFill>
            <w14:solidFill>
              <w14:schemeClr w14:val="tx1"/>
            </w14:solidFill>
          </w14:textFill>
        </w:rPr>
        <w:t>个（实现2000年底前建成的需改造老旧小区应改尽改，因地制宜逐步改造2001年至2005年底前建成的老旧小区）；实施既有住宅加装电梯41部（</w:t>
      </w:r>
      <w:r>
        <w:rPr>
          <w:rFonts w:ascii="仿宋" w:hAnsi="仿宋"/>
          <w:color w:val="000000" w:themeColor="text1"/>
          <w:szCs w:val="32"/>
          <w:highlight w:val="none"/>
          <w14:textFill>
            <w14:solidFill>
              <w14:schemeClr w14:val="tx1"/>
            </w14:solidFill>
          </w14:textFill>
        </w:rPr>
        <w:t>重点支持在市场监管部门办理使用登记、投入使用年限满15年以上非单一产权住宅老旧电梯更新改造，优先支持使用20年以上住宅老旧电梯应换尽换</w:t>
      </w:r>
      <w:r>
        <w:rPr>
          <w:rFonts w:hint="eastAsia" w:ascii="仿宋" w:hAnsi="仿宋"/>
          <w:color w:val="000000" w:themeColor="text1"/>
          <w:szCs w:val="32"/>
          <w:highlight w:val="none"/>
          <w14:textFill>
            <w14:solidFill>
              <w14:schemeClr w14:val="tx1"/>
            </w14:solidFill>
          </w14:textFill>
        </w:rPr>
        <w:t>）；推进18个完整社区建设，7个城中村中条件成熟的项目开工改造。</w:t>
      </w:r>
    </w:p>
    <w:p>
      <w:pPr>
        <w:spacing w:line="576" w:lineRule="exact"/>
        <w:ind w:firstLine="642" w:firstLineChars="200"/>
        <w:outlineLvl w:val="1"/>
        <w:rPr>
          <w:rFonts w:ascii="仿宋" w:hAnsi="仿宋"/>
          <w:color w:val="000000" w:themeColor="text1"/>
          <w:szCs w:val="32"/>
          <w:highlight w:val="none"/>
          <w14:textFill>
            <w14:solidFill>
              <w14:schemeClr w14:val="tx1"/>
            </w14:solidFill>
          </w14:textFill>
        </w:rPr>
      </w:pPr>
      <w:r>
        <w:rPr>
          <w:rFonts w:hint="eastAsia" w:ascii="楷体_GB2312" w:hAnsi="楷体_GB2312" w:eastAsia="楷体_GB2312" w:cs="楷体_GB2312"/>
          <w:b/>
          <w:bCs/>
          <w:color w:val="000000" w:themeColor="text1"/>
          <w:kern w:val="0"/>
          <w:szCs w:val="32"/>
          <w:highlight w:val="none"/>
          <w14:textFill>
            <w14:solidFill>
              <w14:schemeClr w14:val="tx1"/>
            </w14:solidFill>
          </w14:textFill>
        </w:rPr>
        <w:t>（二）实施老旧街区及历史文化街区改造提升工程。</w:t>
      </w:r>
      <w:r>
        <w:rPr>
          <w:rFonts w:hint="eastAsia" w:ascii="仿宋" w:hAnsi="仿宋"/>
          <w:b/>
          <w:bCs/>
          <w:color w:val="000000" w:themeColor="text1"/>
          <w:szCs w:val="32"/>
          <w:highlight w:val="none"/>
          <w14:textFill>
            <w14:solidFill>
              <w14:schemeClr w14:val="tx1"/>
            </w14:solidFill>
          </w14:textFill>
        </w:rPr>
        <w:t>一是</w:t>
      </w:r>
      <w:r>
        <w:rPr>
          <w:rFonts w:hint="eastAsia" w:ascii="仿宋" w:hAnsi="仿宋"/>
          <w:color w:val="000000" w:themeColor="text1"/>
          <w:szCs w:val="32"/>
          <w:highlight w:val="none"/>
          <w14:textFill>
            <w14:solidFill>
              <w14:schemeClr w14:val="tx1"/>
            </w14:solidFill>
          </w14:textFill>
        </w:rPr>
        <w:t>开</w:t>
      </w:r>
    </w:p>
    <w:p>
      <w:pPr>
        <w:spacing w:line="576" w:lineRule="exact"/>
        <w:outlineLvl w:val="1"/>
        <w:rPr>
          <w:rFonts w:ascii="仿宋" w:hAnsi="仿宋"/>
          <w:color w:val="000000" w:themeColor="text1"/>
          <w:szCs w:val="32"/>
          <w:highlight w:val="none"/>
          <w14:textFill>
            <w14:solidFill>
              <w14:schemeClr w14:val="tx1"/>
            </w14:solidFill>
          </w14:textFill>
        </w:rPr>
      </w:pPr>
      <w:r>
        <w:rPr>
          <w:rFonts w:hint="eastAsia" w:ascii="仿宋" w:hAnsi="仿宋"/>
          <w:color w:val="000000" w:themeColor="text1"/>
          <w:szCs w:val="32"/>
          <w:highlight w:val="none"/>
          <w14:textFill>
            <w14:solidFill>
              <w14:schemeClr w14:val="tx1"/>
            </w14:solidFill>
          </w14:textFill>
        </w:rPr>
        <w:t>展</w:t>
      </w:r>
      <w:r>
        <w:rPr>
          <w:rFonts w:ascii="仿宋" w:hAnsi="仿宋"/>
          <w:color w:val="000000" w:themeColor="text1"/>
          <w:szCs w:val="32"/>
          <w:highlight w:val="none"/>
          <w14:textFill>
            <w14:solidFill>
              <w14:schemeClr w14:val="tx1"/>
            </w14:solidFill>
          </w14:textFill>
        </w:rPr>
        <w:t>老旧街区活力再现</w:t>
      </w:r>
      <w:r>
        <w:rPr>
          <w:rFonts w:hint="eastAsia" w:ascii="仿宋" w:hAnsi="仿宋"/>
          <w:color w:val="000000" w:themeColor="text1"/>
          <w:szCs w:val="32"/>
          <w:highlight w:val="none"/>
          <w14:textFill>
            <w14:solidFill>
              <w14:schemeClr w14:val="tx1"/>
            </w14:solidFill>
          </w14:textFill>
        </w:rPr>
        <w:t>工程，</w:t>
      </w:r>
      <w:r>
        <w:rPr>
          <w:rFonts w:ascii="仿宋" w:hAnsi="仿宋"/>
          <w:color w:val="000000" w:themeColor="text1"/>
          <w:szCs w:val="32"/>
          <w:highlight w:val="none"/>
          <w14:textFill>
            <w14:solidFill>
              <w14:schemeClr w14:val="tx1"/>
            </w14:solidFill>
          </w14:textFill>
        </w:rPr>
        <w:t>以“O+EPC”（运营前置的总承包）模式统筹</w:t>
      </w:r>
      <w:r>
        <w:rPr>
          <w:rFonts w:hint="eastAsia" w:ascii="仿宋" w:hAnsi="仿宋"/>
          <w:color w:val="000000" w:themeColor="text1"/>
          <w:szCs w:val="32"/>
          <w:highlight w:val="none"/>
          <w14:textFill>
            <w14:solidFill>
              <w14:schemeClr w14:val="tx1"/>
            </w14:solidFill>
          </w14:textFill>
        </w:rPr>
        <w:t>推动老旧街区转型发展，充分</w:t>
      </w:r>
      <w:r>
        <w:rPr>
          <w:rFonts w:ascii="仿宋" w:hAnsi="仿宋"/>
          <w:color w:val="000000" w:themeColor="text1"/>
          <w:szCs w:val="32"/>
          <w:highlight w:val="none"/>
          <w14:textFill>
            <w14:solidFill>
              <w14:schemeClr w14:val="tx1"/>
            </w14:solidFill>
          </w14:textFill>
        </w:rPr>
        <w:t>吸引社会资本参与盘活城市工业遗产、闲置低效厂房</w:t>
      </w:r>
      <w:r>
        <w:rPr>
          <w:rFonts w:hint="eastAsia" w:ascii="仿宋" w:hAnsi="仿宋"/>
          <w:color w:val="000000" w:themeColor="text1"/>
          <w:szCs w:val="32"/>
          <w:highlight w:val="none"/>
          <w14:textFill>
            <w14:solidFill>
              <w14:schemeClr w14:val="tx1"/>
            </w14:solidFill>
          </w14:textFill>
        </w:rPr>
        <w:t>、和低效商业楼宇</w:t>
      </w:r>
      <w:r>
        <w:rPr>
          <w:rFonts w:ascii="仿宋" w:hAnsi="仿宋"/>
          <w:color w:val="000000" w:themeColor="text1"/>
          <w:szCs w:val="32"/>
          <w:highlight w:val="none"/>
          <w14:textFill>
            <w14:solidFill>
              <w14:schemeClr w14:val="tx1"/>
            </w14:solidFill>
          </w14:textFill>
        </w:rPr>
        <w:t>，完善基础设施，改造</w:t>
      </w:r>
      <w:r>
        <w:rPr>
          <w:rFonts w:hint="eastAsia" w:ascii="仿宋" w:hAnsi="仿宋"/>
          <w:color w:val="000000" w:themeColor="text1"/>
          <w:szCs w:val="32"/>
          <w:highlight w:val="none"/>
          <w14:textFill>
            <w14:solidFill>
              <w14:schemeClr w14:val="tx1"/>
            </w14:solidFill>
          </w14:textFill>
        </w:rPr>
        <w:t>老旧</w:t>
      </w:r>
      <w:r>
        <w:rPr>
          <w:rFonts w:ascii="仿宋" w:hAnsi="仿宋"/>
          <w:color w:val="000000" w:themeColor="text1"/>
          <w:szCs w:val="32"/>
          <w:highlight w:val="none"/>
          <w14:textFill>
            <w14:solidFill>
              <w14:schemeClr w14:val="tx1"/>
            </w14:solidFill>
          </w14:textFill>
        </w:rPr>
        <w:t>建筑，提升公共环境</w:t>
      </w:r>
      <w:r>
        <w:rPr>
          <w:rFonts w:hint="eastAsia" w:ascii="仿宋" w:hAnsi="仿宋"/>
          <w:color w:val="000000" w:themeColor="text1"/>
          <w:szCs w:val="32"/>
          <w:highlight w:val="none"/>
          <w14:textFill>
            <w14:solidFill>
              <w14:schemeClr w14:val="tx1"/>
            </w14:solidFill>
          </w14:textFill>
        </w:rPr>
        <w:t>。</w:t>
      </w:r>
      <w:r>
        <w:rPr>
          <w:rFonts w:ascii="仿宋" w:hAnsi="仿宋"/>
          <w:color w:val="000000" w:themeColor="text1"/>
          <w:szCs w:val="32"/>
          <w:highlight w:val="none"/>
          <w14:textFill>
            <w14:solidFill>
              <w14:schemeClr w14:val="tx1"/>
            </w14:solidFill>
          </w14:textFill>
        </w:rPr>
        <w:t>引入专业运营方，联动商家和居民共同组建自治联盟，统一街区的管理、运营、品牌、服务及物业，实现项目可持续运维，打造时尚消费新场景</w:t>
      </w:r>
      <w:r>
        <w:rPr>
          <w:rFonts w:hint="eastAsia" w:ascii="仿宋" w:hAnsi="仿宋"/>
          <w:color w:val="000000" w:themeColor="text1"/>
          <w:szCs w:val="32"/>
          <w:highlight w:val="none"/>
          <w14:textFill>
            <w14:solidFill>
              <w14:schemeClr w14:val="tx1"/>
            </w14:solidFill>
          </w14:textFill>
        </w:rPr>
        <w:t>，</w:t>
      </w:r>
      <w:r>
        <w:rPr>
          <w:rFonts w:ascii="仿宋" w:hAnsi="仿宋"/>
          <w:color w:val="000000" w:themeColor="text1"/>
          <w:szCs w:val="32"/>
          <w:highlight w:val="none"/>
          <w14:textFill>
            <w14:solidFill>
              <w14:schemeClr w14:val="tx1"/>
            </w14:solidFill>
          </w14:textFill>
        </w:rPr>
        <w:t>激发街区活力。</w:t>
      </w:r>
      <w:r>
        <w:rPr>
          <w:rFonts w:hint="eastAsia" w:ascii="仿宋" w:hAnsi="仿宋"/>
          <w:color w:val="000000" w:themeColor="text1"/>
          <w:szCs w:val="32"/>
          <w:highlight w:val="none"/>
          <w14:textFill>
            <w14:solidFill>
              <w14:schemeClr w14:val="tx1"/>
            </w14:solidFill>
          </w14:textFill>
        </w:rPr>
        <w:t>大梯道-望江片区、501电厂-大渡口片区、城市原点等重点城市更新片区，要紧扣三线建设及工业城市文化特色，融入工业记忆元素，打造老院子、工业风等特色场景。</w:t>
      </w:r>
      <w:r>
        <w:rPr>
          <w:rFonts w:hint="eastAsia" w:ascii="仿宋" w:hAnsi="仿宋"/>
          <w:b/>
          <w:bCs/>
          <w:color w:val="000000" w:themeColor="text1"/>
          <w:kern w:val="32"/>
          <w:szCs w:val="32"/>
          <w:highlight w:val="none"/>
          <w14:textFill>
            <w14:solidFill>
              <w14:schemeClr w14:val="tx1"/>
            </w14:solidFill>
          </w14:textFill>
        </w:rPr>
        <w:t>二是</w:t>
      </w:r>
      <w:r>
        <w:rPr>
          <w:rFonts w:hint="eastAsia" w:ascii="仿宋" w:hAnsi="仿宋"/>
          <w:color w:val="000000" w:themeColor="text1"/>
          <w:szCs w:val="32"/>
          <w:highlight w:val="none"/>
          <w14:textFill>
            <w14:solidFill>
              <w14:schemeClr w14:val="tx1"/>
            </w14:solidFill>
          </w14:textFill>
        </w:rPr>
        <w:t>聚焦“主干道塑轴展形象，背街小巷织网提品质”的目标，开展城市风貌专项整治。推进城市主干道焕新，加强对炳清路、钢城大道西段、人民街、攀枝花大道东段金瓯广场至万象城路段、瓜子坪高速出入口、</w:t>
      </w:r>
      <w:r>
        <w:rPr>
          <w:rFonts w:hint="eastAsia" w:ascii="仿宋" w:hAnsi="仿宋"/>
          <w:color w:val="000000" w:themeColor="text1"/>
          <w:szCs w:val="32"/>
          <w:highlight w:val="none"/>
          <w14:textFill>
            <w14:solidFill>
              <w14:schemeClr w14:val="tx1"/>
            </w14:solidFill>
          </w14:textFill>
        </w:rPr>
        <w:t>机场路口等</w:t>
      </w:r>
      <w:r>
        <w:rPr>
          <w:rFonts w:hint="eastAsia" w:ascii="仿宋" w:hAnsi="仿宋"/>
          <w:color w:val="000000" w:themeColor="text1"/>
          <w:szCs w:val="32"/>
          <w:highlight w:val="none"/>
          <w14:textFill>
            <w14:solidFill>
              <w14:schemeClr w14:val="tx1"/>
            </w14:solidFill>
          </w14:textFill>
        </w:rPr>
        <w:t>重点地段、重要类型建筑风貌管控，重点从建筑外立面修缮、空中“飞线”治理、天际线塑造、公共空间重构以及商业业态引导等方面，促进街区整体风貌协调有序、特色美观。在鸿海巷、金泉苑、桃源街等城市更新重点片区开展片区治乱，做好公房历史遗留问题处置，</w:t>
      </w:r>
      <w:r>
        <w:rPr>
          <w:rFonts w:hint="eastAsia" w:ascii="仿宋" w:hAnsi="仿宋"/>
          <w:color w:val="000000" w:themeColor="text1"/>
          <w:szCs w:val="32"/>
          <w:highlight w:val="none"/>
          <w14:textFill>
            <w14:solidFill>
              <w14:schemeClr w14:val="tx1"/>
            </w14:solidFill>
          </w14:textFill>
        </w:rPr>
        <w:t>引导沿线街面店招规范设置，</w:t>
      </w:r>
      <w:r>
        <w:rPr>
          <w:rFonts w:hint="eastAsia" w:ascii="仿宋" w:hAnsi="仿宋"/>
          <w:color w:val="000000" w:themeColor="text1"/>
          <w:szCs w:val="32"/>
          <w:highlight w:val="none"/>
          <w14:textFill>
            <w14:solidFill>
              <w14:schemeClr w14:val="tx1"/>
            </w14:solidFill>
          </w14:textFill>
        </w:rPr>
        <w:t>对街道地面、楼栋立面综合提升，因地制宜打造一批“最美阳台”。推进背街小巷整治提升，通过违建拆除、规范外摆释放公共空间，见缝插针植入便民休闲和适老设施，因势利导塑造特色街巷场景。</w:t>
      </w:r>
      <w:r>
        <w:rPr>
          <w:rFonts w:hint="eastAsia" w:ascii="仿宋" w:hAnsi="仿宋"/>
          <w:b/>
          <w:bCs/>
          <w:color w:val="000000" w:themeColor="text1"/>
          <w:szCs w:val="32"/>
          <w:highlight w:val="none"/>
          <w14:textFill>
            <w14:solidFill>
              <w14:schemeClr w14:val="tx1"/>
            </w14:solidFill>
          </w14:textFill>
        </w:rPr>
        <w:t>三是</w:t>
      </w:r>
      <w:r>
        <w:rPr>
          <w:rFonts w:ascii="仿宋" w:hAnsi="仿宋"/>
          <w:color w:val="000000" w:themeColor="text1"/>
          <w:szCs w:val="32"/>
          <w:highlight w:val="none"/>
          <w14:textFill>
            <w14:solidFill>
              <w14:schemeClr w14:val="tx1"/>
            </w14:solidFill>
          </w14:textFill>
        </w:rPr>
        <w:t>按照“文态塑魂、形态织补、业态振兴、活态延续”总体思路，通过政府主导、专家支撑、国企示范和公众参与，开展</w:t>
      </w:r>
      <w:r>
        <w:rPr>
          <w:rFonts w:hint="eastAsia" w:ascii="仿宋" w:hAnsi="仿宋"/>
          <w:color w:val="000000" w:themeColor="text1"/>
          <w:szCs w:val="32"/>
          <w:highlight w:val="none"/>
          <w14:textFill>
            <w14:solidFill>
              <w14:schemeClr w14:val="tx1"/>
            </w14:solidFill>
          </w14:textFill>
        </w:rPr>
        <w:t>兰谱路、大渡口</w:t>
      </w:r>
      <w:r>
        <w:rPr>
          <w:rFonts w:ascii="仿宋" w:hAnsi="仿宋"/>
          <w:color w:val="000000" w:themeColor="text1"/>
          <w:szCs w:val="32"/>
          <w:highlight w:val="none"/>
          <w14:textFill>
            <w14:solidFill>
              <w14:schemeClr w14:val="tx1"/>
            </w14:solidFill>
          </w14:textFill>
        </w:rPr>
        <w:t>历史</w:t>
      </w:r>
      <w:r>
        <w:rPr>
          <w:rFonts w:hint="eastAsia" w:ascii="仿宋" w:hAnsi="仿宋"/>
          <w:color w:val="000000" w:themeColor="text1"/>
          <w:szCs w:val="32"/>
          <w:highlight w:val="none"/>
          <w14:textFill>
            <w14:solidFill>
              <w14:schemeClr w14:val="tx1"/>
            </w14:solidFill>
          </w14:textFill>
        </w:rPr>
        <w:t>文化街区及历史建筑</w:t>
      </w:r>
      <w:r>
        <w:rPr>
          <w:rFonts w:ascii="仿宋" w:hAnsi="仿宋"/>
          <w:color w:val="000000" w:themeColor="text1"/>
          <w:szCs w:val="32"/>
          <w:highlight w:val="none"/>
          <w14:textFill>
            <w14:solidFill>
              <w14:schemeClr w14:val="tx1"/>
            </w14:solidFill>
          </w14:textFill>
        </w:rPr>
        <w:t>保护修缮、肌理梳理、腾退收储和活化利用，推动历史遗存保护、基础设施完善、业态功能升级、消费场景创新，促进历史文化街区及周边区域整体复兴。</w:t>
      </w:r>
    </w:p>
    <w:p>
      <w:pPr>
        <w:spacing w:line="576" w:lineRule="exact"/>
        <w:ind w:firstLine="640" w:firstLineChars="200"/>
        <w:outlineLvl w:val="1"/>
        <w:rPr>
          <w:color w:val="000000" w:themeColor="text1"/>
          <w:szCs w:val="32"/>
          <w:highlight w:val="none"/>
          <w14:textFill>
            <w14:solidFill>
              <w14:schemeClr w14:val="tx1"/>
            </w14:solidFill>
          </w14:textFill>
        </w:rPr>
      </w:pPr>
      <w:r>
        <w:rPr>
          <w:rFonts w:ascii="仿宋" w:hAnsi="仿宋"/>
          <w:color w:val="000000" w:themeColor="text1"/>
          <w:szCs w:val="32"/>
          <w:highlight w:val="none"/>
          <w14:textFill>
            <w14:solidFill>
              <w14:schemeClr w14:val="tx1"/>
            </w14:solidFill>
          </w14:textFill>
        </w:rPr>
        <w:t>到2027年，</w:t>
      </w:r>
      <w:r>
        <w:rPr>
          <w:rFonts w:hint="eastAsia" w:ascii="仿宋" w:hAnsi="仿宋"/>
          <w:color w:val="000000" w:themeColor="text1"/>
          <w:szCs w:val="32"/>
          <w:highlight w:val="none"/>
          <w14:textFill>
            <w14:solidFill>
              <w14:schemeClr w14:val="tx1"/>
            </w14:solidFill>
          </w14:textFill>
        </w:rPr>
        <w:t>大梯道-望江等4处重点城市更新片区充分发挥示范效应，其余6处</w:t>
      </w:r>
      <w:r>
        <w:rPr>
          <w:rFonts w:ascii="仿宋" w:hAnsi="仿宋"/>
          <w:color w:val="000000" w:themeColor="text1"/>
          <w:szCs w:val="32"/>
          <w:highlight w:val="none"/>
          <w14:textFill>
            <w14:solidFill>
              <w14:schemeClr w14:val="tx1"/>
            </w14:solidFill>
          </w14:textFill>
        </w:rPr>
        <w:t>老旧街</w:t>
      </w:r>
      <w:r>
        <w:rPr>
          <w:rFonts w:hint="eastAsia" w:ascii="仿宋" w:hAnsi="仿宋"/>
          <w:color w:val="000000" w:themeColor="text1"/>
          <w:szCs w:val="32"/>
          <w:highlight w:val="none"/>
          <w14:textFill>
            <w14:solidFill>
              <w14:schemeClr w14:val="tx1"/>
            </w14:solidFill>
          </w14:textFill>
        </w:rPr>
        <w:t>（厂）</w:t>
      </w:r>
      <w:r>
        <w:rPr>
          <w:rFonts w:ascii="仿宋" w:hAnsi="仿宋"/>
          <w:color w:val="000000" w:themeColor="text1"/>
          <w:szCs w:val="32"/>
          <w:highlight w:val="none"/>
          <w14:textFill>
            <w14:solidFill>
              <w14:schemeClr w14:val="tx1"/>
            </w14:solidFill>
          </w14:textFill>
        </w:rPr>
        <w:t>区</w:t>
      </w:r>
      <w:r>
        <w:rPr>
          <w:rFonts w:hint="eastAsia" w:ascii="仿宋" w:hAnsi="仿宋"/>
          <w:color w:val="000000" w:themeColor="text1"/>
          <w:szCs w:val="32"/>
          <w:highlight w:val="none"/>
          <w14:textFill>
            <w14:solidFill>
              <w14:schemeClr w14:val="tx1"/>
            </w14:solidFill>
          </w14:textFill>
        </w:rPr>
        <w:t>基本完成</w:t>
      </w:r>
      <w:r>
        <w:rPr>
          <w:rFonts w:ascii="仿宋" w:hAnsi="仿宋"/>
          <w:color w:val="000000" w:themeColor="text1"/>
          <w:szCs w:val="32"/>
          <w:highlight w:val="none"/>
          <w14:textFill>
            <w14:solidFill>
              <w14:schemeClr w14:val="tx1"/>
            </w14:solidFill>
          </w14:textFill>
        </w:rPr>
        <w:t>改造升级</w:t>
      </w:r>
      <w:r>
        <w:rPr>
          <w:rFonts w:hint="eastAsia" w:ascii="仿宋" w:hAnsi="仿宋"/>
          <w:color w:val="000000" w:themeColor="text1"/>
          <w:szCs w:val="32"/>
          <w:highlight w:val="none"/>
          <w14:textFill>
            <w14:solidFill>
              <w14:schemeClr w14:val="tx1"/>
            </w14:solidFill>
          </w14:textFill>
        </w:rPr>
        <w:t>；炳清路、钢城大道西段等</w:t>
      </w:r>
      <w:r>
        <w:rPr>
          <w:rFonts w:ascii="仿宋" w:hAnsi="仿宋"/>
          <w:color w:val="000000" w:themeColor="text1"/>
          <w:szCs w:val="32"/>
          <w:highlight w:val="none"/>
          <w14:textFill>
            <w14:solidFill>
              <w14:schemeClr w14:val="tx1"/>
            </w14:solidFill>
          </w14:textFill>
        </w:rPr>
        <w:t>中心城区主次干道沿线立面形象焕然一新</w:t>
      </w:r>
      <w:r>
        <w:rPr>
          <w:rFonts w:hint="eastAsia" w:ascii="仿宋" w:hAnsi="仿宋"/>
          <w:color w:val="000000" w:themeColor="text1"/>
          <w:szCs w:val="32"/>
          <w:highlight w:val="none"/>
          <w14:textFill>
            <w14:solidFill>
              <w14:schemeClr w14:val="tx1"/>
            </w14:solidFill>
          </w14:textFill>
        </w:rPr>
        <w:t>；</w:t>
      </w:r>
      <w:r>
        <w:rPr>
          <w:rFonts w:ascii="仿宋" w:hAnsi="仿宋"/>
          <w:color w:val="000000" w:themeColor="text1"/>
          <w:szCs w:val="32"/>
          <w:highlight w:val="none"/>
          <w14:textFill>
            <w14:solidFill>
              <w14:schemeClr w14:val="tx1"/>
            </w14:solidFill>
          </w14:textFill>
        </w:rPr>
        <w:t>形成一批“最美阳台”、活力街区</w:t>
      </w:r>
      <w:r>
        <w:rPr>
          <w:rFonts w:hint="eastAsia" w:ascii="仿宋" w:hAnsi="仿宋"/>
          <w:color w:val="000000" w:themeColor="text1"/>
          <w:szCs w:val="32"/>
          <w:highlight w:val="none"/>
          <w14:textFill>
            <w14:solidFill>
              <w14:schemeClr w14:val="tx1"/>
            </w14:solidFill>
          </w14:textFill>
        </w:rPr>
        <w:t>和</w:t>
      </w:r>
      <w:r>
        <w:rPr>
          <w:rFonts w:hint="eastAsia" w:ascii="仿宋" w:hAnsi="仿宋"/>
          <w:color w:val="000000" w:themeColor="text1"/>
          <w:szCs w:val="32"/>
          <w:highlight w:val="none"/>
          <w14:textFill>
            <w14:solidFill>
              <w14:schemeClr w14:val="tx1"/>
            </w14:solidFill>
          </w14:textFill>
        </w:rPr>
        <w:t>背街小巷示范点位</w:t>
      </w:r>
      <w:r>
        <w:rPr>
          <w:rFonts w:hint="eastAsia" w:ascii="仿宋" w:hAnsi="仿宋"/>
          <w:color w:val="000000" w:themeColor="text1"/>
          <w:szCs w:val="32"/>
          <w:highlight w:val="none"/>
          <w14:textFill>
            <w14:solidFill>
              <w14:schemeClr w14:val="tx1"/>
            </w14:solidFill>
          </w14:textFill>
        </w:rPr>
        <w:t>；完成大渡口历史文化街区保护提升项目建设，修复炳草岗冷冻厂片区工业风貌，</w:t>
      </w:r>
      <w:r>
        <w:rPr>
          <w:rFonts w:ascii="仿宋" w:hAnsi="仿宋"/>
          <w:color w:val="000000" w:themeColor="text1"/>
          <w:szCs w:val="32"/>
          <w:highlight w:val="none"/>
          <w14:textFill>
            <w14:solidFill>
              <w14:schemeClr w14:val="tx1"/>
            </w14:solidFill>
          </w14:textFill>
        </w:rPr>
        <w:t>完善银江湖片区老旧厂区宜居生态</w:t>
      </w:r>
      <w:r>
        <w:rPr>
          <w:rFonts w:hint="eastAsia" w:ascii="仿宋" w:hAnsi="仿宋"/>
          <w:color w:val="000000" w:themeColor="text1"/>
          <w:szCs w:val="32"/>
          <w:highlight w:val="none"/>
          <w14:textFill>
            <w14:solidFill>
              <w14:schemeClr w14:val="tx1"/>
            </w14:solidFill>
          </w14:textFill>
        </w:rPr>
        <w:t>，建设三线文化长廊，串联城市原点、</w:t>
      </w:r>
      <w:r>
        <w:rPr>
          <w:rFonts w:ascii="仿宋" w:hAnsi="仿宋"/>
          <w:color w:val="000000" w:themeColor="text1"/>
          <w:szCs w:val="32"/>
          <w:highlight w:val="none"/>
          <w14:textFill>
            <w14:solidFill>
              <w14:schemeClr w14:val="tx1"/>
            </w14:solidFill>
          </w14:textFill>
        </w:rPr>
        <w:t>老密地桥旧址、常隆庆广场、</w:t>
      </w:r>
      <w:r>
        <w:rPr>
          <w:rFonts w:hint="eastAsia" w:ascii="仿宋" w:hAnsi="仿宋"/>
          <w:color w:val="000000" w:themeColor="text1"/>
          <w:szCs w:val="32"/>
          <w:highlight w:val="none"/>
          <w14:textFill>
            <w14:solidFill>
              <w14:schemeClr w14:val="tx1"/>
            </w14:solidFill>
          </w14:textFill>
        </w:rPr>
        <w:t>大渡口吊桥等节点，打造国家级工业遗产旅游线路。</w:t>
      </w:r>
    </w:p>
    <w:p>
      <w:pPr>
        <w:spacing w:line="576" w:lineRule="exact"/>
        <w:ind w:firstLine="642" w:firstLineChars="200"/>
        <w:outlineLvl w:val="1"/>
        <w:rPr>
          <w:rFonts w:ascii="仿宋" w:hAnsi="仿宋"/>
          <w:color w:val="000000" w:themeColor="text1"/>
          <w:szCs w:val="32"/>
          <w:highlight w:val="none"/>
          <w14:textFill>
            <w14:solidFill>
              <w14:schemeClr w14:val="tx1"/>
            </w14:solidFill>
          </w14:textFill>
        </w:rPr>
      </w:pPr>
      <w:r>
        <w:rPr>
          <w:rFonts w:hint="eastAsia" w:ascii="楷体_GB2312" w:hAnsi="楷体_GB2312" w:eastAsia="楷体_GB2312" w:cs="楷体_GB2312"/>
          <w:b/>
          <w:bCs/>
          <w:color w:val="000000" w:themeColor="text1"/>
          <w:kern w:val="0"/>
          <w:szCs w:val="32"/>
          <w:highlight w:val="none"/>
          <w14:textFill>
            <w14:solidFill>
              <w14:schemeClr w14:val="tx1"/>
            </w14:solidFill>
          </w14:textFill>
        </w:rPr>
        <w:t>（三）实施棚改土地盘活改造提升工程。</w:t>
      </w:r>
      <w:r>
        <w:rPr>
          <w:rFonts w:hint="eastAsia" w:ascii="仿宋" w:hAnsi="仿宋"/>
          <w:b/>
          <w:bCs/>
          <w:color w:val="000000" w:themeColor="text1"/>
          <w:szCs w:val="32"/>
          <w:highlight w:val="none"/>
          <w14:textFill>
            <w14:solidFill>
              <w14:schemeClr w14:val="tx1"/>
            </w14:solidFill>
          </w14:textFill>
        </w:rPr>
        <w:t>一是</w:t>
      </w:r>
      <w:r>
        <w:rPr>
          <w:rFonts w:hint="eastAsia" w:ascii="仿宋" w:hAnsi="仿宋"/>
          <w:color w:val="000000" w:themeColor="text1"/>
          <w:szCs w:val="32"/>
          <w:highlight w:val="none"/>
          <w14:textFill>
            <w14:solidFill>
              <w14:schemeClr w14:val="tx1"/>
            </w14:solidFill>
          </w14:textFill>
        </w:rPr>
        <w:t>全面梳理棚改土地现状，组织开展棚改房屋拆除“清零”行动，</w:t>
      </w:r>
      <w:r>
        <w:rPr>
          <w:rFonts w:hint="eastAsia" w:ascii="仿宋" w:hAnsi="仿宋"/>
          <w:color w:val="000000" w:themeColor="text1"/>
          <w:szCs w:val="32"/>
          <w:highlight w:val="none"/>
          <w14:textFill>
            <w14:solidFill>
              <w14:schemeClr w14:val="tx1"/>
            </w14:solidFill>
          </w14:textFill>
        </w:rPr>
        <w:t>优先解决未彻底征收楼栋（含底商未征收、未搬离公房等）遗留问题，</w:t>
      </w:r>
      <w:r>
        <w:rPr>
          <w:rFonts w:hint="eastAsia" w:ascii="仿宋" w:hAnsi="仿宋"/>
          <w:color w:val="000000" w:themeColor="text1"/>
          <w:szCs w:val="32"/>
          <w:highlight w:val="none"/>
          <w14:textFill>
            <w14:solidFill>
              <w14:schemeClr w14:val="tx1"/>
            </w14:solidFill>
          </w14:textFill>
        </w:rPr>
        <w:t>对已纳入棚改范围但未签约房屋统一出台征拆方案，制定“一楼一策”精准突破，集中力量解决棚改楼栋征拆问题，加快实现“净地”管理。</w:t>
      </w:r>
      <w:r>
        <w:rPr>
          <w:rFonts w:hint="eastAsia" w:ascii="仿宋" w:hAnsi="仿宋"/>
          <w:b/>
          <w:bCs/>
          <w:color w:val="000000" w:themeColor="text1"/>
          <w:szCs w:val="32"/>
          <w:highlight w:val="none"/>
          <w14:textFill>
            <w14:solidFill>
              <w14:schemeClr w14:val="tx1"/>
            </w14:solidFill>
          </w14:textFill>
        </w:rPr>
        <w:t>二是</w:t>
      </w:r>
      <w:r>
        <w:rPr>
          <w:rFonts w:hint="eastAsia" w:ascii="仿宋" w:hAnsi="仿宋"/>
          <w:color w:val="000000" w:themeColor="text1"/>
          <w:szCs w:val="32"/>
          <w:highlight w:val="none"/>
          <w14:textFill>
            <w14:solidFill>
              <w14:schemeClr w14:val="tx1"/>
            </w14:solidFill>
          </w14:textFill>
        </w:rPr>
        <w:t>全面推动棚改土地盘活利用，对于“结构安全、不成片、拆除后土地无利用价值</w:t>
      </w:r>
      <w:r>
        <w:rPr>
          <w:rFonts w:ascii="仿宋" w:hAnsi="仿宋"/>
          <w:color w:val="000000" w:themeColor="text1"/>
          <w:szCs w:val="32"/>
          <w:highlight w:val="none"/>
          <w14:textFill>
            <w14:solidFill>
              <w14:schemeClr w14:val="tx1"/>
            </w14:solidFill>
          </w14:textFill>
        </w:rPr>
        <w:t>”</w:t>
      </w:r>
      <w:r>
        <w:rPr>
          <w:rFonts w:hint="eastAsia" w:ascii="仿宋" w:hAnsi="仿宋"/>
          <w:color w:val="000000" w:themeColor="text1"/>
          <w:szCs w:val="32"/>
          <w:highlight w:val="none"/>
          <w14:textFill>
            <w14:solidFill>
              <w14:schemeClr w14:val="tx1"/>
            </w14:solidFill>
          </w14:textFill>
        </w:rPr>
        <w:t>的棚改房屋，报批后改造为社区公共用房、人才公寓、民宿、文化驿站等。</w:t>
      </w:r>
      <w:r>
        <w:rPr>
          <w:rFonts w:hint="eastAsia" w:ascii="仿宋" w:hAnsi="仿宋"/>
          <w:b/>
          <w:bCs/>
          <w:color w:val="000000" w:themeColor="text1"/>
          <w:szCs w:val="32"/>
          <w:highlight w:val="none"/>
          <w14:textFill>
            <w14:solidFill>
              <w14:schemeClr w14:val="tx1"/>
            </w14:solidFill>
          </w14:textFill>
        </w:rPr>
        <w:t>三是</w:t>
      </w:r>
      <w:r>
        <w:rPr>
          <w:rFonts w:hint="eastAsia" w:ascii="仿宋" w:hAnsi="仿宋"/>
          <w:color w:val="000000" w:themeColor="text1"/>
          <w:szCs w:val="32"/>
          <w:highlight w:val="none"/>
          <w14:textFill>
            <w14:solidFill>
              <w14:schemeClr w14:val="tx1"/>
            </w14:solidFill>
          </w14:textFill>
        </w:rPr>
        <w:t>加大棚改土地出让力度，以“壹号大院”、二街坊片区为代表，加强招商引资，通过整合周边零星土地和复合利用，采取市场化方式成片开发，实现片区更新。推动棚改零星土地高效利用，对于无法出让的点状地块，可用于补齐社区“一老一小”、体育设施、停车泊位、绿地广场等基础功能。</w:t>
      </w:r>
    </w:p>
    <w:p>
      <w:pPr>
        <w:spacing w:line="576" w:lineRule="exact"/>
        <w:ind w:firstLine="640" w:firstLineChars="200"/>
        <w:outlineLvl w:val="1"/>
        <w:rPr>
          <w:rFonts w:ascii="仿宋" w:hAnsi="仿宋"/>
          <w:color w:val="000000" w:themeColor="text1"/>
          <w:szCs w:val="32"/>
          <w:highlight w:val="none"/>
          <w14:textFill>
            <w14:solidFill>
              <w14:schemeClr w14:val="tx1"/>
            </w14:solidFill>
          </w14:textFill>
        </w:rPr>
      </w:pPr>
      <w:r>
        <w:rPr>
          <w:rFonts w:ascii="仿宋" w:hAnsi="仿宋"/>
          <w:color w:val="000000" w:themeColor="text1"/>
          <w:szCs w:val="32"/>
          <w:highlight w:val="none"/>
          <w14:textFill>
            <w14:solidFill>
              <w14:schemeClr w14:val="tx1"/>
            </w14:solidFill>
          </w14:textFill>
        </w:rPr>
        <w:t>到2027年，</w:t>
      </w:r>
      <w:r>
        <w:rPr>
          <w:rFonts w:hint="eastAsia" w:ascii="仿宋" w:hAnsi="仿宋"/>
          <w:color w:val="000000" w:themeColor="text1"/>
          <w:szCs w:val="32"/>
          <w:highlight w:val="none"/>
          <w14:textFill>
            <w14:solidFill>
              <w14:schemeClr w14:val="tx1"/>
            </w14:solidFill>
          </w14:textFill>
        </w:rPr>
        <w:t>力争完成棚改楼栋拆除4</w:t>
      </w:r>
      <w:r>
        <w:rPr>
          <w:rFonts w:ascii="仿宋" w:hAnsi="仿宋"/>
          <w:color w:val="000000" w:themeColor="text1"/>
          <w:szCs w:val="32"/>
          <w:highlight w:val="none"/>
          <w14:textFill>
            <w14:solidFill>
              <w14:schemeClr w14:val="tx1"/>
            </w14:solidFill>
          </w14:textFill>
        </w:rPr>
        <w:t>02</w:t>
      </w:r>
      <w:r>
        <w:rPr>
          <w:rFonts w:hint="eastAsia" w:ascii="仿宋" w:hAnsi="仿宋"/>
          <w:color w:val="000000" w:themeColor="text1"/>
          <w:szCs w:val="32"/>
          <w:highlight w:val="none"/>
          <w14:textFill>
            <w14:solidFill>
              <w14:schemeClr w14:val="tx1"/>
            </w14:solidFill>
          </w14:textFill>
        </w:rPr>
        <w:t>栋，</w:t>
      </w:r>
      <w:r>
        <w:rPr>
          <w:rFonts w:hint="eastAsia" w:ascii="仿宋" w:hAnsi="仿宋"/>
          <w:color w:val="000000" w:themeColor="text1"/>
          <w:szCs w:val="32"/>
          <w:highlight w:val="none"/>
          <w14:textFill>
            <w14:solidFill>
              <w14:schemeClr w14:val="tx1"/>
            </w14:solidFill>
          </w14:textFill>
        </w:rPr>
        <w:t>力争</w:t>
      </w:r>
      <w:r>
        <w:rPr>
          <w:rFonts w:ascii="仿宋" w:hAnsi="仿宋"/>
          <w:color w:val="000000" w:themeColor="text1"/>
          <w:szCs w:val="32"/>
          <w:highlight w:val="none"/>
          <w14:textFill>
            <w14:solidFill>
              <w14:schemeClr w14:val="tx1"/>
            </w14:solidFill>
          </w14:textFill>
        </w:rPr>
        <w:t>棚改楼栋实现全面“清零”，保留楼栋完成活化利用；</w:t>
      </w:r>
      <w:r>
        <w:rPr>
          <w:rFonts w:hint="eastAsia" w:ascii="仿宋" w:hAnsi="仿宋"/>
          <w:color w:val="000000" w:themeColor="text1"/>
          <w:szCs w:val="32"/>
          <w:highlight w:val="none"/>
          <w14:textFill>
            <w14:solidFill>
              <w14:schemeClr w14:val="tx1"/>
            </w14:solidFill>
          </w14:textFill>
        </w:rPr>
        <w:t>力争22</w:t>
      </w:r>
      <w:r>
        <w:rPr>
          <w:rFonts w:ascii="仿宋" w:hAnsi="仿宋"/>
          <w:color w:val="000000" w:themeColor="text1"/>
          <w:szCs w:val="32"/>
          <w:highlight w:val="none"/>
          <w14:textFill>
            <w14:solidFill>
              <w14:schemeClr w14:val="tx1"/>
            </w14:solidFill>
          </w14:textFill>
        </w:rPr>
        <w:t>6宗棚改剩余土地实现盘活，片区价值和环境得到提升。</w:t>
      </w:r>
    </w:p>
    <w:p>
      <w:pPr>
        <w:spacing w:line="576" w:lineRule="exact"/>
        <w:ind w:firstLine="642" w:firstLineChars="200"/>
        <w:outlineLvl w:val="1"/>
        <w:rPr>
          <w:rFonts w:ascii="仿宋" w:hAnsi="仿宋"/>
          <w:color w:val="000000" w:themeColor="text1"/>
          <w:kern w:val="32"/>
          <w:szCs w:val="32"/>
          <w:highlight w:val="none"/>
          <w14:textFill>
            <w14:solidFill>
              <w14:schemeClr w14:val="tx1"/>
            </w14:solidFill>
          </w14:textFill>
        </w:rPr>
      </w:pPr>
      <w:r>
        <w:rPr>
          <w:rFonts w:hint="eastAsia" w:ascii="楷体_GB2312" w:hAnsi="楷体_GB2312" w:eastAsia="楷体_GB2312" w:cs="楷体_GB2312"/>
          <w:b/>
          <w:bCs/>
          <w:color w:val="000000" w:themeColor="text1"/>
          <w:kern w:val="0"/>
          <w:szCs w:val="32"/>
          <w:highlight w:val="none"/>
          <w14:textFill>
            <w14:solidFill>
              <w14:schemeClr w14:val="tx1"/>
            </w14:solidFill>
          </w14:textFill>
        </w:rPr>
        <w:t>（四）实施城镇既有建筑改造提升工程。</w:t>
      </w:r>
      <w:r>
        <w:rPr>
          <w:rFonts w:hint="eastAsia" w:ascii="仿宋" w:hAnsi="仿宋"/>
          <w:b/>
          <w:bCs/>
          <w:color w:val="000000" w:themeColor="text1"/>
          <w:szCs w:val="32"/>
          <w:highlight w:val="none"/>
          <w14:textFill>
            <w14:solidFill>
              <w14:schemeClr w14:val="tx1"/>
            </w14:solidFill>
          </w14:textFill>
        </w:rPr>
        <w:t>一是</w:t>
      </w:r>
      <w:r>
        <w:rPr>
          <w:rFonts w:hint="eastAsia" w:ascii="仿宋" w:hAnsi="仿宋"/>
          <w:color w:val="000000" w:themeColor="text1"/>
          <w:szCs w:val="32"/>
          <w:highlight w:val="none"/>
          <w14:textFill>
            <w14:solidFill>
              <w14:schemeClr w14:val="tx1"/>
            </w14:solidFill>
          </w14:textFill>
        </w:rPr>
        <w:t>积极稳妥推进危险住房改造，</w:t>
      </w:r>
      <w:r>
        <w:rPr>
          <w:rFonts w:hint="eastAsia" w:ascii="仿宋" w:hAnsi="仿宋" w:cs="仿宋"/>
          <w:color w:val="000000" w:themeColor="text1"/>
          <w:szCs w:val="32"/>
          <w:highlight w:val="none"/>
          <w14:textFill>
            <w14:solidFill>
              <w14:schemeClr w14:val="tx1"/>
            </w14:solidFill>
          </w14:textFill>
        </w:rPr>
        <w:t>加快拆除改造D级危险住房，</w:t>
      </w:r>
      <w:r>
        <w:rPr>
          <w:rFonts w:ascii="仿宋" w:hAnsi="仿宋" w:cs="黑体"/>
          <w:color w:val="000000" w:themeColor="text1"/>
          <w:szCs w:val="32"/>
          <w:highlight w:val="none"/>
          <w14:textFill>
            <w14:solidFill>
              <w14:schemeClr w14:val="tx1"/>
            </w14:solidFill>
          </w14:textFill>
        </w:rPr>
        <w:t>采取改建（扩建、翻建）、原址重建、抗震加固等多种方式实施国有土地上</w:t>
      </w:r>
      <w:r>
        <w:rPr>
          <w:rFonts w:ascii="仿宋" w:hAnsi="仿宋"/>
          <w:color w:val="000000" w:themeColor="text1"/>
          <w:szCs w:val="32"/>
          <w:highlight w:val="none"/>
          <w14:textFill>
            <w14:solidFill>
              <w14:schemeClr w14:val="tx1"/>
            </w14:solidFill>
          </w14:textFill>
        </w:rPr>
        <w:t>C</w:t>
      </w:r>
      <w:r>
        <w:rPr>
          <w:rFonts w:hint="eastAsia" w:ascii="仿宋" w:hAnsi="仿宋" w:cs="黑体"/>
          <w:color w:val="000000" w:themeColor="text1"/>
          <w:szCs w:val="32"/>
          <w:highlight w:val="none"/>
          <w14:textFill>
            <w14:solidFill>
              <w14:schemeClr w14:val="tx1"/>
            </w14:solidFill>
          </w14:textFill>
        </w:rPr>
        <w:t>级危险住房和国有企事业单位非成套住</w:t>
      </w:r>
      <w:r>
        <w:rPr>
          <w:rFonts w:hint="eastAsia" w:ascii="仿宋" w:hAnsi="仿宋" w:cs="仿宋"/>
          <w:color w:val="000000" w:themeColor="text1"/>
          <w:szCs w:val="32"/>
          <w:highlight w:val="none"/>
          <w14:textFill>
            <w14:solidFill>
              <w14:schemeClr w14:val="tx1"/>
            </w14:solidFill>
          </w14:textFill>
        </w:rPr>
        <w:t>房改造，积极有序探索居民自主更新、危房连片改造等模式。</w:t>
      </w:r>
      <w:r>
        <w:rPr>
          <w:rFonts w:hint="eastAsia" w:ascii="仿宋" w:hAnsi="仿宋" w:cs="仿宋"/>
          <w:b/>
          <w:bCs/>
          <w:color w:val="000000" w:themeColor="text1"/>
          <w:szCs w:val="32"/>
          <w:highlight w:val="none"/>
          <w14:textFill>
            <w14:solidFill>
              <w14:schemeClr w14:val="tx1"/>
            </w14:solidFill>
          </w14:textFill>
        </w:rPr>
        <w:t>二是</w:t>
      </w:r>
      <w:r>
        <w:rPr>
          <w:rFonts w:hint="eastAsia" w:ascii="仿宋" w:hAnsi="仿宋" w:cs="仿宋"/>
          <w:color w:val="000000" w:themeColor="text1"/>
          <w:szCs w:val="32"/>
          <w:highlight w:val="none"/>
          <w14:textFill>
            <w14:solidFill>
              <w14:schemeClr w14:val="tx1"/>
            </w14:solidFill>
          </w14:textFill>
        </w:rPr>
        <w:t>开展建筑安全隐患动态监测，重点加强对十九冶办公大楼、攀枝花大道东段535号、中心广场邮电大楼等点位提质改造，健全“隐患排查、清单管理、分类整治、验收销号”的全闭环危房排查整治机制，实现安全隐患动态清零。</w:t>
      </w:r>
      <w:r>
        <w:rPr>
          <w:rFonts w:hint="eastAsia" w:ascii="仿宋" w:hAnsi="仿宋"/>
          <w:b/>
          <w:bCs/>
          <w:color w:val="000000" w:themeColor="text1"/>
          <w:szCs w:val="32"/>
          <w:highlight w:val="none"/>
          <w14:textFill>
            <w14:solidFill>
              <w14:schemeClr w14:val="tx1"/>
            </w14:solidFill>
          </w14:textFill>
        </w:rPr>
        <w:t>三是</w:t>
      </w:r>
      <w:r>
        <w:rPr>
          <w:rFonts w:hint="eastAsia" w:ascii="仿宋" w:hAnsi="仿宋" w:cs="仿宋"/>
          <w:color w:val="000000" w:themeColor="text1"/>
          <w:szCs w:val="32"/>
          <w:highlight w:val="none"/>
          <w14:textFill>
            <w14:solidFill>
              <w14:schemeClr w14:val="tx1"/>
            </w14:solidFill>
          </w14:textFill>
        </w:rPr>
        <w:t>开展建筑节能降碳行动，城镇新建建筑全面执行绿色建筑标准。持续推进既有居住建筑和公共建筑节能改造，加强建筑保温材料管理，鼓励开展超低能耗建筑建设。大力发展光伏屋顶，推动工业厂房、公共建筑、居住建筑等新建建筑光伏一体化建设，在东区商业楼宇绿色低碳智慧化改造项目等点位实施既有建筑节能改造试点示范。</w:t>
      </w:r>
      <w:r>
        <w:rPr>
          <w:rFonts w:hint="eastAsia" w:ascii="仿宋" w:hAnsi="仿宋" w:cs="仿宋"/>
          <w:b/>
          <w:bCs/>
          <w:color w:val="000000" w:themeColor="text1"/>
          <w:szCs w:val="32"/>
          <w:highlight w:val="none"/>
          <w14:textFill>
            <w14:solidFill>
              <w14:schemeClr w14:val="tx1"/>
            </w14:solidFill>
          </w14:textFill>
        </w:rPr>
        <w:t>四是</w:t>
      </w:r>
      <w:r>
        <w:rPr>
          <w:rFonts w:hint="eastAsia" w:ascii="仿宋" w:hAnsi="仿宋" w:cs="仿宋"/>
          <w:color w:val="000000" w:themeColor="text1"/>
          <w:szCs w:val="32"/>
          <w:highlight w:val="none"/>
          <w14:textFill>
            <w14:solidFill>
              <w14:schemeClr w14:val="tx1"/>
            </w14:solidFill>
          </w14:textFill>
        </w:rPr>
        <w:t>开展对既有商业文化设施、闲置办公用房</w:t>
      </w:r>
      <w:r>
        <w:rPr>
          <w:rFonts w:hint="eastAsia" w:ascii="仿宋" w:hAnsi="仿宋" w:cs="仿宋"/>
          <w:color w:val="000000" w:themeColor="text1"/>
          <w:szCs w:val="32"/>
          <w:highlight w:val="none"/>
          <w:lang w:eastAsia="zh-CN"/>
          <w14:textFill>
            <w14:solidFill>
              <w14:schemeClr w14:val="tx1"/>
            </w14:solidFill>
          </w14:textFill>
        </w:rPr>
        <w:t>及</w:t>
      </w:r>
      <w:r>
        <w:rPr>
          <w:rFonts w:hint="eastAsia" w:ascii="仿宋" w:hAnsi="仿宋" w:cs="仿宋"/>
          <w:color w:val="000000" w:themeColor="text1"/>
          <w:szCs w:val="32"/>
          <w:highlight w:val="none"/>
          <w14:textFill>
            <w14:solidFill>
              <w14:schemeClr w14:val="tx1"/>
            </w14:solidFill>
          </w14:textFill>
        </w:rPr>
        <w:t>厂房建筑的改造利用，以攀枝花宾馆、“开了个花”文艺院子、拙务园文化艺术空间等改造项目为代表，完善商业配套功能空间，提升休闲娱乐、文化艺术体验感，实现高效盘活利用。</w:t>
      </w:r>
    </w:p>
    <w:p>
      <w:pPr>
        <w:spacing w:line="576" w:lineRule="exact"/>
        <w:ind w:firstLine="640" w:firstLineChars="200"/>
        <w:outlineLvl w:val="1"/>
        <w:rPr>
          <w:rFonts w:ascii="仿宋" w:hAnsi="仿宋"/>
          <w:color w:val="000000" w:themeColor="text1"/>
          <w:szCs w:val="32"/>
          <w:highlight w:val="none"/>
          <w14:textFill>
            <w14:solidFill>
              <w14:schemeClr w14:val="tx1"/>
            </w14:solidFill>
          </w14:textFill>
        </w:rPr>
      </w:pPr>
      <w:r>
        <w:rPr>
          <w:rFonts w:hint="eastAsia" w:ascii="仿宋" w:hAnsi="仿宋"/>
          <w:color w:val="000000" w:themeColor="text1"/>
          <w:szCs w:val="32"/>
          <w:highlight w:val="none"/>
          <w14:textFill>
            <w14:solidFill>
              <w14:schemeClr w14:val="tx1"/>
            </w14:solidFill>
          </w14:textFill>
        </w:rPr>
        <w:t>到2027年，</w:t>
      </w:r>
      <w:r>
        <w:rPr>
          <w:rFonts w:hint="eastAsia" w:ascii="仿宋" w:hAnsi="仿宋"/>
          <w:color w:val="000000" w:themeColor="text1"/>
          <w:szCs w:val="32"/>
          <w:highlight w:val="none"/>
          <w14:textFill>
            <w14:solidFill>
              <w14:schemeClr w14:val="tx1"/>
            </w14:solidFill>
          </w14:textFill>
        </w:rPr>
        <w:t>力争</w:t>
      </w:r>
      <w:r>
        <w:rPr>
          <w:rFonts w:hint="eastAsia" w:ascii="仿宋" w:hAnsi="仿宋"/>
          <w:color w:val="000000" w:themeColor="text1"/>
          <w:szCs w:val="32"/>
          <w:highlight w:val="none"/>
          <w14:textFill>
            <w14:solidFill>
              <w14:schemeClr w14:val="tx1"/>
            </w14:solidFill>
          </w14:textFill>
        </w:rPr>
        <w:t>全区82栋1260户城市危旧房完成改造（其中2025年底D级危房全面开工改造，2026年底C级危房全面开工改造）；实现建筑安全风险隐患“动态清零”；新增既有建筑节能改造面积20万平方米以上；</w:t>
      </w:r>
      <w:bookmarkStart w:id="2" w:name="OLE_LINK3"/>
      <w:r>
        <w:rPr>
          <w:rFonts w:hint="eastAsia" w:ascii="仿宋" w:hAnsi="仿宋"/>
          <w:color w:val="000000" w:themeColor="text1"/>
          <w:szCs w:val="32"/>
          <w:highlight w:val="none"/>
          <w14:textFill>
            <w14:solidFill>
              <w14:schemeClr w14:val="tx1"/>
            </w14:solidFill>
          </w14:textFill>
        </w:rPr>
        <w:t>形成一批既有商业</w:t>
      </w:r>
      <w:r>
        <w:rPr>
          <w:rFonts w:hint="eastAsia" w:ascii="仿宋" w:hAnsi="仿宋" w:cs="仿宋"/>
          <w:color w:val="000000" w:themeColor="text1"/>
          <w:szCs w:val="32"/>
          <w:highlight w:val="none"/>
          <w14:textFill>
            <w14:solidFill>
              <w14:schemeClr w14:val="tx1"/>
            </w14:solidFill>
          </w14:textFill>
        </w:rPr>
        <w:t>设施、文化设施、闲置办公用房、闲置厂房建筑高效盘活利用示范。</w:t>
      </w:r>
    </w:p>
    <w:bookmarkEnd w:id="2"/>
    <w:p>
      <w:pPr>
        <w:spacing w:line="576" w:lineRule="exact"/>
        <w:ind w:firstLine="642" w:firstLineChars="200"/>
        <w:outlineLvl w:val="1"/>
        <w:rPr>
          <w:rFonts w:ascii="仿宋" w:hAnsi="仿宋"/>
          <w:color w:val="000000" w:themeColor="text1"/>
          <w:kern w:val="32"/>
          <w:szCs w:val="32"/>
          <w:highlight w:val="none"/>
          <w14:textFill>
            <w14:solidFill>
              <w14:schemeClr w14:val="tx1"/>
            </w14:solidFill>
          </w14:textFill>
        </w:rPr>
      </w:pPr>
      <w:r>
        <w:rPr>
          <w:rFonts w:hint="eastAsia" w:ascii="楷体_GB2312" w:hAnsi="楷体_GB2312" w:eastAsia="楷体_GB2312" w:cs="楷体_GB2312"/>
          <w:b/>
          <w:bCs/>
          <w:color w:val="000000" w:themeColor="text1"/>
          <w:kern w:val="0"/>
          <w:szCs w:val="32"/>
          <w:highlight w:val="none"/>
          <w14:textFill>
            <w14:solidFill>
              <w14:schemeClr w14:val="tx1"/>
            </w14:solidFill>
          </w14:textFill>
        </w:rPr>
        <w:t>（五）实施城镇基础设施改造提升工程。</w:t>
      </w:r>
      <w:r>
        <w:rPr>
          <w:rFonts w:hint="eastAsia" w:ascii="仿宋" w:hAnsi="仿宋"/>
          <w:b/>
          <w:bCs/>
          <w:color w:val="000000" w:themeColor="text1"/>
          <w:szCs w:val="32"/>
          <w:highlight w:val="none"/>
          <w14:textFill>
            <w14:solidFill>
              <w14:schemeClr w14:val="tx1"/>
            </w14:solidFill>
          </w14:textFill>
        </w:rPr>
        <w:t>一是</w:t>
      </w:r>
      <w:r>
        <w:rPr>
          <w:rFonts w:hint="eastAsia" w:ascii="仿宋" w:hAnsi="仿宋"/>
          <w:color w:val="000000" w:themeColor="text1"/>
          <w:kern w:val="32"/>
          <w:szCs w:val="32"/>
          <w:highlight w:val="none"/>
          <w14:textFill>
            <w14:solidFill>
              <w14:schemeClr w14:val="tx1"/>
            </w14:solidFill>
          </w14:textFill>
        </w:rPr>
        <w:t>以炳四区中部片区供水管网建设、江北片区污水收集管网建设、炳三区燃气管道更新等项目为重点，大力</w:t>
      </w:r>
      <w:r>
        <w:rPr>
          <w:rFonts w:ascii="仿宋" w:hAnsi="仿宋"/>
          <w:color w:val="000000" w:themeColor="text1"/>
          <w:kern w:val="32"/>
          <w:szCs w:val="32"/>
          <w:highlight w:val="none"/>
          <w14:textFill>
            <w14:solidFill>
              <w14:schemeClr w14:val="tx1"/>
            </w14:solidFill>
          </w14:textFill>
        </w:rPr>
        <w:t>实施排水管网更新改造</w:t>
      </w:r>
      <w:r>
        <w:rPr>
          <w:rFonts w:hint="eastAsia" w:ascii="仿宋" w:hAnsi="仿宋"/>
          <w:color w:val="000000" w:themeColor="text1"/>
          <w:kern w:val="32"/>
          <w:szCs w:val="32"/>
          <w:highlight w:val="none"/>
          <w14:textFill>
            <w14:solidFill>
              <w14:schemeClr w14:val="tx1"/>
            </w14:solidFill>
          </w14:textFill>
        </w:rPr>
        <w:t>、</w:t>
      </w:r>
      <w:r>
        <w:rPr>
          <w:rFonts w:ascii="仿宋" w:hAnsi="仿宋"/>
          <w:color w:val="000000" w:themeColor="text1"/>
          <w:kern w:val="32"/>
          <w:szCs w:val="32"/>
          <w:highlight w:val="none"/>
          <w14:textFill>
            <w14:solidFill>
              <w14:schemeClr w14:val="tx1"/>
            </w14:solidFill>
          </w14:textFill>
        </w:rPr>
        <w:t>中心城区污水管网混错接改造、</w:t>
      </w:r>
      <w:r>
        <w:rPr>
          <w:rFonts w:hint="eastAsia" w:ascii="仿宋" w:hAnsi="仿宋"/>
          <w:color w:val="000000" w:themeColor="text1"/>
          <w:kern w:val="32"/>
          <w:szCs w:val="32"/>
          <w:highlight w:val="none"/>
          <w14:textFill>
            <w14:solidFill>
              <w14:schemeClr w14:val="tx1"/>
            </w14:solidFill>
          </w14:textFill>
        </w:rPr>
        <w:t>雨污分流改造、</w:t>
      </w:r>
      <w:r>
        <w:rPr>
          <w:rFonts w:ascii="仿宋" w:hAnsi="仿宋"/>
          <w:color w:val="000000" w:themeColor="text1"/>
          <w:kern w:val="32"/>
          <w:szCs w:val="32"/>
          <w:highlight w:val="none"/>
          <w14:textFill>
            <w14:solidFill>
              <w14:schemeClr w14:val="tx1"/>
            </w14:solidFill>
          </w14:textFill>
        </w:rPr>
        <w:t>老旧管网修复更新工程</w:t>
      </w:r>
      <w:r>
        <w:rPr>
          <w:rFonts w:hint="eastAsia" w:ascii="仿宋" w:hAnsi="仿宋"/>
          <w:color w:val="000000" w:themeColor="text1"/>
          <w:kern w:val="32"/>
          <w:szCs w:val="32"/>
          <w:highlight w:val="none"/>
          <w14:textFill>
            <w14:solidFill>
              <w14:schemeClr w14:val="tx1"/>
            </w14:solidFill>
          </w14:textFill>
        </w:rPr>
        <w:t>、</w:t>
      </w:r>
      <w:r>
        <w:rPr>
          <w:rFonts w:ascii="仿宋" w:hAnsi="仿宋"/>
          <w:color w:val="000000" w:themeColor="text1"/>
          <w:kern w:val="32"/>
          <w:szCs w:val="32"/>
          <w:highlight w:val="none"/>
          <w14:textFill>
            <w14:solidFill>
              <w14:schemeClr w14:val="tx1"/>
            </w14:solidFill>
          </w14:textFill>
        </w:rPr>
        <w:t>供水管网改造</w:t>
      </w:r>
      <w:r>
        <w:rPr>
          <w:rFonts w:hint="eastAsia" w:ascii="仿宋" w:hAnsi="仿宋"/>
          <w:color w:val="000000" w:themeColor="text1"/>
          <w:kern w:val="32"/>
          <w:szCs w:val="32"/>
          <w:highlight w:val="none"/>
          <w14:textFill>
            <w14:solidFill>
              <w14:schemeClr w14:val="tx1"/>
            </w14:solidFill>
          </w14:textFill>
        </w:rPr>
        <w:t>、</w:t>
      </w:r>
      <w:r>
        <w:rPr>
          <w:rFonts w:ascii="仿宋" w:hAnsi="仿宋"/>
          <w:color w:val="000000" w:themeColor="text1"/>
          <w:kern w:val="32"/>
          <w:szCs w:val="32"/>
          <w:highlight w:val="none"/>
          <w14:textFill>
            <w14:solidFill>
              <w14:schemeClr w14:val="tx1"/>
            </w14:solidFill>
          </w14:textFill>
        </w:rPr>
        <w:t>老旧燃气管网更新改造</w:t>
      </w:r>
      <w:r>
        <w:rPr>
          <w:rFonts w:hint="eastAsia" w:ascii="仿宋" w:hAnsi="仿宋"/>
          <w:color w:val="000000" w:themeColor="text1"/>
          <w:kern w:val="32"/>
          <w:szCs w:val="32"/>
          <w:highlight w:val="none"/>
          <w14:textFill>
            <w14:solidFill>
              <w14:schemeClr w14:val="tx1"/>
            </w14:solidFill>
          </w14:textFill>
        </w:rPr>
        <w:t>和天然气置换工程，进一步降低城市内涝风险。</w:t>
      </w:r>
      <w:r>
        <w:rPr>
          <w:rFonts w:hint="eastAsia" w:ascii="仿宋" w:hAnsi="仿宋"/>
          <w:b/>
          <w:bCs/>
          <w:color w:val="000000" w:themeColor="text1"/>
          <w:kern w:val="32"/>
          <w:szCs w:val="32"/>
          <w:highlight w:val="none"/>
          <w14:textFill>
            <w14:solidFill>
              <w14:schemeClr w14:val="tx1"/>
            </w14:solidFill>
          </w14:textFill>
        </w:rPr>
        <w:t>二是</w:t>
      </w:r>
      <w:r>
        <w:rPr>
          <w:rFonts w:hint="eastAsia" w:ascii="仿宋" w:hAnsi="仿宋"/>
          <w:color w:val="000000" w:themeColor="text1"/>
          <w:kern w:val="32"/>
          <w:szCs w:val="32"/>
          <w:highlight w:val="none"/>
          <w14:textFill>
            <w14:solidFill>
              <w14:schemeClr w14:val="tx1"/>
            </w14:solidFill>
          </w14:textFill>
        </w:rPr>
        <w:t>大力实施10千伏及以下低压电网建设、再生水回收利用、地下水风险管控和修复、工业固废填埋场厂建设等工程，解决</w:t>
      </w:r>
      <w:bookmarkStart w:id="3" w:name="_Hlk200963595"/>
      <w:r>
        <w:rPr>
          <w:rFonts w:hint="eastAsia" w:ascii="仿宋" w:hAnsi="仿宋"/>
          <w:color w:val="000000" w:themeColor="text1"/>
          <w:kern w:val="32"/>
          <w:szCs w:val="32"/>
          <w:highlight w:val="none"/>
          <w14:textFill>
            <w14:solidFill>
              <w14:schemeClr w14:val="tx1"/>
            </w14:solidFill>
          </w14:textFill>
        </w:rPr>
        <w:t>电力、环卫等市政基础设施短板问题。</w:t>
      </w:r>
      <w:bookmarkEnd w:id="3"/>
      <w:r>
        <w:rPr>
          <w:rFonts w:hint="eastAsia" w:ascii="仿宋" w:hAnsi="仿宋"/>
          <w:b/>
          <w:bCs/>
          <w:color w:val="000000" w:themeColor="text1"/>
          <w:szCs w:val="32"/>
          <w:highlight w:val="none"/>
          <w14:textFill>
            <w14:solidFill>
              <w14:schemeClr w14:val="tx1"/>
            </w14:solidFill>
          </w14:textFill>
        </w:rPr>
        <w:t>三是</w:t>
      </w:r>
      <w:r>
        <w:rPr>
          <w:rFonts w:ascii="仿宋" w:hAnsi="仿宋"/>
          <w:color w:val="000000" w:themeColor="text1"/>
          <w:kern w:val="32"/>
          <w:szCs w:val="32"/>
          <w:highlight w:val="none"/>
          <w14:textFill>
            <w14:solidFill>
              <w14:schemeClr w14:val="tx1"/>
            </w14:solidFill>
          </w14:textFill>
        </w:rPr>
        <w:t>结合排水管网更新改造、老旧小区改造等项目实施，因地制宜推进城区</w:t>
      </w:r>
      <w:r>
        <w:rPr>
          <w:rFonts w:hint="eastAsia" w:ascii="仿宋" w:hAnsi="仿宋"/>
          <w:color w:val="000000" w:themeColor="text1"/>
          <w:kern w:val="32"/>
          <w:szCs w:val="32"/>
          <w:highlight w:val="none"/>
          <w14:textFill>
            <w14:solidFill>
              <w14:schemeClr w14:val="tx1"/>
            </w14:solidFill>
          </w14:textFill>
        </w:rPr>
        <w:t>次支</w:t>
      </w:r>
      <w:r>
        <w:rPr>
          <w:rFonts w:ascii="仿宋" w:hAnsi="仿宋"/>
          <w:color w:val="000000" w:themeColor="text1"/>
          <w:kern w:val="32"/>
          <w:szCs w:val="32"/>
          <w:highlight w:val="none"/>
          <w14:textFill>
            <w14:solidFill>
              <w14:schemeClr w14:val="tx1"/>
            </w14:solidFill>
          </w14:textFill>
        </w:rPr>
        <w:t>道</w:t>
      </w:r>
      <w:r>
        <w:rPr>
          <w:rFonts w:hint="eastAsia" w:ascii="仿宋" w:hAnsi="仿宋"/>
          <w:color w:val="000000" w:themeColor="text1"/>
          <w:kern w:val="32"/>
          <w:szCs w:val="32"/>
          <w:highlight w:val="none"/>
          <w14:textFill>
            <w14:solidFill>
              <w14:schemeClr w14:val="tx1"/>
            </w14:solidFill>
          </w14:textFill>
        </w:rPr>
        <w:t>路</w:t>
      </w:r>
      <w:r>
        <w:rPr>
          <w:rFonts w:ascii="仿宋" w:hAnsi="仿宋"/>
          <w:color w:val="000000" w:themeColor="text1"/>
          <w:kern w:val="32"/>
          <w:szCs w:val="32"/>
          <w:highlight w:val="none"/>
          <w14:textFill>
            <w14:solidFill>
              <w14:schemeClr w14:val="tx1"/>
            </w14:solidFill>
          </w14:textFill>
        </w:rPr>
        <w:t>、背街小巷路面及人行道整治，</w:t>
      </w:r>
      <w:r>
        <w:rPr>
          <w:rFonts w:hint="eastAsia" w:ascii="仿宋" w:hAnsi="仿宋"/>
          <w:color w:val="000000" w:themeColor="text1"/>
          <w:kern w:val="32"/>
          <w:szCs w:val="32"/>
          <w:highlight w:val="none"/>
          <w14:textFill>
            <w14:solidFill>
              <w14:schemeClr w14:val="tx1"/>
            </w14:solidFill>
          </w14:textFill>
        </w:rPr>
        <w:t>清理整治</w:t>
      </w:r>
      <w:r>
        <w:rPr>
          <w:rFonts w:hint="eastAsia" w:ascii="仿宋" w:hAnsi="仿宋"/>
          <w:color w:val="000000" w:themeColor="text1"/>
          <w:szCs w:val="32"/>
          <w:highlight w:val="none"/>
          <w14:textFill>
            <w14:solidFill>
              <w14:schemeClr w14:val="tx1"/>
            </w14:solidFill>
          </w14:textFill>
        </w:rPr>
        <w:t>人行道上设置不规范的市政设施，</w:t>
      </w:r>
      <w:r>
        <w:rPr>
          <w:rFonts w:ascii="仿宋" w:hAnsi="仿宋"/>
          <w:color w:val="000000" w:themeColor="text1"/>
          <w:kern w:val="32"/>
          <w:szCs w:val="32"/>
          <w:highlight w:val="none"/>
          <w14:textFill>
            <w14:solidFill>
              <w14:schemeClr w14:val="tx1"/>
            </w14:solidFill>
          </w14:textFill>
        </w:rPr>
        <w:t>全面提升城市道路及人行道通行效能。持续完善城市路网体系，加快推进公园大道、龙滩箐隧道、龙滩路</w:t>
      </w:r>
      <w:r>
        <w:rPr>
          <w:rFonts w:hint="eastAsia" w:ascii="仿宋" w:hAnsi="仿宋"/>
          <w:color w:val="000000" w:themeColor="text1"/>
          <w:kern w:val="32"/>
          <w:szCs w:val="32"/>
          <w:highlight w:val="none"/>
          <w14:textFill>
            <w14:solidFill>
              <w14:schemeClr w14:val="tx1"/>
            </w14:solidFill>
          </w14:textFill>
        </w:rPr>
        <w:t>、炳四曙北路、炳园中路、营昌路</w:t>
      </w:r>
      <w:r>
        <w:rPr>
          <w:rFonts w:ascii="仿宋" w:hAnsi="仿宋"/>
          <w:color w:val="000000" w:themeColor="text1"/>
          <w:kern w:val="32"/>
          <w:szCs w:val="32"/>
          <w:highlight w:val="none"/>
          <w14:textFill>
            <w14:solidFill>
              <w14:schemeClr w14:val="tx1"/>
            </w14:solidFill>
          </w14:textFill>
        </w:rPr>
        <w:t>等</w:t>
      </w:r>
      <w:r>
        <w:rPr>
          <w:rFonts w:hint="eastAsia" w:ascii="仿宋" w:hAnsi="仿宋"/>
          <w:color w:val="000000" w:themeColor="text1"/>
          <w:kern w:val="32"/>
          <w:szCs w:val="32"/>
          <w:highlight w:val="none"/>
          <w14:textFill>
            <w14:solidFill>
              <w14:schemeClr w14:val="tx1"/>
            </w14:solidFill>
          </w14:textFill>
        </w:rPr>
        <w:t>道</w:t>
      </w:r>
      <w:r>
        <w:rPr>
          <w:rFonts w:ascii="仿宋" w:hAnsi="仿宋"/>
          <w:color w:val="000000" w:themeColor="text1"/>
          <w:kern w:val="32"/>
          <w:szCs w:val="32"/>
          <w:highlight w:val="none"/>
          <w14:textFill>
            <w14:solidFill>
              <w14:schemeClr w14:val="tx1"/>
            </w14:solidFill>
          </w14:textFill>
        </w:rPr>
        <w:t>路建设</w:t>
      </w:r>
      <w:r>
        <w:rPr>
          <w:rFonts w:hint="eastAsia" w:ascii="仿宋" w:hAnsi="仿宋"/>
          <w:color w:val="000000" w:themeColor="text1"/>
          <w:szCs w:val="32"/>
          <w:highlight w:val="none"/>
          <w14:textFill>
            <w14:solidFill>
              <w14:schemeClr w14:val="tx1"/>
            </w14:solidFill>
          </w14:textFill>
        </w:rPr>
        <w:t>，实施S221东风凉风坳至炳草岗大桥段，G353、G227东区段等大修工程，</w:t>
      </w:r>
      <w:r>
        <w:rPr>
          <w:rFonts w:hint="eastAsia" w:ascii="仿宋" w:hAnsi="仿宋"/>
          <w:color w:val="000000" w:themeColor="text1"/>
          <w:kern w:val="32"/>
          <w:szCs w:val="32"/>
          <w:highlight w:val="none"/>
          <w14:textFill>
            <w14:solidFill>
              <w14:schemeClr w14:val="tx1"/>
            </w14:solidFill>
          </w14:textFill>
        </w:rPr>
        <w:t>因地制宜</w:t>
      </w:r>
      <w:r>
        <w:rPr>
          <w:rFonts w:hint="eastAsia" w:ascii="仿宋" w:hAnsi="仿宋"/>
          <w:color w:val="000000" w:themeColor="text1"/>
          <w:szCs w:val="32"/>
          <w:highlight w:val="none"/>
          <w14:textFill>
            <w14:solidFill>
              <w14:schemeClr w14:val="tx1"/>
            </w14:solidFill>
          </w14:textFill>
        </w:rPr>
        <w:t>打通街道、社区、村社内部片区断头路，</w:t>
      </w:r>
      <w:r>
        <w:rPr>
          <w:rFonts w:hint="eastAsia" w:ascii="仿宋" w:hAnsi="仿宋"/>
          <w:color w:val="000000" w:themeColor="text1"/>
          <w:szCs w:val="32"/>
          <w:highlight w:val="none"/>
          <w14:textFill>
            <w14:solidFill>
              <w14:schemeClr w14:val="tx1"/>
            </w14:solidFill>
          </w14:textFill>
        </w:rPr>
        <w:t>形成微循环</w:t>
      </w:r>
      <w:r>
        <w:rPr>
          <w:rFonts w:hint="eastAsia" w:ascii="仿宋" w:hAnsi="仿宋"/>
          <w:color w:val="000000" w:themeColor="text1"/>
          <w:szCs w:val="32"/>
          <w:highlight w:val="none"/>
          <w14:textFill>
            <w14:solidFill>
              <w14:schemeClr w14:val="tx1"/>
            </w14:solidFill>
          </w14:textFill>
        </w:rPr>
        <w:t>。</w:t>
      </w:r>
      <w:r>
        <w:rPr>
          <w:rFonts w:hint="eastAsia" w:ascii="仿宋" w:hAnsi="仿宋"/>
          <w:color w:val="000000" w:themeColor="text1"/>
          <w:kern w:val="32"/>
          <w:szCs w:val="32"/>
          <w:highlight w:val="none"/>
          <w14:textFill>
            <w14:solidFill>
              <w14:schemeClr w14:val="tx1"/>
            </w14:solidFill>
          </w14:textFill>
        </w:rPr>
        <w:t>制定管理办法，有效管控</w:t>
      </w:r>
      <w:r>
        <w:rPr>
          <w:rFonts w:ascii="仿宋" w:hAnsi="仿宋"/>
          <w:color w:val="000000" w:themeColor="text1"/>
          <w:kern w:val="32"/>
          <w:szCs w:val="32"/>
          <w:highlight w:val="none"/>
          <w14:textFill>
            <w14:solidFill>
              <w14:schemeClr w14:val="tx1"/>
            </w14:solidFill>
          </w14:textFill>
        </w:rPr>
        <w:t>城市道路无序开挖和“马路拉链”</w:t>
      </w:r>
      <w:r>
        <w:rPr>
          <w:rFonts w:hint="eastAsia" w:ascii="仿宋" w:hAnsi="仿宋"/>
          <w:color w:val="000000" w:themeColor="text1"/>
          <w:kern w:val="32"/>
          <w:szCs w:val="32"/>
          <w:highlight w:val="none"/>
          <w14:textFill>
            <w14:solidFill>
              <w14:schemeClr w14:val="tx1"/>
            </w14:solidFill>
          </w14:textFill>
        </w:rPr>
        <w:t>等问题，建立市政管网在线管理平台，对全区雨水、污水、强弱电、燃气、供水管线落实普查和动态管理机制</w:t>
      </w:r>
      <w:r>
        <w:rPr>
          <w:rFonts w:hint="eastAsia" w:ascii="仿宋" w:hAnsi="仿宋"/>
          <w:color w:val="000000" w:themeColor="text1"/>
          <w:kern w:val="32"/>
          <w:szCs w:val="32"/>
          <w:highlight w:val="none"/>
          <w14:textFill>
            <w14:solidFill>
              <w14:schemeClr w14:val="tx1"/>
            </w14:solidFill>
          </w14:textFill>
        </w:rPr>
        <w:t>。</w:t>
      </w:r>
      <w:r>
        <w:rPr>
          <w:rFonts w:hint="eastAsia" w:ascii="仿宋" w:hAnsi="仿宋"/>
          <w:b/>
          <w:bCs/>
          <w:color w:val="000000" w:themeColor="text1"/>
          <w:kern w:val="32"/>
          <w:szCs w:val="32"/>
          <w:highlight w:val="none"/>
          <w14:textFill>
            <w14:solidFill>
              <w14:schemeClr w14:val="tx1"/>
            </w14:solidFill>
          </w14:textFill>
        </w:rPr>
        <w:t>四是</w:t>
      </w:r>
      <w:r>
        <w:rPr>
          <w:rFonts w:hint="eastAsia" w:ascii="仿宋" w:hAnsi="仿宋"/>
          <w:color w:val="000000" w:themeColor="text1"/>
          <w:kern w:val="32"/>
          <w:szCs w:val="32"/>
          <w:highlight w:val="none"/>
          <w14:textFill>
            <w14:solidFill>
              <w14:schemeClr w14:val="tx1"/>
            </w14:solidFill>
          </w14:textFill>
        </w:rPr>
        <w:t>以攀枝花东区5G基站建设项目、攀枝花生产服务型国家物流枢纽及周边充换电及配套项目等为代表，加强5G基站杆塔、智慧充换电、传输光缆等新型基础设施建设。</w:t>
      </w:r>
      <w:r>
        <w:rPr>
          <w:rFonts w:hint="eastAsia" w:ascii="仿宋" w:hAnsi="仿宋"/>
          <w:b/>
          <w:bCs/>
          <w:color w:val="000000" w:themeColor="text1"/>
          <w:kern w:val="32"/>
          <w:szCs w:val="32"/>
          <w:highlight w:val="none"/>
          <w14:textFill>
            <w14:solidFill>
              <w14:schemeClr w14:val="tx1"/>
            </w14:solidFill>
          </w14:textFill>
        </w:rPr>
        <w:t>五是</w:t>
      </w:r>
      <w:r>
        <w:rPr>
          <w:rFonts w:hint="eastAsia" w:ascii="仿宋" w:hAnsi="仿宋"/>
          <w:color w:val="000000" w:themeColor="text1"/>
          <w:kern w:val="32"/>
          <w:szCs w:val="32"/>
          <w:highlight w:val="none"/>
          <w14:textFill>
            <w14:solidFill>
              <w14:schemeClr w14:val="tx1"/>
            </w14:solidFill>
          </w14:textFill>
        </w:rPr>
        <w:t>以东区排水设施智慧平台建设为代表，</w:t>
      </w:r>
      <w:r>
        <w:rPr>
          <w:rFonts w:ascii="仿宋" w:hAnsi="仿宋"/>
          <w:color w:val="000000" w:themeColor="text1"/>
          <w:kern w:val="32"/>
          <w:szCs w:val="32"/>
          <w:highlight w:val="none"/>
          <w14:textFill>
            <w14:solidFill>
              <w14:schemeClr w14:val="tx1"/>
            </w14:solidFill>
          </w14:textFill>
        </w:rPr>
        <w:t>启动城市基础设施生命线安全工程建设，开展燃气、供水、排水、桥梁、隧道、供电等城市基础设施风险评估，在补齐现有短板的基础上，推进市政基础设施智能化改造。</w:t>
      </w:r>
      <w:r>
        <w:rPr>
          <w:rFonts w:hint="eastAsia" w:ascii="仿宋" w:hAnsi="仿宋"/>
          <w:b/>
          <w:bCs/>
          <w:color w:val="000000" w:themeColor="text1"/>
          <w:kern w:val="32"/>
          <w:szCs w:val="32"/>
          <w:highlight w:val="none"/>
          <w14:textFill>
            <w14:solidFill>
              <w14:schemeClr w14:val="tx1"/>
            </w14:solidFill>
          </w14:textFill>
        </w:rPr>
        <w:t>六是</w:t>
      </w:r>
      <w:r>
        <w:rPr>
          <w:rFonts w:ascii="仿宋" w:hAnsi="仿宋"/>
          <w:color w:val="000000" w:themeColor="text1"/>
          <w:kern w:val="32"/>
          <w:szCs w:val="32"/>
          <w:highlight w:val="none"/>
          <w14:textFill>
            <w14:solidFill>
              <w14:schemeClr w14:val="tx1"/>
            </w14:solidFill>
          </w14:textFill>
        </w:rPr>
        <w:t>开展市政基础设施安全运行专项治理，</w:t>
      </w:r>
      <w:r>
        <w:rPr>
          <w:rFonts w:hint="eastAsia" w:ascii="仿宋" w:hAnsi="仿宋"/>
          <w:color w:val="000000" w:themeColor="text1"/>
          <w:kern w:val="32"/>
          <w:szCs w:val="32"/>
          <w:highlight w:val="none"/>
          <w14:textFill>
            <w14:solidFill>
              <w14:schemeClr w14:val="tx1"/>
            </w14:solidFill>
          </w14:textFill>
        </w:rPr>
        <w:t>以东区窨井盖物联智能感知设备建设项目、东区智慧灯杆智能化改造项目等为代表，</w:t>
      </w:r>
      <w:r>
        <w:rPr>
          <w:rFonts w:ascii="仿宋" w:hAnsi="仿宋"/>
          <w:color w:val="000000" w:themeColor="text1"/>
          <w:kern w:val="32"/>
          <w:szCs w:val="32"/>
          <w:highlight w:val="none"/>
          <w14:textFill>
            <w14:solidFill>
              <w14:schemeClr w14:val="tx1"/>
            </w14:solidFill>
          </w14:textFill>
        </w:rPr>
        <w:t>全面排查窨井盖、桥梁、隧道、路灯、燃气、管网等基础设施，强化安全隐患整治。</w:t>
      </w:r>
    </w:p>
    <w:p>
      <w:pPr>
        <w:spacing w:line="576" w:lineRule="exact"/>
        <w:ind w:firstLine="640" w:firstLineChars="200"/>
        <w:outlineLvl w:val="1"/>
        <w:rPr>
          <w:rFonts w:ascii="仿宋" w:hAnsi="仿宋"/>
          <w:color w:val="000000" w:themeColor="text1"/>
          <w:kern w:val="32"/>
          <w:szCs w:val="32"/>
          <w:highlight w:val="none"/>
          <w14:textFill>
            <w14:solidFill>
              <w14:schemeClr w14:val="tx1"/>
            </w14:solidFill>
          </w14:textFill>
        </w:rPr>
      </w:pPr>
      <w:r>
        <w:rPr>
          <w:rFonts w:ascii="仿宋" w:hAnsi="仿宋"/>
          <w:color w:val="000000" w:themeColor="text1"/>
          <w:kern w:val="32"/>
          <w:szCs w:val="32"/>
          <w:highlight w:val="none"/>
          <w14:textFill>
            <w14:solidFill>
              <w14:schemeClr w14:val="tx1"/>
            </w14:solidFill>
          </w14:textFill>
        </w:rPr>
        <w:t>到2027年，累计更新改造排水管网36公里、供水管网10公里、燃气管道</w:t>
      </w:r>
      <w:r>
        <w:rPr>
          <w:rFonts w:hint="eastAsia" w:ascii="仿宋" w:hAnsi="仿宋"/>
          <w:color w:val="000000" w:themeColor="text1"/>
          <w:kern w:val="32"/>
          <w:szCs w:val="32"/>
          <w:highlight w:val="none"/>
          <w14:textFill>
            <w14:solidFill>
              <w14:schemeClr w14:val="tx1"/>
            </w14:solidFill>
          </w14:textFill>
        </w:rPr>
        <w:t>4</w:t>
      </w:r>
      <w:r>
        <w:rPr>
          <w:rFonts w:ascii="仿宋" w:hAnsi="仿宋"/>
          <w:color w:val="000000" w:themeColor="text1"/>
          <w:kern w:val="32"/>
          <w:szCs w:val="32"/>
          <w:highlight w:val="none"/>
          <w14:textFill>
            <w14:solidFill>
              <w14:schemeClr w14:val="tx1"/>
            </w14:solidFill>
          </w14:textFill>
        </w:rPr>
        <w:t>00公里，城市生活污水集中收集率达到73%以上、供水管网漏损率降低至7%、雨污合流问题得到有效解决，东区江南片区管道天然气实现全覆盖；</w:t>
      </w:r>
      <w:r>
        <w:rPr>
          <w:rFonts w:hint="eastAsia" w:ascii="仿宋" w:hAnsi="仿宋"/>
          <w:color w:val="000000" w:themeColor="text1"/>
          <w:kern w:val="32"/>
          <w:szCs w:val="32"/>
          <w:highlight w:val="none"/>
          <w14:textFill>
            <w14:solidFill>
              <w14:schemeClr w14:val="tx1"/>
            </w14:solidFill>
          </w14:textFill>
        </w:rPr>
        <w:t>电力、环卫等市政基础设施短板问题基本解决；</w:t>
      </w:r>
      <w:r>
        <w:rPr>
          <w:rFonts w:ascii="仿宋" w:hAnsi="仿宋"/>
          <w:color w:val="000000" w:themeColor="text1"/>
          <w:kern w:val="32"/>
          <w:szCs w:val="32"/>
          <w:highlight w:val="none"/>
          <w14:textFill>
            <w14:solidFill>
              <w14:schemeClr w14:val="tx1"/>
            </w14:solidFill>
          </w14:textFill>
        </w:rPr>
        <w:t>完成城市</w:t>
      </w:r>
      <w:r>
        <w:rPr>
          <w:rFonts w:hint="eastAsia" w:ascii="仿宋" w:hAnsi="仿宋"/>
          <w:color w:val="000000" w:themeColor="text1"/>
          <w:kern w:val="32"/>
          <w:szCs w:val="32"/>
          <w:highlight w:val="none"/>
          <w14:textFill>
            <w14:solidFill>
              <w14:schemeClr w14:val="tx1"/>
            </w14:solidFill>
          </w14:textFill>
        </w:rPr>
        <w:t>重点路段新增路网建设、道路</w:t>
      </w:r>
      <w:r>
        <w:rPr>
          <w:rFonts w:ascii="仿宋" w:hAnsi="仿宋"/>
          <w:color w:val="000000" w:themeColor="text1"/>
          <w:kern w:val="32"/>
          <w:szCs w:val="32"/>
          <w:highlight w:val="none"/>
          <w14:textFill>
            <w14:solidFill>
              <w14:schemeClr w14:val="tx1"/>
            </w14:solidFill>
          </w14:textFill>
        </w:rPr>
        <w:t>路面改造提升</w:t>
      </w:r>
      <w:r>
        <w:rPr>
          <w:rFonts w:hint="eastAsia" w:ascii="仿宋" w:hAnsi="仿宋"/>
          <w:color w:val="000000" w:themeColor="text1"/>
          <w:kern w:val="32"/>
          <w:szCs w:val="32"/>
          <w:highlight w:val="none"/>
          <w14:textFill>
            <w14:solidFill>
              <w14:schemeClr w14:val="tx1"/>
            </w14:solidFill>
          </w14:textFill>
        </w:rPr>
        <w:t>、</w:t>
      </w:r>
      <w:r>
        <w:rPr>
          <w:rFonts w:ascii="仿宋" w:hAnsi="仿宋"/>
          <w:color w:val="000000" w:themeColor="text1"/>
          <w:kern w:val="32"/>
          <w:szCs w:val="32"/>
          <w:highlight w:val="none"/>
          <w14:textFill>
            <w14:solidFill>
              <w14:schemeClr w14:val="tx1"/>
            </w14:solidFill>
          </w14:textFill>
        </w:rPr>
        <w:t>人行道整治</w:t>
      </w:r>
      <w:r>
        <w:rPr>
          <w:rFonts w:hint="eastAsia" w:ascii="仿宋" w:hAnsi="仿宋"/>
          <w:color w:val="000000" w:themeColor="text1"/>
          <w:kern w:val="32"/>
          <w:szCs w:val="32"/>
          <w:highlight w:val="none"/>
          <w14:textFill>
            <w14:solidFill>
              <w14:schemeClr w14:val="tx1"/>
            </w14:solidFill>
          </w14:textFill>
        </w:rPr>
        <w:t>、</w:t>
      </w:r>
      <w:r>
        <w:rPr>
          <w:rFonts w:hint="eastAsia" w:ascii="仿宋" w:hAnsi="仿宋"/>
          <w:color w:val="000000" w:themeColor="text1"/>
          <w:szCs w:val="32"/>
          <w:highlight w:val="none"/>
          <w14:textFill>
            <w14:solidFill>
              <w14:schemeClr w14:val="tx1"/>
            </w14:solidFill>
          </w14:textFill>
        </w:rPr>
        <w:t>断头路打通取得明显成效，</w:t>
      </w:r>
      <w:r>
        <w:rPr>
          <w:rFonts w:ascii="仿宋" w:hAnsi="仿宋"/>
          <w:color w:val="000000" w:themeColor="text1"/>
          <w:kern w:val="32"/>
          <w:szCs w:val="32"/>
          <w:highlight w:val="none"/>
          <w14:textFill>
            <w14:solidFill>
              <w14:schemeClr w14:val="tx1"/>
            </w14:solidFill>
          </w14:textFill>
        </w:rPr>
        <w:t>更好满足市民出行品质化需求</w:t>
      </w:r>
      <w:r>
        <w:rPr>
          <w:rFonts w:hint="eastAsia" w:ascii="仿宋" w:hAnsi="仿宋"/>
          <w:color w:val="000000" w:themeColor="text1"/>
          <w:kern w:val="32"/>
          <w:szCs w:val="32"/>
          <w:highlight w:val="none"/>
          <w14:textFill>
            <w14:solidFill>
              <w14:schemeClr w14:val="tx1"/>
            </w14:solidFill>
          </w14:textFill>
        </w:rPr>
        <w:t>；</w:t>
      </w:r>
      <w:r>
        <w:rPr>
          <w:rFonts w:ascii="仿宋" w:hAnsi="仿宋"/>
          <w:color w:val="000000" w:themeColor="text1"/>
          <w:kern w:val="32"/>
          <w:szCs w:val="32"/>
          <w:highlight w:val="none"/>
          <w14:textFill>
            <w14:solidFill>
              <w14:schemeClr w14:val="tx1"/>
            </w14:solidFill>
          </w14:textFill>
        </w:rPr>
        <w:t>城市基础设施</w:t>
      </w:r>
      <w:r>
        <w:rPr>
          <w:rFonts w:hint="eastAsia" w:ascii="仿宋" w:hAnsi="仿宋"/>
          <w:color w:val="000000" w:themeColor="text1"/>
          <w:kern w:val="32"/>
          <w:szCs w:val="32"/>
          <w:highlight w:val="none"/>
          <w14:textFill>
            <w14:solidFill>
              <w14:schemeClr w14:val="tx1"/>
            </w14:solidFill>
          </w14:textFill>
        </w:rPr>
        <w:t>安全、智慧化水平显著提升。</w:t>
      </w:r>
    </w:p>
    <w:p>
      <w:pPr>
        <w:spacing w:line="576" w:lineRule="exact"/>
        <w:ind w:firstLine="642" w:firstLineChars="200"/>
        <w:outlineLvl w:val="1"/>
        <w:rPr>
          <w:rFonts w:ascii="仿宋" w:hAnsi="仿宋"/>
          <w:color w:val="000000" w:themeColor="text1"/>
          <w:szCs w:val="32"/>
          <w:highlight w:val="none"/>
          <w14:textFill>
            <w14:solidFill>
              <w14:schemeClr w14:val="tx1"/>
            </w14:solidFill>
          </w14:textFill>
        </w:rPr>
      </w:pPr>
      <w:r>
        <w:rPr>
          <w:rFonts w:hint="eastAsia" w:ascii="楷体_GB2312" w:hAnsi="楷体_GB2312" w:eastAsia="楷体_GB2312" w:cs="楷体_GB2312"/>
          <w:b/>
          <w:bCs/>
          <w:color w:val="000000" w:themeColor="text1"/>
          <w:kern w:val="0"/>
          <w:szCs w:val="32"/>
          <w:highlight w:val="none"/>
          <w14:textFill>
            <w14:solidFill>
              <w14:schemeClr w14:val="tx1"/>
            </w14:solidFill>
          </w14:textFill>
        </w:rPr>
        <w:t>（六）实施城市功能完善改造提升工程。</w:t>
      </w:r>
      <w:r>
        <w:rPr>
          <w:rFonts w:hint="eastAsia" w:ascii="仿宋" w:hAnsi="仿宋"/>
          <w:b/>
          <w:bCs/>
          <w:color w:val="000000" w:themeColor="text1"/>
          <w:szCs w:val="32"/>
          <w:highlight w:val="none"/>
          <w14:textFill>
            <w14:solidFill>
              <w14:schemeClr w14:val="tx1"/>
            </w14:solidFill>
          </w14:textFill>
        </w:rPr>
        <w:t>一是</w:t>
      </w:r>
      <w:r>
        <w:rPr>
          <w:rFonts w:hint="eastAsia" w:ascii="仿宋" w:hAnsi="仿宋"/>
          <w:color w:val="000000" w:themeColor="text1"/>
          <w:szCs w:val="32"/>
          <w:highlight w:val="none"/>
          <w14:textFill>
            <w14:solidFill>
              <w14:schemeClr w14:val="tx1"/>
            </w14:solidFill>
          </w14:textFill>
        </w:rPr>
        <w:t>保护修复城市山体、水系、湿地、绿地等生态本底和原生地貌，</w:t>
      </w:r>
      <w:r>
        <w:rPr>
          <w:rFonts w:hint="eastAsia" w:ascii="仿宋" w:hAnsi="仿宋"/>
          <w:color w:val="000000" w:themeColor="text1"/>
          <w:szCs w:val="32"/>
          <w:highlight w:val="none"/>
          <w14:textFill>
            <w14:solidFill>
              <w14:schemeClr w14:val="tx1"/>
            </w14:solidFill>
          </w14:textFill>
        </w:rPr>
        <w:t>强化生态修复。</w:t>
      </w:r>
      <w:r>
        <w:rPr>
          <w:rFonts w:ascii="仿宋" w:hAnsi="仿宋"/>
          <w:color w:val="000000" w:themeColor="text1"/>
          <w:szCs w:val="32"/>
          <w:highlight w:val="none"/>
          <w14:textFill>
            <w14:solidFill>
              <w14:schemeClr w14:val="tx1"/>
            </w14:solidFill>
          </w14:textFill>
        </w:rPr>
        <w:t>实施阿署达四季花海</w:t>
      </w:r>
      <w:r>
        <w:rPr>
          <w:rFonts w:hint="eastAsia" w:ascii="仿宋" w:hAnsi="仿宋"/>
          <w:color w:val="000000" w:themeColor="text1"/>
          <w:szCs w:val="32"/>
          <w:highlight w:val="none"/>
          <w14:textFill>
            <w14:solidFill>
              <w14:schemeClr w14:val="tx1"/>
            </w14:solidFill>
          </w14:textFill>
        </w:rPr>
        <w:t>、</w:t>
      </w:r>
      <w:r>
        <w:rPr>
          <w:rFonts w:ascii="仿宋" w:hAnsi="仿宋"/>
          <w:color w:val="000000" w:themeColor="text1"/>
          <w:szCs w:val="32"/>
          <w:highlight w:val="none"/>
          <w14:textFill>
            <w14:solidFill>
              <w14:schemeClr w14:val="tx1"/>
            </w14:solidFill>
          </w14:textFill>
        </w:rPr>
        <w:t>东华山</w:t>
      </w:r>
      <w:r>
        <w:rPr>
          <w:rFonts w:hint="eastAsia" w:ascii="仿宋" w:hAnsi="仿宋"/>
          <w:color w:val="000000" w:themeColor="text1"/>
          <w:szCs w:val="32"/>
          <w:highlight w:val="none"/>
          <w14:textFill>
            <w14:solidFill>
              <w14:schemeClr w14:val="tx1"/>
            </w14:solidFill>
          </w14:textFill>
        </w:rPr>
        <w:t>山地公园、“花之眼”项目至玉佛寺片区生态修复、金沙江流域及其支流水环境综合整治等项目。</w:t>
      </w:r>
      <w:r>
        <w:rPr>
          <w:rFonts w:hint="eastAsia" w:ascii="仿宋" w:hAnsi="仿宋"/>
          <w:b/>
          <w:bCs/>
          <w:color w:val="000000" w:themeColor="text1"/>
          <w:szCs w:val="32"/>
          <w:highlight w:val="none"/>
          <w14:textFill>
            <w14:solidFill>
              <w14:schemeClr w14:val="tx1"/>
            </w14:solidFill>
          </w14:textFill>
        </w:rPr>
        <w:t>二是</w:t>
      </w:r>
      <w:r>
        <w:rPr>
          <w:rFonts w:hint="eastAsia" w:ascii="仿宋" w:hAnsi="仿宋"/>
          <w:color w:val="000000" w:themeColor="text1"/>
          <w:szCs w:val="32"/>
          <w:highlight w:val="none"/>
          <w14:textFill>
            <w14:solidFill>
              <w14:schemeClr w14:val="tx1"/>
            </w14:solidFill>
          </w14:textFill>
        </w:rPr>
        <w:t>实施弄密片区生态产品价值实现、银江湖两岸生态治理、两江休闲谷等项目，</w:t>
      </w:r>
      <w:r>
        <w:rPr>
          <w:rFonts w:ascii="仿宋" w:hAnsi="仿宋"/>
          <w:color w:val="000000" w:themeColor="text1"/>
          <w:szCs w:val="32"/>
          <w:highlight w:val="none"/>
          <w14:textFill>
            <w14:solidFill>
              <w14:schemeClr w14:val="tx1"/>
            </w14:solidFill>
          </w14:textFill>
        </w:rPr>
        <w:t>依托金沙江等流域水生态资源，持续推进城市沿江休闲</w:t>
      </w:r>
      <w:r>
        <w:rPr>
          <w:rFonts w:hint="eastAsia" w:ascii="仿宋" w:hAnsi="仿宋"/>
          <w:color w:val="000000" w:themeColor="text1"/>
          <w:szCs w:val="32"/>
          <w:highlight w:val="none"/>
          <w14:textFill>
            <w14:solidFill>
              <w14:schemeClr w14:val="tx1"/>
            </w14:solidFill>
          </w14:textFill>
        </w:rPr>
        <w:t>生境</w:t>
      </w:r>
      <w:r>
        <w:rPr>
          <w:rFonts w:ascii="仿宋" w:hAnsi="仿宋"/>
          <w:color w:val="000000" w:themeColor="text1"/>
          <w:szCs w:val="32"/>
          <w:highlight w:val="none"/>
          <w14:textFill>
            <w14:solidFill>
              <w14:schemeClr w14:val="tx1"/>
            </w14:solidFill>
          </w14:textFill>
        </w:rPr>
        <w:t>建设，打造生态、休闲、旅游等功能复合的滨水空间</w:t>
      </w:r>
      <w:r>
        <w:rPr>
          <w:rFonts w:hint="eastAsia" w:ascii="仿宋" w:hAnsi="仿宋"/>
          <w:color w:val="000000" w:themeColor="text1"/>
          <w:szCs w:val="32"/>
          <w:highlight w:val="none"/>
          <w:lang w:eastAsia="zh-CN"/>
          <w14:textFill>
            <w14:solidFill>
              <w14:schemeClr w14:val="tx1"/>
            </w14:solidFill>
          </w14:textFill>
        </w:rPr>
        <w:t>和经济带</w:t>
      </w:r>
      <w:r>
        <w:rPr>
          <w:rFonts w:hint="eastAsia" w:ascii="仿宋" w:hAnsi="仿宋"/>
          <w:color w:val="000000" w:themeColor="text1"/>
          <w:szCs w:val="32"/>
          <w:highlight w:val="none"/>
          <w14:textFill>
            <w14:solidFill>
              <w14:schemeClr w14:val="tx1"/>
            </w14:solidFill>
          </w14:textFill>
        </w:rPr>
        <w:t>，布局滨水商业、水上运动等项目。</w:t>
      </w:r>
      <w:r>
        <w:rPr>
          <w:rFonts w:hint="eastAsia" w:ascii="仿宋" w:hAnsi="仿宋"/>
          <w:b/>
          <w:bCs/>
          <w:color w:val="000000" w:themeColor="text1"/>
          <w:szCs w:val="32"/>
          <w:highlight w:val="none"/>
          <w14:textFill>
            <w14:solidFill>
              <w14:schemeClr w14:val="tx1"/>
            </w14:solidFill>
          </w14:textFill>
        </w:rPr>
        <w:t>三是</w:t>
      </w:r>
      <w:r>
        <w:rPr>
          <w:rFonts w:hint="eastAsia" w:ascii="仿宋" w:hAnsi="仿宋"/>
          <w:color w:val="000000" w:themeColor="text1"/>
          <w:szCs w:val="32"/>
          <w:highlight w:val="none"/>
          <w14:textFill>
            <w14:solidFill>
              <w14:schemeClr w14:val="tx1"/>
            </w14:solidFill>
          </w14:textFill>
        </w:rPr>
        <w:t>实施城市小微空间整治，</w:t>
      </w:r>
      <w:r>
        <w:rPr>
          <w:rFonts w:ascii="仿宋" w:hAnsi="仿宋"/>
          <w:color w:val="000000" w:themeColor="text1"/>
          <w:szCs w:val="32"/>
          <w:highlight w:val="none"/>
          <w14:textFill>
            <w14:solidFill>
              <w14:schemeClr w14:val="tx1"/>
            </w14:solidFill>
          </w14:textFill>
        </w:rPr>
        <w:t>充分利用城市的“金边银角”推进“口袋公园”</w:t>
      </w:r>
      <w:r>
        <w:rPr>
          <w:rFonts w:hint="eastAsia" w:ascii="仿宋" w:hAnsi="仿宋"/>
          <w:color w:val="000000" w:themeColor="text1"/>
          <w:szCs w:val="32"/>
          <w:highlight w:val="none"/>
          <w14:textFill>
            <w14:solidFill>
              <w14:schemeClr w14:val="tx1"/>
            </w14:solidFill>
          </w14:textFill>
        </w:rPr>
        <w:t>、城市绿道建设</w:t>
      </w:r>
      <w:r>
        <w:rPr>
          <w:rFonts w:ascii="仿宋" w:hAnsi="仿宋"/>
          <w:color w:val="000000" w:themeColor="text1"/>
          <w:szCs w:val="32"/>
          <w:highlight w:val="none"/>
          <w14:textFill>
            <w14:solidFill>
              <w14:schemeClr w14:val="tx1"/>
            </w14:solidFill>
          </w14:textFill>
        </w:rPr>
        <w:t>，优化提升公园绿地公共空间服务功能和生态品质</w:t>
      </w:r>
      <w:r>
        <w:rPr>
          <w:rFonts w:hint="eastAsia" w:ascii="仿宋" w:hAnsi="仿宋"/>
          <w:color w:val="000000" w:themeColor="text1"/>
          <w:szCs w:val="32"/>
          <w:highlight w:val="none"/>
          <w14:textFill>
            <w14:solidFill>
              <w14:schemeClr w14:val="tx1"/>
            </w14:solidFill>
          </w14:textFill>
        </w:rPr>
        <w:t>，利用腾退地块新建口袋公园12个。</w:t>
      </w:r>
      <w:r>
        <w:rPr>
          <w:rFonts w:hint="eastAsia" w:ascii="仿宋" w:hAnsi="仿宋"/>
          <w:b/>
          <w:bCs/>
          <w:color w:val="000000" w:themeColor="text1"/>
          <w:szCs w:val="32"/>
          <w:highlight w:val="none"/>
          <w14:textFill>
            <w14:solidFill>
              <w14:schemeClr w14:val="tx1"/>
            </w14:solidFill>
          </w14:textFill>
        </w:rPr>
        <w:t>四是</w:t>
      </w:r>
      <w:r>
        <w:rPr>
          <w:rFonts w:hint="eastAsia" w:ascii="仿宋" w:hAnsi="仿宋"/>
          <w:color w:val="000000" w:themeColor="text1"/>
          <w:szCs w:val="32"/>
          <w:highlight w:val="none"/>
          <w14:textFill>
            <w14:solidFill>
              <w14:schemeClr w14:val="tx1"/>
            </w14:solidFill>
          </w14:textFill>
        </w:rPr>
        <w:t>加强城市老旧公园、社区公园更新改造，实施攀枝花公园经营节点提升、兴业商城立交桥下改造利用等项目，充分利用桥下空间、街旁空间、地下空间、屋顶空间，大力推动城市公共空间改造利用。</w:t>
      </w:r>
      <w:r>
        <w:rPr>
          <w:rFonts w:hint="eastAsia" w:ascii="仿宋" w:hAnsi="仿宋"/>
          <w:b/>
          <w:bCs/>
          <w:color w:val="000000" w:themeColor="text1"/>
          <w:szCs w:val="32"/>
          <w:highlight w:val="none"/>
          <w14:textFill>
            <w14:solidFill>
              <w14:schemeClr w14:val="tx1"/>
            </w14:solidFill>
          </w14:textFill>
        </w:rPr>
        <w:t>五是</w:t>
      </w:r>
      <w:r>
        <w:rPr>
          <w:rFonts w:hint="eastAsia" w:ascii="仿宋" w:hAnsi="仿宋"/>
          <w:color w:val="000000" w:themeColor="text1"/>
          <w:szCs w:val="32"/>
          <w:highlight w:val="none"/>
          <w14:textFill>
            <w14:solidFill>
              <w14:schemeClr w14:val="tx1"/>
            </w14:solidFill>
          </w14:textFill>
        </w:rPr>
        <w:t>实施城市级重点民生设施补短，大力推动东区文化馆改建、智慧教育等民生项目建设。助推银江镇申报创建省级百强中心镇，大力推动阿署达乡村振兴示范基地建设、阿署达古村落文旅融合项目（一期）等项目建设，有序提升改造一批标杆型农文旅融合项目。</w:t>
      </w:r>
    </w:p>
    <w:p>
      <w:pPr>
        <w:spacing w:line="576" w:lineRule="exact"/>
        <w:ind w:firstLine="640" w:firstLineChars="200"/>
        <w:outlineLvl w:val="1"/>
        <w:rPr>
          <w:rFonts w:ascii="仿宋" w:hAnsi="仿宋"/>
          <w:color w:val="000000" w:themeColor="text1"/>
          <w:szCs w:val="32"/>
          <w:highlight w:val="none"/>
          <w14:textFill>
            <w14:solidFill>
              <w14:schemeClr w14:val="tx1"/>
            </w14:solidFill>
          </w14:textFill>
        </w:rPr>
      </w:pPr>
      <w:r>
        <w:rPr>
          <w:rFonts w:hint="eastAsia" w:ascii="仿宋" w:hAnsi="仿宋"/>
          <w:color w:val="000000" w:themeColor="text1"/>
          <w:szCs w:val="32"/>
          <w:highlight w:val="none"/>
          <w14:textFill>
            <w14:solidFill>
              <w14:schemeClr w14:val="tx1"/>
            </w14:solidFill>
          </w14:textFill>
        </w:rPr>
        <w:t>到2027年，东华山山地体育公园、阿署达四季花海等重点项目整体建成投入运营，银江湖公园进一步提升完善；建设“口袋公园”累计12个，努力实现5</w:t>
      </w:r>
      <w:r>
        <w:rPr>
          <w:rFonts w:ascii="仿宋" w:hAnsi="仿宋"/>
          <w:color w:val="000000" w:themeColor="text1"/>
          <w:szCs w:val="32"/>
          <w:highlight w:val="none"/>
          <w14:textFill>
            <w14:solidFill>
              <w14:schemeClr w14:val="tx1"/>
            </w14:solidFill>
          </w14:textFill>
        </w:rPr>
        <w:t>00m</w:t>
      </w:r>
      <w:r>
        <w:rPr>
          <w:rFonts w:hint="eastAsia" w:ascii="仿宋" w:hAnsi="仿宋"/>
          <w:color w:val="000000" w:themeColor="text1"/>
          <w:szCs w:val="32"/>
          <w:highlight w:val="none"/>
          <w14:textFill>
            <w14:solidFill>
              <w14:schemeClr w14:val="tx1"/>
            </w14:solidFill>
          </w14:textFill>
        </w:rPr>
        <w:t>见绿，建成区人均公园绿地面积提升至20平方米以上，城市蓝绿公共空间持续优化，生态环境质量不断提升，城市重要文化、教育、医疗、养老等重大民生设施服务水平明显改善，建成一批标杆型农文旅基地。</w:t>
      </w:r>
    </w:p>
    <w:p>
      <w:pPr>
        <w:autoSpaceDE w:val="0"/>
        <w:spacing w:line="576" w:lineRule="exact"/>
        <w:ind w:left="640" w:leftChars="200"/>
        <w:outlineLvl w:val="1"/>
        <w:rPr>
          <w:rFonts w:eastAsia="黑体"/>
          <w:color w:val="000000" w:themeColor="text1"/>
          <w:szCs w:val="32"/>
          <w:highlight w:val="none"/>
          <w14:textFill>
            <w14:solidFill>
              <w14:schemeClr w14:val="tx1"/>
            </w14:solidFill>
          </w14:textFill>
        </w:rPr>
      </w:pPr>
      <w:r>
        <w:rPr>
          <w:rFonts w:hint="eastAsia" w:eastAsia="黑体"/>
          <w:color w:val="000000" w:themeColor="text1"/>
          <w:szCs w:val="32"/>
          <w:highlight w:val="none"/>
          <w14:textFill>
            <w14:solidFill>
              <w14:schemeClr w14:val="tx1"/>
            </w14:solidFill>
          </w14:textFill>
        </w:rPr>
        <w:t>四、支持政策</w:t>
      </w:r>
    </w:p>
    <w:p>
      <w:pPr>
        <w:spacing w:line="576" w:lineRule="exact"/>
        <w:ind w:firstLine="642" w:firstLineChars="200"/>
        <w:outlineLvl w:val="1"/>
        <w:rPr>
          <w:rFonts w:ascii="仿宋" w:hAnsi="仿宋" w:cs="仿宋"/>
          <w:color w:val="000000" w:themeColor="text1"/>
          <w:szCs w:val="32"/>
          <w:highlight w:val="none"/>
          <w:lang w:bidi="ar"/>
          <w14:textFill>
            <w14:solidFill>
              <w14:schemeClr w14:val="tx1"/>
            </w14:solidFill>
          </w14:textFill>
        </w:rPr>
      </w:pPr>
      <w:r>
        <w:rPr>
          <w:rFonts w:eastAsia="楷体"/>
          <w:b/>
          <w:bCs/>
          <w:color w:val="000000" w:themeColor="text1"/>
          <w:kern w:val="0"/>
          <w:szCs w:val="32"/>
          <w:highlight w:val="none"/>
          <w14:textFill>
            <w14:solidFill>
              <w14:schemeClr w14:val="tx1"/>
            </w14:solidFill>
          </w14:textFill>
        </w:rPr>
        <w:t>（一）资金</w:t>
      </w:r>
      <w:r>
        <w:rPr>
          <w:rFonts w:hint="eastAsia" w:eastAsia="楷体"/>
          <w:b/>
          <w:bCs/>
          <w:color w:val="000000" w:themeColor="text1"/>
          <w:kern w:val="0"/>
          <w:szCs w:val="32"/>
          <w:highlight w:val="none"/>
          <w14:textFill>
            <w14:solidFill>
              <w14:schemeClr w14:val="tx1"/>
            </w14:solidFill>
          </w14:textFill>
        </w:rPr>
        <w:t>保障</w:t>
      </w:r>
      <w:r>
        <w:rPr>
          <w:rFonts w:eastAsia="楷体"/>
          <w:b/>
          <w:bCs/>
          <w:color w:val="000000" w:themeColor="text1"/>
          <w:kern w:val="0"/>
          <w:szCs w:val="32"/>
          <w:highlight w:val="none"/>
          <w14:textFill>
            <w14:solidFill>
              <w14:schemeClr w14:val="tx1"/>
            </w14:solidFill>
          </w14:textFill>
        </w:rPr>
        <w:t>多元化</w:t>
      </w:r>
      <w:r>
        <w:rPr>
          <w:rFonts w:hint="eastAsia" w:eastAsia="楷体"/>
          <w:b/>
          <w:bCs/>
          <w:color w:val="000000" w:themeColor="text1"/>
          <w:kern w:val="0"/>
          <w:szCs w:val="32"/>
          <w:highlight w:val="none"/>
          <w14:textFill>
            <w14:solidFill>
              <w14:schemeClr w14:val="tx1"/>
            </w14:solidFill>
          </w14:textFill>
        </w:rPr>
        <w:t>，</w:t>
      </w:r>
      <w:r>
        <w:rPr>
          <w:rFonts w:eastAsia="楷体"/>
          <w:b/>
          <w:bCs/>
          <w:color w:val="000000" w:themeColor="text1"/>
          <w:kern w:val="0"/>
          <w:szCs w:val="32"/>
          <w:highlight w:val="none"/>
          <w14:textFill>
            <w14:solidFill>
              <w14:schemeClr w14:val="tx1"/>
            </w14:solidFill>
          </w14:textFill>
        </w:rPr>
        <w:t>税收减免精准化</w:t>
      </w:r>
      <w:r>
        <w:rPr>
          <w:rFonts w:hint="eastAsia" w:eastAsia="楷体"/>
          <w:b/>
          <w:bCs/>
          <w:color w:val="000000" w:themeColor="text1"/>
          <w:kern w:val="0"/>
          <w:szCs w:val="32"/>
          <w:highlight w:val="none"/>
          <w14:textFill>
            <w14:solidFill>
              <w14:schemeClr w14:val="tx1"/>
            </w14:solidFill>
          </w14:textFill>
        </w:rPr>
        <w:t>。</w:t>
      </w:r>
      <w:r>
        <w:rPr>
          <w:rFonts w:hint="eastAsia" w:ascii="仿宋" w:hAnsi="仿宋" w:cs="仿宋"/>
          <w:b/>
          <w:bCs/>
          <w:color w:val="000000" w:themeColor="text1"/>
          <w:szCs w:val="32"/>
          <w:highlight w:val="none"/>
          <w:lang w:bidi="ar"/>
          <w14:textFill>
            <w14:solidFill>
              <w14:schemeClr w14:val="tx1"/>
            </w14:solidFill>
          </w14:textFill>
        </w:rPr>
        <w:t>一是</w:t>
      </w:r>
      <w:r>
        <w:rPr>
          <w:rFonts w:ascii="仿宋" w:hAnsi="仿宋" w:cs="仿宋"/>
          <w:color w:val="000000" w:themeColor="text1"/>
          <w:szCs w:val="32"/>
          <w:highlight w:val="none"/>
          <w:lang w:bidi="ar"/>
          <w14:textFill>
            <w14:solidFill>
              <w14:schemeClr w14:val="tx1"/>
            </w14:solidFill>
          </w14:textFill>
        </w:rPr>
        <w:t>积极</w:t>
      </w:r>
      <w:r>
        <w:rPr>
          <w:rFonts w:hint="eastAsia" w:ascii="仿宋" w:hAnsi="仿宋" w:cs="仿宋"/>
          <w:color w:val="000000" w:themeColor="text1"/>
          <w:szCs w:val="32"/>
          <w:highlight w:val="none"/>
          <w:lang w:bidi="ar"/>
          <w14:textFill>
            <w14:solidFill>
              <w14:schemeClr w14:val="tx1"/>
            </w14:solidFill>
          </w14:textFill>
        </w:rPr>
        <w:t>争取中央预算内投资、地方政府专项债券、超长期特别国债等多方资金支持，</w:t>
      </w:r>
      <w:r>
        <w:rPr>
          <w:rFonts w:ascii="仿宋" w:hAnsi="仿宋" w:cs="仿宋"/>
          <w:color w:val="000000" w:themeColor="text1"/>
          <w:szCs w:val="32"/>
          <w:highlight w:val="none"/>
          <w:lang w:bidi="ar"/>
          <w14:textFill>
            <w14:solidFill>
              <w14:schemeClr w14:val="tx1"/>
            </w14:solidFill>
          </w14:textFill>
        </w:rPr>
        <w:t>优先支持城市更新重点片区内的项目。在分配新增</w:t>
      </w:r>
      <w:r>
        <w:rPr>
          <w:rFonts w:hint="eastAsia" w:ascii="仿宋" w:hAnsi="仿宋" w:cs="仿宋"/>
          <w:color w:val="000000" w:themeColor="text1"/>
          <w:szCs w:val="32"/>
          <w:highlight w:val="none"/>
          <w:lang w:bidi="ar"/>
          <w14:textFill>
            <w14:solidFill>
              <w14:schemeClr w14:val="tx1"/>
            </w14:solidFill>
          </w14:textFill>
        </w:rPr>
        <w:t>地方政府</w:t>
      </w:r>
      <w:r>
        <w:rPr>
          <w:rFonts w:ascii="仿宋" w:hAnsi="仿宋" w:cs="仿宋"/>
          <w:color w:val="000000" w:themeColor="text1"/>
          <w:szCs w:val="32"/>
          <w:highlight w:val="none"/>
          <w:lang w:bidi="ar"/>
          <w14:textFill>
            <w14:solidFill>
              <w14:schemeClr w14:val="tx1"/>
            </w14:solidFill>
          </w14:textFill>
        </w:rPr>
        <w:t>专项债券时，优先支持纳入可发行范围的城</w:t>
      </w:r>
      <w:r>
        <w:rPr>
          <w:rFonts w:hint="eastAsia" w:ascii="仿宋" w:hAnsi="仿宋" w:cs="仿宋"/>
          <w:color w:val="000000" w:themeColor="text1"/>
          <w:szCs w:val="32"/>
          <w:highlight w:val="none"/>
          <w:lang w:bidi="ar"/>
          <w14:textFill>
            <w14:solidFill>
              <w14:schemeClr w14:val="tx1"/>
            </w14:solidFill>
          </w14:textFill>
        </w:rPr>
        <w:t>市更新改造项目，</w:t>
      </w:r>
      <w:r>
        <w:rPr>
          <w:rFonts w:ascii="仿宋" w:hAnsi="仿宋" w:cs="仿宋"/>
          <w:color w:val="000000" w:themeColor="text1"/>
          <w:szCs w:val="32"/>
          <w:highlight w:val="none"/>
          <w:lang w:bidi="ar"/>
          <w14:textFill>
            <w14:solidFill>
              <w14:schemeClr w14:val="tx1"/>
            </w14:solidFill>
          </w14:textFill>
        </w:rPr>
        <w:t>投向城市更新重点片区的地方政府专项债券额度不低于</w:t>
      </w:r>
      <w:r>
        <w:rPr>
          <w:rFonts w:hint="eastAsia" w:ascii="仿宋" w:hAnsi="仿宋" w:cs="仿宋"/>
          <w:color w:val="000000" w:themeColor="text1"/>
          <w:szCs w:val="32"/>
          <w:highlight w:val="none"/>
          <w:lang w:bidi="ar"/>
          <w14:textFill>
            <w14:solidFill>
              <w14:schemeClr w14:val="tx1"/>
            </w14:solidFill>
          </w14:textFill>
        </w:rPr>
        <w:t>可发行</w:t>
      </w:r>
      <w:r>
        <w:rPr>
          <w:rFonts w:ascii="仿宋" w:hAnsi="仿宋" w:cs="仿宋"/>
          <w:color w:val="000000" w:themeColor="text1"/>
          <w:szCs w:val="32"/>
          <w:highlight w:val="none"/>
          <w:lang w:bidi="ar"/>
          <w14:textFill>
            <w14:solidFill>
              <w14:schemeClr w14:val="tx1"/>
            </w14:solidFill>
          </w14:textFill>
        </w:rPr>
        <w:t>总额的</w:t>
      </w:r>
      <w:r>
        <w:rPr>
          <w:rFonts w:hint="eastAsia"/>
          <w:color w:val="000000" w:themeColor="text1"/>
          <w:szCs w:val="32"/>
          <w:highlight w:val="none"/>
          <w:lang w:bidi="ar"/>
          <w14:textFill>
            <w14:solidFill>
              <w14:schemeClr w14:val="tx1"/>
            </w14:solidFill>
          </w14:textFill>
        </w:rPr>
        <w:t>50</w:t>
      </w:r>
      <w:r>
        <w:rPr>
          <w:color w:val="000000" w:themeColor="text1"/>
          <w:szCs w:val="32"/>
          <w:highlight w:val="none"/>
          <w:lang w:bidi="ar"/>
          <w14:textFill>
            <w14:solidFill>
              <w14:schemeClr w14:val="tx1"/>
            </w14:solidFill>
          </w14:textFill>
        </w:rPr>
        <w:t>%</w:t>
      </w:r>
      <w:r>
        <w:rPr>
          <w:rFonts w:ascii="仿宋" w:hAnsi="仿宋" w:cs="仿宋"/>
          <w:color w:val="000000" w:themeColor="text1"/>
          <w:szCs w:val="32"/>
          <w:highlight w:val="none"/>
          <w:lang w:bidi="ar"/>
          <w14:textFill>
            <w14:solidFill>
              <w14:schemeClr w14:val="tx1"/>
            </w14:solidFill>
          </w14:textFill>
        </w:rPr>
        <w:t>。</w:t>
      </w:r>
      <w:r>
        <w:rPr>
          <w:rFonts w:hint="eastAsia" w:ascii="仿宋" w:hAnsi="仿宋" w:cs="仿宋"/>
          <w:b/>
          <w:bCs/>
          <w:color w:val="000000" w:themeColor="text1"/>
          <w:szCs w:val="32"/>
          <w:highlight w:val="none"/>
          <w:lang w:bidi="ar"/>
          <w14:textFill>
            <w14:solidFill>
              <w14:schemeClr w14:val="tx1"/>
            </w14:solidFill>
          </w14:textFill>
        </w:rPr>
        <w:t>二是</w:t>
      </w:r>
      <w:r>
        <w:rPr>
          <w:rFonts w:hint="eastAsia" w:ascii="仿宋" w:hAnsi="仿宋" w:cs="仿宋"/>
          <w:color w:val="000000" w:themeColor="text1"/>
          <w:szCs w:val="32"/>
          <w:highlight w:val="none"/>
          <w:lang w:bidi="ar"/>
          <w14:textFill>
            <w14:solidFill>
              <w14:schemeClr w14:val="tx1"/>
            </w14:solidFill>
          </w14:textFill>
        </w:rPr>
        <w:t>在城市更新项目中，对于符合现行税收政策规定的减免税条件的涉税行为，严格按照政策规定落实税收优惠政策。</w:t>
      </w:r>
      <w:r>
        <w:rPr>
          <w:rFonts w:ascii="仿宋" w:hAnsi="仿宋" w:cs="仿宋"/>
          <w:color w:val="000000" w:themeColor="text1"/>
          <w:szCs w:val="32"/>
          <w:highlight w:val="none"/>
          <w:lang w:bidi="ar"/>
          <w14:textFill>
            <w14:solidFill>
              <w14:schemeClr w14:val="tx1"/>
            </w14:solidFill>
          </w14:textFill>
        </w:rPr>
        <w:t>鼓励对更新重点片区提供行政事业性收费减免，鼓励电力、通信企业适当减免入网增容等经营性收费。</w:t>
      </w:r>
      <w:r>
        <w:rPr>
          <w:rFonts w:hint="eastAsia" w:ascii="仿宋" w:hAnsi="仿宋" w:cs="仿宋"/>
          <w:b/>
          <w:bCs/>
          <w:color w:val="000000" w:themeColor="text1"/>
          <w:szCs w:val="32"/>
          <w:highlight w:val="none"/>
          <w:lang w:eastAsia="zh-CN" w:bidi="ar"/>
          <w14:textFill>
            <w14:solidFill>
              <w14:schemeClr w14:val="tx1"/>
            </w14:solidFill>
          </w14:textFill>
        </w:rPr>
        <w:t>三</w:t>
      </w:r>
      <w:r>
        <w:rPr>
          <w:rFonts w:hint="eastAsia" w:ascii="仿宋" w:hAnsi="仿宋" w:cs="仿宋"/>
          <w:b/>
          <w:bCs/>
          <w:color w:val="000000" w:themeColor="text1"/>
          <w:szCs w:val="32"/>
          <w:highlight w:val="none"/>
          <w:lang w:bidi="ar"/>
          <w14:textFill>
            <w14:solidFill>
              <w14:schemeClr w14:val="tx1"/>
            </w14:solidFill>
          </w14:textFill>
        </w:rPr>
        <w:t>是</w:t>
      </w:r>
      <w:r>
        <w:rPr>
          <w:rFonts w:ascii="仿宋" w:hAnsi="仿宋" w:cs="仿宋"/>
          <w:color w:val="000000" w:themeColor="text1"/>
          <w:szCs w:val="32"/>
          <w:highlight w:val="none"/>
          <w:lang w:bidi="ar"/>
          <w14:textFill>
            <w14:solidFill>
              <w14:schemeClr w14:val="tx1"/>
            </w14:solidFill>
          </w14:textFill>
        </w:rPr>
        <w:t>支持城市更新实施主体将经营权下的预期收益作质押，依法合规获取信贷支持。鼓励市场主体提前介入城市更新项目的前期策划咨询、融资以及后期运营。</w:t>
      </w:r>
      <w:r>
        <w:rPr>
          <w:rFonts w:hint="eastAsia" w:ascii="仿宋" w:hAnsi="仿宋" w:cs="仿宋"/>
          <w:color w:val="000000" w:themeColor="text1"/>
          <w:szCs w:val="32"/>
          <w:highlight w:val="none"/>
          <w:lang w:bidi="ar"/>
          <w14:textFill>
            <w14:solidFill>
              <w14:schemeClr w14:val="tx1"/>
            </w14:solidFill>
          </w14:textFill>
        </w:rPr>
        <w:t>制定城市更新相关行业奖补政策，提高社会资本参与城市更新建设积极性。</w:t>
      </w:r>
    </w:p>
    <w:p>
      <w:pPr>
        <w:autoSpaceDE w:val="0"/>
        <w:spacing w:line="576" w:lineRule="exact"/>
        <w:ind w:firstLine="642" w:firstLineChars="200"/>
        <w:outlineLvl w:val="1"/>
        <w:rPr>
          <w:rFonts w:ascii="仿宋" w:hAnsi="仿宋" w:cs="仿宋"/>
          <w:b/>
          <w:bCs/>
          <w:color w:val="000000" w:themeColor="text1"/>
          <w:szCs w:val="32"/>
          <w:highlight w:val="none"/>
          <w:lang w:bidi="ar"/>
          <w14:textFill>
            <w14:solidFill>
              <w14:schemeClr w14:val="tx1"/>
            </w14:solidFill>
          </w14:textFill>
        </w:rPr>
      </w:pPr>
      <w:r>
        <w:rPr>
          <w:rFonts w:hint="eastAsia" w:ascii="楷体_GB2312" w:hAnsi="楷体_GB2312" w:eastAsia="楷体_GB2312" w:cs="楷体_GB2312"/>
          <w:b/>
          <w:bCs/>
          <w:color w:val="000000" w:themeColor="text1"/>
          <w:kern w:val="0"/>
          <w:szCs w:val="32"/>
          <w:highlight w:val="none"/>
          <w14:textFill>
            <w14:solidFill>
              <w14:schemeClr w14:val="tx1"/>
            </w14:solidFill>
          </w14:textFill>
        </w:rPr>
        <w:t>（二）存量土地灵活化，用途转换宽松化。</w:t>
      </w:r>
      <w:r>
        <w:rPr>
          <w:rFonts w:hint="eastAsia" w:ascii="仿宋" w:hAnsi="仿宋" w:cs="仿宋"/>
          <w:b/>
          <w:bCs/>
          <w:color w:val="000000" w:themeColor="text1"/>
          <w:szCs w:val="32"/>
          <w:highlight w:val="none"/>
          <w:lang w:bidi="ar"/>
          <w14:textFill>
            <w14:solidFill>
              <w14:schemeClr w14:val="tx1"/>
            </w14:solidFill>
          </w14:textFill>
        </w:rPr>
        <w:t>一是</w:t>
      </w:r>
      <w:r>
        <w:rPr>
          <w:rFonts w:hint="eastAsia" w:ascii="仿宋" w:hAnsi="仿宋" w:cs="仿宋"/>
          <w:color w:val="000000" w:themeColor="text1"/>
          <w:szCs w:val="32"/>
          <w:highlight w:val="none"/>
          <w:lang w:bidi="ar"/>
          <w14:textFill>
            <w14:solidFill>
              <w14:schemeClr w14:val="tx1"/>
            </w14:solidFill>
          </w14:textFill>
        </w:rPr>
        <w:t>支持低效用地通过协议出让、转让、分割审批等方式盘活利用，</w:t>
      </w:r>
      <w:r>
        <w:rPr>
          <w:rFonts w:ascii="仿宋" w:hAnsi="仿宋" w:cs="仿宋"/>
          <w:color w:val="000000" w:themeColor="text1"/>
          <w:szCs w:val="32"/>
          <w:highlight w:val="none"/>
          <w:lang w:bidi="ar"/>
          <w14:textFill>
            <w14:solidFill>
              <w14:schemeClr w14:val="tx1"/>
            </w14:solidFill>
          </w14:textFill>
        </w:rPr>
        <w:t>原土地使用权人可依法采取协议出让、转让、经分割审批后部分转让或出租土地使用权等方式盘活利用。</w:t>
      </w:r>
      <w:r>
        <w:rPr>
          <w:rFonts w:hint="eastAsia" w:ascii="仿宋" w:hAnsi="仿宋" w:cs="仿宋"/>
          <w:color w:val="000000" w:themeColor="text1"/>
          <w:szCs w:val="32"/>
          <w:highlight w:val="none"/>
          <w:lang w:bidi="ar"/>
          <w14:textFill>
            <w14:solidFill>
              <w14:schemeClr w14:val="tx1"/>
            </w14:solidFill>
          </w14:textFill>
        </w:rPr>
        <w:t>允许存量用地用途转换（负面清单除外），并实施五年过渡期政策，过渡期满后可协议完善手续。鼓励将城中村、老旧小区改造腾挪的土地优先用于居家养老、便民服务设施建设。</w:t>
      </w:r>
      <w:r>
        <w:rPr>
          <w:rFonts w:hint="eastAsia" w:ascii="仿宋" w:hAnsi="仿宋" w:cs="仿宋"/>
          <w:b/>
          <w:bCs/>
          <w:color w:val="000000" w:themeColor="text1"/>
          <w:szCs w:val="32"/>
          <w:highlight w:val="none"/>
          <w:lang w:bidi="ar"/>
          <w14:textFill>
            <w14:solidFill>
              <w14:schemeClr w14:val="tx1"/>
            </w14:solidFill>
          </w14:textFill>
        </w:rPr>
        <w:t>二是</w:t>
      </w:r>
      <w:r>
        <w:rPr>
          <w:rFonts w:hint="eastAsia" w:ascii="仿宋" w:hAnsi="仿宋" w:cs="仿宋"/>
          <w:color w:val="000000" w:themeColor="text1"/>
          <w:szCs w:val="32"/>
          <w:highlight w:val="none"/>
          <w:lang w:bidi="ar"/>
          <w14:textFill>
            <w14:solidFill>
              <w14:schemeClr w14:val="tx1"/>
            </w14:solidFill>
          </w14:textFill>
        </w:rPr>
        <w:t>创新低效用地开发模式</w:t>
      </w:r>
      <w:r>
        <w:rPr>
          <w:rFonts w:ascii="仿宋" w:hAnsi="仿宋" w:cs="仿宋"/>
          <w:color w:val="000000" w:themeColor="text1"/>
          <w:szCs w:val="32"/>
          <w:highlight w:val="none"/>
          <w:lang w:bidi="ar"/>
          <w14:textFill>
            <w14:solidFill>
              <w14:schemeClr w14:val="tx1"/>
            </w14:solidFill>
          </w14:textFill>
        </w:rPr>
        <w:t>，鼓励盘活工矿企业腾退地、闲置陡坡地等低效用地，优先用于</w:t>
      </w:r>
      <w:r>
        <w:rPr>
          <w:rFonts w:hint="eastAsia" w:ascii="仿宋" w:hAnsi="仿宋" w:cs="仿宋"/>
          <w:color w:val="000000" w:themeColor="text1"/>
          <w:szCs w:val="32"/>
          <w:highlight w:val="none"/>
          <w:lang w:bidi="ar"/>
          <w14:textFill>
            <w14:solidFill>
              <w14:schemeClr w14:val="tx1"/>
            </w14:solidFill>
          </w14:textFill>
        </w:rPr>
        <w:t>公共</w:t>
      </w:r>
      <w:r>
        <w:rPr>
          <w:rFonts w:ascii="仿宋" w:hAnsi="仿宋" w:cs="仿宋"/>
          <w:color w:val="000000" w:themeColor="text1"/>
          <w:szCs w:val="32"/>
          <w:highlight w:val="none"/>
          <w:lang w:bidi="ar"/>
          <w14:textFill>
            <w14:solidFill>
              <w14:schemeClr w14:val="tx1"/>
            </w14:solidFill>
          </w14:textFill>
        </w:rPr>
        <w:t>服务设施。土地供应实行分类管理</w:t>
      </w:r>
      <w:r>
        <w:rPr>
          <w:rFonts w:hint="eastAsia" w:ascii="仿宋" w:hAnsi="仿宋" w:cs="仿宋"/>
          <w:color w:val="000000" w:themeColor="text1"/>
          <w:szCs w:val="32"/>
          <w:highlight w:val="none"/>
          <w:lang w:bidi="ar"/>
          <w14:textFill>
            <w14:solidFill>
              <w14:schemeClr w14:val="tx1"/>
            </w14:solidFill>
          </w14:textFill>
        </w:rPr>
        <w:t>，</w:t>
      </w:r>
      <w:r>
        <w:rPr>
          <w:rFonts w:ascii="仿宋" w:hAnsi="仿宋" w:cs="仿宋"/>
          <w:color w:val="000000" w:themeColor="text1"/>
          <w:szCs w:val="32"/>
          <w:highlight w:val="none"/>
          <w:lang w:bidi="ar"/>
          <w14:textFill>
            <w14:solidFill>
              <w14:schemeClr w14:val="tx1"/>
            </w14:solidFill>
          </w14:textFill>
        </w:rPr>
        <w:t>工业用地转型发展文创、科创的，5年内可暂不变更用途。</w:t>
      </w:r>
      <w:r>
        <w:rPr>
          <w:rFonts w:hint="eastAsia" w:ascii="仿宋" w:hAnsi="仿宋" w:cs="仿宋"/>
          <w:b/>
          <w:bCs/>
          <w:color w:val="000000" w:themeColor="text1"/>
          <w:szCs w:val="32"/>
          <w:highlight w:val="none"/>
          <w:lang w:bidi="ar"/>
          <w14:textFill>
            <w14:solidFill>
              <w14:schemeClr w14:val="tx1"/>
            </w14:solidFill>
          </w14:textFill>
        </w:rPr>
        <w:t>三是</w:t>
      </w:r>
      <w:r>
        <w:rPr>
          <w:rFonts w:hint="eastAsia" w:ascii="仿宋" w:hAnsi="仿宋" w:cs="仿宋"/>
          <w:color w:val="000000" w:themeColor="text1"/>
          <w:szCs w:val="32"/>
          <w:highlight w:val="none"/>
          <w:lang w:bidi="ar"/>
          <w14:textFill>
            <w14:solidFill>
              <w14:schemeClr w14:val="tx1"/>
            </w14:solidFill>
          </w14:textFill>
        </w:rPr>
        <w:t>支持在城市更新中对土地用途进行混合设置，按照土地用途混合设置正负面清单进行管理。在主导用途用地符合具体地块的上层次规划要求，满足</w:t>
      </w:r>
      <w:r>
        <w:rPr>
          <w:rFonts w:hint="eastAsia" w:ascii="仿宋" w:hAnsi="仿宋" w:cs="仿宋"/>
          <w:color w:val="000000" w:themeColor="text1"/>
          <w:szCs w:val="32"/>
          <w:highlight w:val="none"/>
          <w:lang w:eastAsia="zh-CN" w:bidi="ar"/>
          <w14:textFill>
            <w14:solidFill>
              <w14:schemeClr w14:val="tx1"/>
            </w14:solidFill>
          </w14:textFill>
        </w:rPr>
        <w:t>相关</w:t>
      </w:r>
      <w:r>
        <w:rPr>
          <w:rFonts w:hint="eastAsia" w:ascii="仿宋" w:hAnsi="仿宋" w:cs="仿宋"/>
          <w:color w:val="000000" w:themeColor="text1"/>
          <w:szCs w:val="32"/>
          <w:highlight w:val="none"/>
          <w:lang w:bidi="ar"/>
          <w14:textFill>
            <w14:solidFill>
              <w14:schemeClr w14:val="tx1"/>
            </w14:solidFill>
          </w14:textFill>
        </w:rPr>
        <w:t>规定的前提下，可根据实际需求设置用地混合。对属于《用地混合正负面清单》中鼓励类的混合用途设置的用地，</w:t>
      </w:r>
      <w:r>
        <w:rPr>
          <w:rFonts w:hint="eastAsia" w:ascii="仿宋" w:hAnsi="仿宋" w:cs="仿宋"/>
          <w:color w:val="000000" w:themeColor="text1"/>
          <w:szCs w:val="32"/>
          <w:highlight w:val="none"/>
          <w:lang w:eastAsia="zh-CN" w:bidi="ar"/>
          <w14:textFill>
            <w14:solidFill>
              <w14:schemeClr w14:val="tx1"/>
            </w14:solidFill>
          </w14:textFill>
        </w:rPr>
        <w:t>研究后</w:t>
      </w:r>
      <w:r>
        <w:rPr>
          <w:rFonts w:hint="eastAsia" w:ascii="仿宋" w:hAnsi="仿宋" w:cs="仿宋"/>
          <w:color w:val="000000" w:themeColor="text1"/>
          <w:szCs w:val="32"/>
          <w:highlight w:val="none"/>
          <w:lang w:bidi="ar"/>
          <w14:textFill>
            <w14:solidFill>
              <w14:schemeClr w14:val="tx1"/>
            </w14:solidFill>
          </w14:textFill>
        </w:rPr>
        <w:t>可按照限定的用途和比例，在规划条件中设置混合用途，不再需要修改详细规划。</w:t>
      </w:r>
      <w:r>
        <w:rPr>
          <w:rFonts w:hint="eastAsia" w:ascii="仿宋" w:hAnsi="仿宋" w:cs="仿宋_GB2312"/>
          <w:b/>
          <w:bCs/>
          <w:color w:val="000000" w:themeColor="text1"/>
          <w:szCs w:val="32"/>
          <w:highlight w:val="none"/>
          <w14:textFill>
            <w14:solidFill>
              <w14:schemeClr w14:val="tx1"/>
            </w14:solidFill>
          </w14:textFill>
        </w:rPr>
        <w:t>四是</w:t>
      </w:r>
      <w:r>
        <w:rPr>
          <w:rFonts w:hint="eastAsia" w:ascii="仿宋" w:hAnsi="仿宋" w:cs="仿宋"/>
          <w:color w:val="000000" w:themeColor="text1"/>
          <w:szCs w:val="32"/>
          <w:highlight w:val="none"/>
          <w:lang w:bidi="ar"/>
          <w14:textFill>
            <w14:solidFill>
              <w14:schemeClr w14:val="tx1"/>
            </w14:solidFill>
          </w14:textFill>
        </w:rPr>
        <w:t>鼓励存量建筑转换为市政基础设施、公共服务设施、公共安全设施。支持老旧厂区</w:t>
      </w:r>
      <w:r>
        <w:rPr>
          <w:rFonts w:ascii="仿宋" w:hAnsi="仿宋" w:cs="仿宋"/>
          <w:color w:val="000000" w:themeColor="text1"/>
          <w:szCs w:val="32"/>
          <w:highlight w:val="none"/>
          <w:lang w:bidi="ar"/>
          <w14:textFill>
            <w14:solidFill>
              <w14:schemeClr w14:val="tx1"/>
            </w14:solidFill>
          </w14:textFill>
        </w:rPr>
        <w:t>原有建筑进行</w:t>
      </w:r>
      <w:r>
        <w:rPr>
          <w:rFonts w:hint="eastAsia" w:ascii="仿宋" w:hAnsi="仿宋" w:cs="仿宋"/>
          <w:color w:val="000000" w:themeColor="text1"/>
          <w:szCs w:val="32"/>
          <w:highlight w:val="none"/>
          <w:lang w:bidi="ar"/>
          <w14:textFill>
            <w14:solidFill>
              <w14:schemeClr w14:val="tx1"/>
            </w14:solidFill>
          </w14:textFill>
        </w:rPr>
        <w:t>内部</w:t>
      </w:r>
      <w:r>
        <w:rPr>
          <w:rFonts w:ascii="仿宋" w:hAnsi="仿宋" w:cs="仿宋"/>
          <w:color w:val="000000" w:themeColor="text1"/>
          <w:szCs w:val="32"/>
          <w:highlight w:val="none"/>
          <w:lang w:bidi="ar"/>
          <w14:textFill>
            <w14:solidFill>
              <w14:schemeClr w14:val="tx1"/>
            </w14:solidFill>
          </w14:textFill>
        </w:rPr>
        <w:t>改造以及增加连廊、电梯等配套设施</w:t>
      </w:r>
      <w:r>
        <w:rPr>
          <w:rFonts w:hint="eastAsia" w:ascii="仿宋" w:hAnsi="仿宋" w:cs="仿宋"/>
          <w:color w:val="000000" w:themeColor="text1"/>
          <w:szCs w:val="32"/>
          <w:highlight w:val="none"/>
          <w:lang w:bidi="ar"/>
          <w14:textFill>
            <w14:solidFill>
              <w14:schemeClr w14:val="tx1"/>
            </w14:solidFill>
          </w14:textFill>
        </w:rPr>
        <w:t>，纳入装饰装修许可范围。支持在</w:t>
      </w:r>
      <w:r>
        <w:rPr>
          <w:rFonts w:ascii="仿宋" w:hAnsi="仿宋" w:cs="仿宋"/>
          <w:color w:val="000000" w:themeColor="text1"/>
          <w:szCs w:val="32"/>
          <w:highlight w:val="none"/>
          <w:lang w:bidi="ar"/>
          <w14:textFill>
            <w14:solidFill>
              <w14:schemeClr w14:val="tx1"/>
            </w14:solidFill>
          </w14:textFill>
        </w:rPr>
        <w:t>商业、商务办公建筑内新增服务配套功能。</w:t>
      </w:r>
      <w:r>
        <w:rPr>
          <w:rFonts w:hint="eastAsia" w:ascii="仿宋" w:hAnsi="仿宋" w:cs="仿宋"/>
          <w:color w:val="000000" w:themeColor="text1"/>
          <w:szCs w:val="32"/>
          <w:highlight w:val="none"/>
          <w:lang w:bidi="ar"/>
          <w14:textFill>
            <w14:solidFill>
              <w14:schemeClr w14:val="tx1"/>
            </w14:solidFill>
          </w14:textFill>
        </w:rPr>
        <w:t>支持收购存量商品房用作保障性住房。</w:t>
      </w:r>
    </w:p>
    <w:p>
      <w:pPr>
        <w:autoSpaceDE w:val="0"/>
        <w:spacing w:line="576" w:lineRule="exact"/>
        <w:ind w:firstLine="642" w:firstLineChars="200"/>
        <w:outlineLvl w:val="1"/>
        <w:rPr>
          <w:rFonts w:ascii="仿宋" w:hAnsi="仿宋" w:cs="仿宋_GB2312"/>
          <w:b/>
          <w:bCs/>
          <w:color w:val="000000" w:themeColor="text1"/>
          <w:szCs w:val="32"/>
          <w:highlight w:val="none"/>
          <w14:textFill>
            <w14:solidFill>
              <w14:schemeClr w14:val="tx1"/>
            </w14:solidFill>
          </w14:textFill>
        </w:rPr>
      </w:pPr>
      <w:r>
        <w:rPr>
          <w:rFonts w:hint="eastAsia" w:ascii="楷体_GB2312" w:hAnsi="楷体_GB2312" w:eastAsia="楷体_GB2312" w:cs="楷体_GB2312"/>
          <w:b/>
          <w:bCs/>
          <w:color w:val="000000" w:themeColor="text1"/>
          <w:kern w:val="0"/>
          <w:szCs w:val="32"/>
          <w:highlight w:val="none"/>
          <w14:textFill>
            <w14:solidFill>
              <w14:schemeClr w14:val="tx1"/>
            </w14:solidFill>
          </w14:textFill>
        </w:rPr>
        <w:t>（三）规划指标科学化，空间管控弹性化。</w:t>
      </w:r>
      <w:r>
        <w:rPr>
          <w:rFonts w:hint="eastAsia" w:ascii="仿宋" w:hAnsi="仿宋" w:cs="仿宋"/>
          <w:b/>
          <w:bCs/>
          <w:color w:val="000000" w:themeColor="text1"/>
          <w:szCs w:val="32"/>
          <w:highlight w:val="none"/>
          <w:lang w:bidi="ar"/>
          <w14:textFill>
            <w14:solidFill>
              <w14:schemeClr w14:val="tx1"/>
            </w14:solidFill>
          </w14:textFill>
        </w:rPr>
        <w:t>一是</w:t>
      </w:r>
      <w:r>
        <w:rPr>
          <w:rFonts w:hint="eastAsia" w:ascii="仿宋" w:hAnsi="仿宋" w:cs="仿宋"/>
          <w:color w:val="000000" w:themeColor="text1"/>
          <w:szCs w:val="32"/>
          <w:highlight w:val="none"/>
          <w:lang w:bidi="ar"/>
          <w14:textFill>
            <w14:solidFill>
              <w14:schemeClr w14:val="tx1"/>
            </w14:solidFill>
          </w14:textFill>
        </w:rPr>
        <w:t>为保障居民基本生活需求、补齐城市短板而实施的市政基础设施、公共服务设施、公共安全设施项目，以及老旧住宅成套化改造等项目，在对周边不产生负面影响的前提下，其新增建筑规模可不受规划容积率指标的制约；为满足安全、环保、无障碍标准等要求，对于增设必要的楼梯、电梯、公共走廊、无障碍</w:t>
      </w:r>
      <w:bookmarkStart w:id="15" w:name="_GoBack"/>
      <w:bookmarkEnd w:id="15"/>
      <w:r>
        <w:rPr>
          <w:rFonts w:hint="eastAsia" w:ascii="仿宋" w:hAnsi="仿宋" w:cs="仿宋"/>
          <w:color w:val="000000" w:themeColor="text1"/>
          <w:szCs w:val="32"/>
          <w:highlight w:val="none"/>
          <w:lang w:bidi="ar"/>
          <w14:textFill>
            <w14:solidFill>
              <w14:schemeClr w14:val="tx1"/>
            </w14:solidFill>
          </w14:textFill>
        </w:rPr>
        <w:t>设施、风道、外墙保温等附属设施以及景观休息设施等情形，其新增建筑规模可不计入规划容积率。</w:t>
      </w:r>
      <w:r>
        <w:rPr>
          <w:rFonts w:hint="eastAsia" w:ascii="仿宋" w:hAnsi="仿宋" w:cs="仿宋_GB2312"/>
          <w:b/>
          <w:bCs/>
          <w:color w:val="000000" w:themeColor="text1"/>
          <w:szCs w:val="32"/>
          <w:highlight w:val="none"/>
          <w:lang w:eastAsia="zh-CN"/>
          <w14:textFill>
            <w14:solidFill>
              <w14:schemeClr w14:val="tx1"/>
            </w14:solidFill>
          </w14:textFill>
        </w:rPr>
        <w:t>二</w:t>
      </w:r>
      <w:r>
        <w:rPr>
          <w:rFonts w:hint="eastAsia" w:ascii="仿宋" w:hAnsi="仿宋" w:cs="仿宋_GB2312"/>
          <w:b/>
          <w:bCs/>
          <w:color w:val="000000" w:themeColor="text1"/>
          <w:szCs w:val="32"/>
          <w:highlight w:val="none"/>
          <w14:textFill>
            <w14:solidFill>
              <w14:schemeClr w14:val="tx1"/>
            </w14:solidFill>
          </w14:textFill>
        </w:rPr>
        <w:t>是</w:t>
      </w:r>
      <w:r>
        <w:rPr>
          <w:rFonts w:hint="eastAsia" w:ascii="仿宋" w:hAnsi="仿宋" w:cs="仿宋_GB2312"/>
          <w:color w:val="000000" w:themeColor="text1"/>
          <w:szCs w:val="32"/>
          <w:highlight w:val="none"/>
          <w14:textFill>
            <w14:solidFill>
              <w14:schemeClr w14:val="tx1"/>
            </w14:solidFill>
          </w14:textFill>
        </w:rPr>
        <w:t>鼓励增加公共配套设施，在城市更新重点片区范围内新增地上停车楼时，停车楼不计入容积率和建筑密度。</w:t>
      </w:r>
      <w:r>
        <w:rPr>
          <w:rFonts w:hint="eastAsia" w:ascii="仿宋" w:hAnsi="仿宋" w:cs="仿宋_GB2312"/>
          <w:color w:val="000000" w:themeColor="text1"/>
          <w:szCs w:val="32"/>
          <w:highlight w:val="none"/>
          <w14:textFill>
            <w14:solidFill>
              <w14:schemeClr w14:val="tx1"/>
            </w14:solidFill>
          </w14:textFill>
        </w:rPr>
        <w:t>城市更新项目中保留的不可移动文物、历史建筑不计入规划容积率和建筑密度。</w:t>
      </w:r>
    </w:p>
    <w:p>
      <w:pPr>
        <w:autoSpaceDE w:val="0"/>
        <w:spacing w:line="576" w:lineRule="exact"/>
        <w:ind w:firstLine="642" w:firstLineChars="200"/>
        <w:outlineLvl w:val="1"/>
        <w:rPr>
          <w:rFonts w:ascii="仿宋" w:hAnsi="仿宋" w:cs="仿宋"/>
          <w:color w:val="000000" w:themeColor="text1"/>
          <w:szCs w:val="32"/>
          <w:highlight w:val="none"/>
          <w:lang w:bidi="ar"/>
          <w14:textFill>
            <w14:solidFill>
              <w14:schemeClr w14:val="tx1"/>
            </w14:solidFill>
          </w14:textFill>
        </w:rPr>
      </w:pPr>
      <w:r>
        <w:rPr>
          <w:rFonts w:hint="eastAsia" w:ascii="楷体_GB2312" w:hAnsi="楷体_GB2312" w:eastAsia="楷体_GB2312" w:cs="楷体_GB2312"/>
          <w:b/>
          <w:bCs/>
          <w:color w:val="000000" w:themeColor="text1"/>
          <w:kern w:val="0"/>
          <w:szCs w:val="32"/>
          <w:highlight w:val="none"/>
          <w14:textFill>
            <w14:solidFill>
              <w14:schemeClr w14:val="tx1"/>
            </w14:solidFill>
          </w14:textFill>
        </w:rPr>
        <w:t>（四）审批流程高效化，产权保障多样化。</w:t>
      </w:r>
      <w:r>
        <w:rPr>
          <w:rFonts w:hint="eastAsia" w:ascii="仿宋" w:hAnsi="仿宋" w:cs="仿宋"/>
          <w:b/>
          <w:bCs/>
          <w:color w:val="000000" w:themeColor="text1"/>
          <w:szCs w:val="32"/>
          <w:highlight w:val="none"/>
          <w:lang w:bidi="ar"/>
          <w14:textFill>
            <w14:solidFill>
              <w14:schemeClr w14:val="tx1"/>
            </w14:solidFill>
          </w14:textFill>
        </w:rPr>
        <w:t>一是</w:t>
      </w:r>
      <w:r>
        <w:rPr>
          <w:rFonts w:hint="eastAsia" w:ascii="仿宋" w:hAnsi="仿宋" w:cs="仿宋"/>
          <w:color w:val="000000" w:themeColor="text1"/>
          <w:szCs w:val="32"/>
          <w:highlight w:val="none"/>
          <w:lang w:bidi="ar"/>
          <w14:textFill>
            <w14:solidFill>
              <w14:schemeClr w14:val="tx1"/>
            </w14:solidFill>
          </w14:textFill>
        </w:rPr>
        <w:t>对既有建筑增加电梯、老旧小区提升改造（不涉及新增建、构筑物）、增设充电桩、光伏系统，道路工程完善配套设施，健身步道（栈道）、外立面改造等，纳入工程规划许可豁免清单，不再单独办理“一书两证”及出具规划意见。</w:t>
      </w:r>
      <w:r>
        <w:rPr>
          <w:rFonts w:hint="eastAsia" w:ascii="仿宋" w:hAnsi="仿宋" w:cs="仿宋"/>
          <w:b/>
          <w:bCs/>
          <w:color w:val="000000" w:themeColor="text1"/>
          <w:szCs w:val="32"/>
          <w:highlight w:val="none"/>
          <w:lang w:bidi="ar"/>
          <w14:textFill>
            <w14:solidFill>
              <w14:schemeClr w14:val="tx1"/>
            </w14:solidFill>
          </w14:textFill>
        </w:rPr>
        <w:t>二是</w:t>
      </w:r>
      <w:r>
        <w:rPr>
          <w:rFonts w:hint="eastAsia" w:ascii="仿宋" w:hAnsi="仿宋" w:cs="仿宋"/>
          <w:color w:val="000000" w:themeColor="text1"/>
          <w:szCs w:val="32"/>
          <w:highlight w:val="none"/>
          <w:lang w:bidi="ar"/>
          <w14:textFill>
            <w14:solidFill>
              <w14:schemeClr w14:val="tx1"/>
            </w14:solidFill>
          </w14:textFill>
        </w:rPr>
        <w:t>对于简易低风险城市更新项目探索施工图审查自审承诺制管理模式，</w:t>
      </w:r>
      <w:r>
        <w:rPr>
          <w:rFonts w:ascii="仿宋" w:hAnsi="仿宋" w:cs="仿宋"/>
          <w:color w:val="000000" w:themeColor="text1"/>
          <w:szCs w:val="32"/>
          <w:highlight w:val="none"/>
          <w:lang w:bidi="ar"/>
          <w14:textFill>
            <w14:solidFill>
              <w14:schemeClr w14:val="tx1"/>
            </w14:solidFill>
          </w14:textFill>
        </w:rPr>
        <w:t>免于施工图审查</w:t>
      </w:r>
      <w:r>
        <w:rPr>
          <w:rFonts w:hint="eastAsia" w:ascii="仿宋" w:hAnsi="仿宋" w:cs="仿宋"/>
          <w:color w:val="000000" w:themeColor="text1"/>
          <w:szCs w:val="32"/>
          <w:highlight w:val="none"/>
          <w:lang w:bidi="ar"/>
          <w14:textFill>
            <w14:solidFill>
              <w14:schemeClr w14:val="tx1"/>
            </w14:solidFill>
          </w14:textFill>
        </w:rPr>
        <w:t>。对于由同一主体实施的城市更新单元或单元内多个项目，支持采用整体打包的方式进行统一立项、招标。</w:t>
      </w:r>
      <w:r>
        <w:rPr>
          <w:rFonts w:hint="eastAsia" w:ascii="仿宋" w:hAnsi="仿宋" w:cs="仿宋"/>
          <w:b/>
          <w:bCs/>
          <w:color w:val="000000" w:themeColor="text1"/>
          <w:szCs w:val="32"/>
          <w:highlight w:val="none"/>
          <w:lang w:bidi="ar"/>
          <w14:textFill>
            <w14:solidFill>
              <w14:schemeClr w14:val="tx1"/>
            </w14:solidFill>
          </w14:textFill>
        </w:rPr>
        <w:t>三是</w:t>
      </w:r>
      <w:r>
        <w:rPr>
          <w:rFonts w:ascii="仿宋" w:hAnsi="仿宋" w:cs="仿宋"/>
          <w:color w:val="000000" w:themeColor="text1"/>
          <w:szCs w:val="32"/>
          <w:highlight w:val="none"/>
          <w:lang w:bidi="ar"/>
          <w14:textFill>
            <w14:solidFill>
              <w14:schemeClr w14:val="tx1"/>
            </w14:solidFill>
          </w14:textFill>
        </w:rPr>
        <w:t>在保障公共安全的前提下，尊重历史、因地制宜，在城市更新中对建筑间距、建筑退距、建筑面宽、建筑密度、日照标准、绿地率、机动车停车位等无法达到现行标准和规范要求的情形，可按照“优化不恶化”</w:t>
      </w:r>
      <w:r>
        <w:rPr>
          <w:rFonts w:hint="eastAsia" w:ascii="仿宋" w:hAnsi="仿宋" w:cs="仿宋"/>
          <w:color w:val="000000" w:themeColor="text1"/>
          <w:szCs w:val="32"/>
          <w:highlight w:val="none"/>
          <w:lang w:bidi="ar"/>
          <w14:textFill>
            <w14:solidFill>
              <w14:schemeClr w14:val="tx1"/>
            </w14:solidFill>
          </w14:textFill>
        </w:rPr>
        <w:t>的</w:t>
      </w:r>
      <w:r>
        <w:rPr>
          <w:rFonts w:ascii="仿宋" w:hAnsi="仿宋" w:cs="仿宋"/>
          <w:color w:val="000000" w:themeColor="text1"/>
          <w:szCs w:val="32"/>
          <w:highlight w:val="none"/>
          <w:lang w:bidi="ar"/>
          <w14:textFill>
            <w14:solidFill>
              <w14:schemeClr w14:val="tx1"/>
            </w14:solidFill>
          </w14:textFill>
        </w:rPr>
        <w:t>原则，允许不低于现状条件为底线进行更新。</w:t>
      </w:r>
      <w:r>
        <w:rPr>
          <w:rFonts w:hint="eastAsia" w:ascii="仿宋" w:hAnsi="仿宋" w:cs="仿宋"/>
          <w:b/>
          <w:bCs/>
          <w:color w:val="000000" w:themeColor="text1"/>
          <w:szCs w:val="32"/>
          <w:highlight w:val="none"/>
          <w:lang w:bidi="ar"/>
          <w14:textFill>
            <w14:solidFill>
              <w14:schemeClr w14:val="tx1"/>
            </w14:solidFill>
          </w14:textFill>
        </w:rPr>
        <w:t>四是</w:t>
      </w:r>
      <w:r>
        <w:rPr>
          <w:rFonts w:hint="eastAsia" w:ascii="仿宋" w:hAnsi="仿宋" w:cs="仿宋"/>
          <w:color w:val="000000" w:themeColor="text1"/>
          <w:szCs w:val="32"/>
          <w:highlight w:val="none"/>
          <w:lang w:bidi="ar"/>
          <w14:textFill>
            <w14:solidFill>
              <w14:schemeClr w14:val="tx1"/>
            </w14:solidFill>
          </w14:textFill>
        </w:rPr>
        <w:t>对城市更新形成的不动产，兼容多种功能的土地和建筑物的，可分割的可按不同宗地范围、不同建筑区域或楼层办理分割审批手续、分区分层设权后，办理不动产登记。</w:t>
      </w:r>
      <w:r>
        <w:rPr>
          <w:rFonts w:hint="eastAsia" w:ascii="仿宋" w:hAnsi="仿宋" w:cs="仿宋"/>
          <w:b/>
          <w:bCs/>
          <w:color w:val="000000" w:themeColor="text1"/>
          <w:szCs w:val="32"/>
          <w:highlight w:val="none"/>
          <w:lang w:bidi="ar"/>
          <w14:textFill>
            <w14:solidFill>
              <w14:schemeClr w14:val="tx1"/>
            </w14:solidFill>
          </w14:textFill>
        </w:rPr>
        <w:t>五是</w:t>
      </w:r>
      <w:r>
        <w:rPr>
          <w:rFonts w:ascii="仿宋" w:hAnsi="仿宋" w:cs="仿宋"/>
          <w:color w:val="000000" w:themeColor="text1"/>
          <w:szCs w:val="32"/>
          <w:highlight w:val="none"/>
          <w:lang w:bidi="ar"/>
          <w14:textFill>
            <w14:solidFill>
              <w14:schemeClr w14:val="tx1"/>
            </w14:solidFill>
          </w14:textFill>
        </w:rPr>
        <w:t>涉及棚改产权未注销房屋，满足消防、质量安全要求，</w:t>
      </w:r>
      <w:r>
        <w:rPr>
          <w:rFonts w:ascii="仿宋" w:hAnsi="仿宋" w:cs="仿宋"/>
          <w:color w:val="000000" w:themeColor="text1"/>
          <w:szCs w:val="32"/>
          <w:highlight w:val="none"/>
          <w:lang w:bidi="ar"/>
          <w14:textFill>
            <w14:solidFill>
              <w14:schemeClr w14:val="tx1"/>
            </w14:solidFill>
          </w14:textFill>
        </w:rPr>
        <w:t>由</w:t>
      </w:r>
      <w:r>
        <w:rPr>
          <w:rFonts w:hint="eastAsia" w:ascii="仿宋" w:hAnsi="仿宋" w:cs="仿宋"/>
          <w:color w:val="000000" w:themeColor="text1"/>
          <w:szCs w:val="32"/>
          <w:highlight w:val="none"/>
          <w:lang w:bidi="ar"/>
          <w14:textFill>
            <w14:solidFill>
              <w14:schemeClr w14:val="tx1"/>
            </w14:solidFill>
          </w14:textFill>
        </w:rPr>
        <w:t>市级相关主管部门明确棚改产权及相应处置方式后</w:t>
      </w:r>
      <w:r>
        <w:rPr>
          <w:rFonts w:ascii="仿宋" w:hAnsi="仿宋" w:cs="仿宋"/>
          <w:color w:val="000000" w:themeColor="text1"/>
          <w:szCs w:val="32"/>
          <w:highlight w:val="none"/>
          <w:lang w:bidi="ar"/>
          <w14:textFill>
            <w14:solidFill>
              <w14:schemeClr w14:val="tx1"/>
            </w14:solidFill>
          </w14:textFill>
        </w:rPr>
        <w:t>，</w:t>
      </w:r>
      <w:r>
        <w:rPr>
          <w:rFonts w:ascii="仿宋" w:hAnsi="仿宋" w:cs="仿宋"/>
          <w:color w:val="000000" w:themeColor="text1"/>
          <w:szCs w:val="32"/>
          <w:highlight w:val="none"/>
          <w:lang w:bidi="ar"/>
          <w14:textFill>
            <w14:solidFill>
              <w14:schemeClr w14:val="tx1"/>
            </w14:solidFill>
          </w14:textFill>
        </w:rPr>
        <w:t>办理转移登记；产权已注销房屋，区政府确定为保留建筑，</w:t>
      </w:r>
      <w:r>
        <w:rPr>
          <w:rFonts w:hint="eastAsia" w:ascii="仿宋" w:hAnsi="仿宋" w:cs="仿宋"/>
          <w:color w:val="000000" w:themeColor="text1"/>
          <w:szCs w:val="32"/>
          <w:highlight w:val="none"/>
          <w:lang w:bidi="ar"/>
          <w14:textFill>
            <w14:solidFill>
              <w14:schemeClr w14:val="tx1"/>
            </w14:solidFill>
          </w14:textFill>
        </w:rPr>
        <w:t>在</w:t>
      </w:r>
      <w:r>
        <w:rPr>
          <w:rFonts w:ascii="仿宋" w:hAnsi="仿宋" w:cs="仿宋"/>
          <w:color w:val="000000" w:themeColor="text1"/>
          <w:szCs w:val="32"/>
          <w:highlight w:val="none"/>
          <w:lang w:bidi="ar"/>
          <w14:textFill>
            <w14:solidFill>
              <w14:schemeClr w14:val="tx1"/>
            </w14:solidFill>
          </w14:textFill>
        </w:rPr>
        <w:t>满足消防、结构安全前提下，</w:t>
      </w:r>
      <w:r>
        <w:rPr>
          <w:rFonts w:hint="eastAsia" w:ascii="仿宋" w:hAnsi="仿宋" w:cs="仿宋"/>
          <w:color w:val="000000" w:themeColor="text1"/>
          <w:szCs w:val="32"/>
          <w:highlight w:val="none"/>
          <w:lang w:bidi="ar"/>
          <w14:textFill>
            <w14:solidFill>
              <w14:schemeClr w14:val="tx1"/>
            </w14:solidFill>
          </w14:textFill>
        </w:rPr>
        <w:t>报请</w:t>
      </w:r>
      <w:r>
        <w:rPr>
          <w:rFonts w:ascii="仿宋" w:hAnsi="仿宋" w:cs="仿宋"/>
          <w:color w:val="000000" w:themeColor="text1"/>
          <w:szCs w:val="32"/>
          <w:highlight w:val="none"/>
          <w:lang w:bidi="ar"/>
          <w14:textFill>
            <w14:solidFill>
              <w14:schemeClr w14:val="tx1"/>
            </w14:solidFill>
          </w14:textFill>
        </w:rPr>
        <w:t>市自然资源和规划局根据片区控规核定规划条件</w:t>
      </w:r>
      <w:r>
        <w:rPr>
          <w:rFonts w:hint="eastAsia" w:ascii="仿宋" w:hAnsi="仿宋" w:cs="仿宋"/>
          <w:color w:val="000000" w:themeColor="text1"/>
          <w:szCs w:val="32"/>
          <w:highlight w:val="none"/>
          <w:lang w:bidi="ar"/>
          <w14:textFill>
            <w14:solidFill>
              <w14:schemeClr w14:val="tx1"/>
            </w14:solidFill>
          </w14:textFill>
        </w:rPr>
        <w:t>，区政府将带保留建筑的土地出让方案报市政府批准后进行出让，依申请办理土地和房屋首次登记。</w:t>
      </w:r>
    </w:p>
    <w:p>
      <w:pPr>
        <w:spacing w:line="576" w:lineRule="exact"/>
        <w:ind w:firstLine="640" w:firstLineChars="200"/>
        <w:outlineLvl w:val="0"/>
        <w:rPr>
          <w:rFonts w:eastAsia="黑体"/>
          <w:color w:val="000000" w:themeColor="text1"/>
          <w:szCs w:val="32"/>
          <w:highlight w:val="none"/>
          <w14:textFill>
            <w14:solidFill>
              <w14:schemeClr w14:val="tx1"/>
            </w14:solidFill>
          </w14:textFill>
        </w:rPr>
      </w:pPr>
      <w:r>
        <w:rPr>
          <w:rFonts w:hint="eastAsia" w:eastAsia="黑体"/>
          <w:color w:val="000000" w:themeColor="text1"/>
          <w:szCs w:val="32"/>
          <w:highlight w:val="none"/>
          <w14:textFill>
            <w14:solidFill>
              <w14:schemeClr w14:val="tx1"/>
            </w14:solidFill>
          </w14:textFill>
        </w:rPr>
        <w:t>五、工作要求</w:t>
      </w:r>
    </w:p>
    <w:p>
      <w:pPr>
        <w:spacing w:line="576" w:lineRule="exact"/>
        <w:ind w:firstLine="642" w:firstLineChars="200"/>
        <w:outlineLvl w:val="1"/>
        <w:rPr>
          <w:rFonts w:ascii="仿宋" w:hAnsi="仿宋"/>
          <w:color w:val="000000" w:themeColor="text1"/>
          <w:szCs w:val="32"/>
          <w:highlight w:val="none"/>
          <w14:textFill>
            <w14:solidFill>
              <w14:schemeClr w14:val="tx1"/>
            </w14:solidFill>
          </w14:textFill>
        </w:rPr>
      </w:pPr>
      <w:r>
        <w:rPr>
          <w:rFonts w:hint="eastAsia" w:ascii="楷体_GB2312" w:hAnsi="楷体_GB2312" w:eastAsia="楷体_GB2312" w:cs="楷体_GB2312"/>
          <w:b/>
          <w:bCs/>
          <w:color w:val="000000" w:themeColor="text1"/>
          <w:kern w:val="0"/>
          <w:szCs w:val="32"/>
          <w:highlight w:val="none"/>
          <w14:textFill>
            <w14:solidFill>
              <w14:schemeClr w14:val="tx1"/>
            </w14:solidFill>
          </w14:textFill>
        </w:rPr>
        <w:t>（一）健全组织协调机制。</w:t>
      </w:r>
      <w:r>
        <w:rPr>
          <w:rFonts w:ascii="仿宋" w:hAnsi="仿宋"/>
          <w:color w:val="000000" w:themeColor="text1"/>
          <w:szCs w:val="32"/>
          <w:highlight w:val="none"/>
          <w14:textFill>
            <w14:solidFill>
              <w14:schemeClr w14:val="tx1"/>
            </w14:solidFill>
          </w14:textFill>
        </w:rPr>
        <w:t>成立由区委书记</w:t>
      </w:r>
      <w:r>
        <w:rPr>
          <w:rFonts w:hint="eastAsia" w:ascii="仿宋" w:hAnsi="仿宋"/>
          <w:color w:val="000000" w:themeColor="text1"/>
          <w:szCs w:val="32"/>
          <w:highlight w:val="none"/>
          <w14:textFill>
            <w14:solidFill>
              <w14:schemeClr w14:val="tx1"/>
            </w14:solidFill>
          </w14:textFill>
        </w:rPr>
        <w:t>、区长</w:t>
      </w:r>
      <w:r>
        <w:rPr>
          <w:rFonts w:ascii="仿宋" w:hAnsi="仿宋"/>
          <w:color w:val="000000" w:themeColor="text1"/>
          <w:szCs w:val="32"/>
          <w:highlight w:val="none"/>
          <w14:textFill>
            <w14:solidFill>
              <w14:schemeClr w14:val="tx1"/>
            </w14:solidFill>
          </w14:textFill>
        </w:rPr>
        <w:t>任</w:t>
      </w:r>
      <w:r>
        <w:rPr>
          <w:rFonts w:hint="eastAsia" w:ascii="仿宋" w:hAnsi="仿宋"/>
          <w:color w:val="000000" w:themeColor="text1"/>
          <w:szCs w:val="32"/>
          <w:highlight w:val="none"/>
          <w14:textFill>
            <w14:solidFill>
              <w14:schemeClr w14:val="tx1"/>
            </w14:solidFill>
          </w14:textFill>
        </w:rPr>
        <w:t>指挥长</w:t>
      </w:r>
      <w:r>
        <w:rPr>
          <w:rFonts w:ascii="仿宋" w:hAnsi="仿宋"/>
          <w:color w:val="000000" w:themeColor="text1"/>
          <w:szCs w:val="32"/>
          <w:highlight w:val="none"/>
          <w14:textFill>
            <w14:solidFill>
              <w14:schemeClr w14:val="tx1"/>
            </w14:solidFill>
          </w14:textFill>
        </w:rPr>
        <w:t>的城市有机更新攻坚行动指挥部</w:t>
      </w:r>
      <w:r>
        <w:rPr>
          <w:rFonts w:hint="eastAsia" w:ascii="仿宋" w:hAnsi="仿宋"/>
          <w:color w:val="000000" w:themeColor="text1"/>
          <w:szCs w:val="32"/>
          <w:highlight w:val="none"/>
          <w14:textFill>
            <w14:solidFill>
              <w14:schemeClr w14:val="tx1"/>
            </w14:solidFill>
          </w14:textFill>
        </w:rPr>
        <w:t>，</w:t>
      </w:r>
      <w:r>
        <w:rPr>
          <w:rFonts w:ascii="仿宋" w:hAnsi="仿宋"/>
          <w:color w:val="000000" w:themeColor="text1"/>
          <w:szCs w:val="32"/>
          <w:highlight w:val="none"/>
          <w14:textFill>
            <w14:solidFill>
              <w14:schemeClr w14:val="tx1"/>
            </w14:solidFill>
          </w14:textFill>
        </w:rPr>
        <w:t>建立</w:t>
      </w:r>
      <w:r>
        <w:rPr>
          <w:rFonts w:hint="eastAsia" w:ascii="仿宋" w:hAnsi="仿宋"/>
          <w:color w:val="000000" w:themeColor="text1"/>
          <w:szCs w:val="32"/>
          <w:highlight w:val="none"/>
          <w14:textFill>
            <w14:solidFill>
              <w14:schemeClr w14:val="tx1"/>
            </w14:solidFill>
          </w14:textFill>
        </w:rPr>
        <w:t>部门联动、快速高效的协调推进机制</w:t>
      </w:r>
      <w:r>
        <w:rPr>
          <w:rFonts w:ascii="仿宋" w:hAnsi="仿宋"/>
          <w:color w:val="000000" w:themeColor="text1"/>
          <w:szCs w:val="32"/>
          <w:highlight w:val="none"/>
          <w14:textFill>
            <w14:solidFill>
              <w14:schemeClr w14:val="tx1"/>
            </w14:solidFill>
          </w14:textFill>
        </w:rPr>
        <w:t>，系统推进城市有机更新攻坚行动。组建</w:t>
      </w:r>
      <w:r>
        <w:rPr>
          <w:rFonts w:hint="eastAsia" w:ascii="仿宋" w:hAnsi="仿宋"/>
          <w:color w:val="000000" w:themeColor="text1"/>
          <w:szCs w:val="32"/>
          <w:highlight w:val="none"/>
          <w14:textFill>
            <w14:solidFill>
              <w14:schemeClr w14:val="tx1"/>
            </w14:solidFill>
          </w14:textFill>
        </w:rPr>
        <w:t>重点</w:t>
      </w:r>
      <w:r>
        <w:rPr>
          <w:rFonts w:ascii="仿宋" w:hAnsi="仿宋"/>
          <w:color w:val="000000" w:themeColor="text1"/>
          <w:szCs w:val="32"/>
          <w:highlight w:val="none"/>
          <w14:textFill>
            <w14:solidFill>
              <w14:schemeClr w14:val="tx1"/>
            </w14:solidFill>
          </w14:textFill>
        </w:rPr>
        <w:t>片区更新工作</w:t>
      </w:r>
      <w:r>
        <w:rPr>
          <w:rFonts w:hint="eastAsia" w:ascii="仿宋" w:hAnsi="仿宋"/>
          <w:color w:val="000000" w:themeColor="text1"/>
          <w:szCs w:val="32"/>
          <w:highlight w:val="none"/>
          <w14:textFill>
            <w14:solidFill>
              <w14:schemeClr w14:val="tx1"/>
            </w14:solidFill>
          </w14:textFill>
        </w:rPr>
        <w:t>领导小组</w:t>
      </w:r>
      <w:r>
        <w:rPr>
          <w:rFonts w:ascii="仿宋" w:hAnsi="仿宋"/>
          <w:color w:val="000000" w:themeColor="text1"/>
          <w:szCs w:val="32"/>
          <w:highlight w:val="none"/>
          <w14:textFill>
            <w14:solidFill>
              <w14:schemeClr w14:val="tx1"/>
            </w14:solidFill>
          </w14:textFill>
        </w:rPr>
        <w:t>，</w:t>
      </w:r>
      <w:r>
        <w:rPr>
          <w:rFonts w:hint="eastAsia" w:ascii="仿宋" w:hAnsi="仿宋"/>
          <w:color w:val="000000" w:themeColor="text1"/>
          <w:szCs w:val="32"/>
          <w:highlight w:val="none"/>
          <w14:textFill>
            <w14:solidFill>
              <w14:schemeClr w14:val="tx1"/>
            </w14:solidFill>
          </w14:textFill>
        </w:rPr>
        <w:t>由区领导牵头，按照“有设计方案、有任务清单、有实施项目”的要求，</w:t>
      </w:r>
      <w:r>
        <w:rPr>
          <w:rFonts w:ascii="仿宋" w:hAnsi="仿宋"/>
          <w:color w:val="000000" w:themeColor="text1"/>
          <w:szCs w:val="32"/>
          <w:highlight w:val="none"/>
          <w14:textFill>
            <w14:solidFill>
              <w14:schemeClr w14:val="tx1"/>
            </w14:solidFill>
          </w14:textFill>
        </w:rPr>
        <w:t>从政策制定、资金筹措、项目实施等方面加强全链条管理。</w:t>
      </w:r>
    </w:p>
    <w:p>
      <w:pPr>
        <w:spacing w:line="576" w:lineRule="exact"/>
        <w:ind w:firstLine="642" w:firstLineChars="200"/>
        <w:outlineLvl w:val="1"/>
        <w:rPr>
          <w:rFonts w:ascii="仿宋" w:hAnsi="仿宋" w:cs="仿宋"/>
          <w:color w:val="000000" w:themeColor="text1"/>
          <w:szCs w:val="32"/>
          <w:highlight w:val="none"/>
          <w:lang w:bidi="ar"/>
          <w14:textFill>
            <w14:solidFill>
              <w14:schemeClr w14:val="tx1"/>
            </w14:solidFill>
          </w14:textFill>
        </w:rPr>
      </w:pPr>
      <w:r>
        <w:rPr>
          <w:rFonts w:hint="eastAsia" w:ascii="楷体_GB2312" w:hAnsi="楷体_GB2312" w:eastAsia="楷体_GB2312" w:cs="楷体_GB2312"/>
          <w:b/>
          <w:bCs/>
          <w:color w:val="000000" w:themeColor="text1"/>
          <w:kern w:val="0"/>
          <w:szCs w:val="32"/>
          <w:highlight w:val="none"/>
          <w14:textFill>
            <w14:solidFill>
              <w14:schemeClr w14:val="tx1"/>
            </w14:solidFill>
          </w14:textFill>
        </w:rPr>
        <w:t>（二）科学编制设计方案。</w:t>
      </w:r>
      <w:r>
        <w:rPr>
          <w:rFonts w:hint="eastAsia" w:ascii="仿宋" w:hAnsi="仿宋" w:cs="仿宋"/>
          <w:color w:val="000000" w:themeColor="text1"/>
          <w:szCs w:val="32"/>
          <w:highlight w:val="none"/>
          <w:lang w:bidi="ar"/>
          <w14:textFill>
            <w14:solidFill>
              <w14:schemeClr w14:val="tx1"/>
            </w14:solidFill>
          </w14:textFill>
        </w:rPr>
        <w:t>深化城市体检与城市更新统筹协调，动态开展</w:t>
      </w:r>
      <w:r>
        <w:rPr>
          <w:rFonts w:ascii="仿宋" w:hAnsi="仿宋" w:cs="仿宋"/>
          <w:color w:val="000000" w:themeColor="text1"/>
          <w:szCs w:val="32"/>
          <w:highlight w:val="none"/>
          <w:lang w:bidi="ar"/>
          <w14:textFill>
            <w14:solidFill>
              <w14:schemeClr w14:val="tx1"/>
            </w14:solidFill>
          </w14:textFill>
        </w:rPr>
        <w:t>全区城市体检，形成“问题</w:t>
      </w:r>
      <w:r>
        <w:rPr>
          <w:rFonts w:hint="eastAsia" w:ascii="仿宋" w:hAnsi="仿宋" w:cs="仿宋"/>
          <w:color w:val="000000" w:themeColor="text1"/>
          <w:szCs w:val="32"/>
          <w:highlight w:val="none"/>
          <w:lang w:bidi="ar"/>
          <w14:textFill>
            <w14:solidFill>
              <w14:schemeClr w14:val="tx1"/>
            </w14:solidFill>
          </w14:textFill>
        </w:rPr>
        <w:t>-</w:t>
      </w:r>
      <w:r>
        <w:rPr>
          <w:rFonts w:ascii="仿宋" w:hAnsi="仿宋" w:cs="仿宋"/>
          <w:color w:val="000000" w:themeColor="text1"/>
          <w:szCs w:val="32"/>
          <w:highlight w:val="none"/>
          <w:lang w:bidi="ar"/>
          <w14:textFill>
            <w14:solidFill>
              <w14:schemeClr w14:val="tx1"/>
            </w14:solidFill>
          </w14:textFill>
        </w:rPr>
        <w:t>整治-项目”三张清单。</w:t>
      </w:r>
      <w:r>
        <w:rPr>
          <w:rFonts w:hint="eastAsia" w:ascii="仿宋" w:hAnsi="仿宋" w:cs="仿宋"/>
          <w:color w:val="000000" w:themeColor="text1"/>
          <w:szCs w:val="32"/>
          <w:highlight w:val="none"/>
          <w:lang w:bidi="ar"/>
          <w14:textFill>
            <w14:solidFill>
              <w14:schemeClr w14:val="tx1"/>
            </w14:solidFill>
          </w14:textFill>
        </w:rPr>
        <w:t>合理划定</w:t>
      </w:r>
      <w:r>
        <w:rPr>
          <w:rFonts w:ascii="仿宋" w:hAnsi="仿宋" w:cs="仿宋"/>
          <w:color w:val="000000" w:themeColor="text1"/>
          <w:szCs w:val="32"/>
          <w:highlight w:val="none"/>
          <w:lang w:bidi="ar"/>
          <w14:textFill>
            <w14:solidFill>
              <w14:schemeClr w14:val="tx1"/>
            </w14:solidFill>
          </w14:textFill>
        </w:rPr>
        <w:t>大梯道</w:t>
      </w:r>
      <w:r>
        <w:rPr>
          <w:rFonts w:hint="eastAsia" w:ascii="仿宋" w:hAnsi="仿宋" w:cs="仿宋"/>
          <w:color w:val="000000" w:themeColor="text1"/>
          <w:szCs w:val="32"/>
          <w:highlight w:val="none"/>
          <w:lang w:bidi="ar"/>
          <w14:textFill>
            <w14:solidFill>
              <w14:schemeClr w14:val="tx1"/>
            </w14:solidFill>
          </w14:textFill>
        </w:rPr>
        <w:t>-</w:t>
      </w:r>
      <w:r>
        <w:rPr>
          <w:rFonts w:ascii="仿宋" w:hAnsi="仿宋" w:cs="仿宋"/>
          <w:color w:val="000000" w:themeColor="text1"/>
          <w:szCs w:val="32"/>
          <w:highlight w:val="none"/>
          <w:lang w:bidi="ar"/>
          <w14:textFill>
            <w14:solidFill>
              <w14:schemeClr w14:val="tx1"/>
            </w14:solidFill>
          </w14:textFill>
        </w:rPr>
        <w:t>望江片区、</w:t>
      </w:r>
      <w:r>
        <w:rPr>
          <w:rFonts w:ascii="仿宋" w:hAnsi="仿宋"/>
          <w:color w:val="000000" w:themeColor="text1"/>
          <w:szCs w:val="32"/>
          <w:highlight w:val="none"/>
          <w:lang w:bidi="ar"/>
          <w14:textFill>
            <w14:solidFill>
              <w14:schemeClr w14:val="tx1"/>
            </w14:solidFill>
          </w14:textFill>
        </w:rPr>
        <w:t>501</w:t>
      </w:r>
      <w:r>
        <w:rPr>
          <w:rFonts w:ascii="仿宋" w:hAnsi="仿宋" w:cs="仿宋"/>
          <w:color w:val="000000" w:themeColor="text1"/>
          <w:szCs w:val="32"/>
          <w:highlight w:val="none"/>
          <w:lang w:bidi="ar"/>
          <w14:textFill>
            <w14:solidFill>
              <w14:schemeClr w14:val="tx1"/>
            </w14:solidFill>
          </w14:textFill>
        </w:rPr>
        <w:t>电厂</w:t>
      </w:r>
      <w:r>
        <w:rPr>
          <w:rFonts w:ascii="仿宋" w:hAnsi="仿宋"/>
          <w:color w:val="000000" w:themeColor="text1"/>
          <w:szCs w:val="32"/>
          <w:highlight w:val="none"/>
          <w:lang w:bidi="ar"/>
          <w14:textFill>
            <w14:solidFill>
              <w14:schemeClr w14:val="tx1"/>
            </w14:solidFill>
          </w14:textFill>
        </w:rPr>
        <w:t>-</w:t>
      </w:r>
      <w:r>
        <w:rPr>
          <w:rFonts w:ascii="仿宋" w:hAnsi="仿宋" w:cs="仿宋"/>
          <w:color w:val="000000" w:themeColor="text1"/>
          <w:szCs w:val="32"/>
          <w:highlight w:val="none"/>
          <w:lang w:bidi="ar"/>
          <w14:textFill>
            <w14:solidFill>
              <w14:schemeClr w14:val="tx1"/>
            </w14:solidFill>
          </w14:textFill>
        </w:rPr>
        <w:t>大渡口片区、城市原点片区、紫荆山</w:t>
      </w:r>
      <w:r>
        <w:rPr>
          <w:rFonts w:hint="eastAsia" w:ascii="仿宋" w:hAnsi="仿宋" w:cs="仿宋"/>
          <w:color w:val="000000" w:themeColor="text1"/>
          <w:szCs w:val="32"/>
          <w:highlight w:val="none"/>
          <w:lang w:bidi="ar"/>
          <w14:textFill>
            <w14:solidFill>
              <w14:schemeClr w14:val="tx1"/>
            </w14:solidFill>
          </w14:textFill>
        </w:rPr>
        <w:t>-</w:t>
      </w:r>
      <w:r>
        <w:rPr>
          <w:rFonts w:ascii="仿宋" w:hAnsi="仿宋" w:cs="仿宋"/>
          <w:color w:val="000000" w:themeColor="text1"/>
          <w:szCs w:val="32"/>
          <w:highlight w:val="none"/>
          <w:lang w:bidi="ar"/>
          <w14:textFill>
            <w14:solidFill>
              <w14:schemeClr w14:val="tx1"/>
            </w14:solidFill>
          </w14:textFill>
        </w:rPr>
        <w:t>鸿海巷片区、桃源街片区、阿署达片区、小攀枝花片区、银江湖</w:t>
      </w:r>
      <w:r>
        <w:rPr>
          <w:rFonts w:ascii="仿宋" w:hAnsi="仿宋"/>
          <w:color w:val="000000" w:themeColor="text1"/>
          <w:szCs w:val="32"/>
          <w:highlight w:val="none"/>
          <w:lang w:bidi="ar"/>
          <w14:textFill>
            <w14:solidFill>
              <w14:schemeClr w14:val="tx1"/>
            </w14:solidFill>
          </w14:textFill>
        </w:rPr>
        <w:t>6</w:t>
      </w:r>
      <w:r>
        <w:rPr>
          <w:rFonts w:ascii="仿宋" w:hAnsi="仿宋" w:cs="仿宋"/>
          <w:color w:val="000000" w:themeColor="text1"/>
          <w:szCs w:val="32"/>
          <w:highlight w:val="none"/>
          <w:lang w:bidi="ar"/>
          <w14:textFill>
            <w14:solidFill>
              <w14:schemeClr w14:val="tx1"/>
            </w14:solidFill>
          </w14:textFill>
        </w:rPr>
        <w:t>号桥片区、高梁坪老工矿片区、五道河老工矿片区等</w:t>
      </w:r>
      <w:r>
        <w:rPr>
          <w:rFonts w:ascii="仿宋" w:hAnsi="仿宋"/>
          <w:color w:val="000000" w:themeColor="text1"/>
          <w:szCs w:val="32"/>
          <w:highlight w:val="none"/>
          <w:lang w:bidi="ar"/>
          <w14:textFill>
            <w14:solidFill>
              <w14:schemeClr w14:val="tx1"/>
            </w14:solidFill>
          </w14:textFill>
        </w:rPr>
        <w:t>10</w:t>
      </w:r>
      <w:r>
        <w:rPr>
          <w:rFonts w:ascii="仿宋" w:hAnsi="仿宋" w:cs="仿宋"/>
          <w:color w:val="000000" w:themeColor="text1"/>
          <w:szCs w:val="32"/>
          <w:highlight w:val="none"/>
          <w:lang w:bidi="ar"/>
          <w14:textFill>
            <w14:solidFill>
              <w14:schemeClr w14:val="tx1"/>
            </w14:solidFill>
          </w14:textFill>
        </w:rPr>
        <w:t>个</w:t>
      </w:r>
      <w:r>
        <w:rPr>
          <w:rFonts w:hint="eastAsia" w:ascii="仿宋" w:hAnsi="仿宋" w:cs="仿宋"/>
          <w:color w:val="000000" w:themeColor="text1"/>
          <w:szCs w:val="32"/>
          <w:highlight w:val="none"/>
          <w:lang w:bidi="ar"/>
          <w14:textFill>
            <w14:solidFill>
              <w14:schemeClr w14:val="tx1"/>
            </w14:solidFill>
          </w14:textFill>
        </w:rPr>
        <w:t>城市</w:t>
      </w:r>
      <w:r>
        <w:rPr>
          <w:rFonts w:ascii="仿宋" w:hAnsi="仿宋" w:cs="仿宋"/>
          <w:color w:val="000000" w:themeColor="text1"/>
          <w:szCs w:val="32"/>
          <w:highlight w:val="none"/>
          <w:lang w:bidi="ar"/>
          <w14:textFill>
            <w14:solidFill>
              <w14:schemeClr w14:val="tx1"/>
            </w14:solidFill>
          </w14:textFill>
        </w:rPr>
        <w:t>更新</w:t>
      </w:r>
      <w:r>
        <w:rPr>
          <w:rFonts w:hint="eastAsia" w:ascii="仿宋" w:hAnsi="仿宋" w:cs="仿宋"/>
          <w:color w:val="000000" w:themeColor="text1"/>
          <w:szCs w:val="32"/>
          <w:highlight w:val="none"/>
          <w:lang w:bidi="ar"/>
          <w14:textFill>
            <w14:solidFill>
              <w14:schemeClr w14:val="tx1"/>
            </w14:solidFill>
          </w14:textFill>
        </w:rPr>
        <w:t>重点片区实施范围，加快重点片区城市设计与城市更新片区实施方案编制工作，</w:t>
      </w:r>
      <w:r>
        <w:rPr>
          <w:rFonts w:ascii="仿宋" w:hAnsi="仿宋" w:cs="仿宋"/>
          <w:color w:val="000000" w:themeColor="text1"/>
          <w:szCs w:val="32"/>
          <w:highlight w:val="none"/>
          <w:lang w:bidi="ar"/>
          <w14:textFill>
            <w14:solidFill>
              <w14:schemeClr w14:val="tx1"/>
            </w14:solidFill>
          </w14:textFill>
        </w:rPr>
        <w:t>明确</w:t>
      </w:r>
      <w:r>
        <w:rPr>
          <w:rFonts w:hint="eastAsia" w:ascii="仿宋" w:hAnsi="仿宋" w:cs="仿宋"/>
          <w:color w:val="000000" w:themeColor="text1"/>
          <w:szCs w:val="32"/>
          <w:highlight w:val="none"/>
          <w:lang w:bidi="ar"/>
          <w14:textFill>
            <w14:solidFill>
              <w14:schemeClr w14:val="tx1"/>
            </w14:solidFill>
          </w14:textFill>
        </w:rPr>
        <w:t>更新定位及</w:t>
      </w:r>
      <w:r>
        <w:rPr>
          <w:rFonts w:ascii="仿宋" w:hAnsi="仿宋" w:cs="仿宋"/>
          <w:color w:val="000000" w:themeColor="text1"/>
          <w:szCs w:val="32"/>
          <w:highlight w:val="none"/>
          <w:lang w:bidi="ar"/>
          <w14:textFill>
            <w14:solidFill>
              <w14:schemeClr w14:val="tx1"/>
            </w14:solidFill>
          </w14:textFill>
        </w:rPr>
        <w:t>目标、改造内容、成本收益、资金筹措、推进步骤等。</w:t>
      </w:r>
      <w:r>
        <w:rPr>
          <w:rFonts w:hint="eastAsia" w:ascii="仿宋" w:hAnsi="仿宋" w:cs="仿宋"/>
          <w:color w:val="000000" w:themeColor="text1"/>
          <w:szCs w:val="32"/>
          <w:highlight w:val="none"/>
          <w:lang w:bidi="ar"/>
          <w14:textFill>
            <w14:solidFill>
              <w14:schemeClr w14:val="tx1"/>
            </w14:solidFill>
          </w14:textFill>
        </w:rPr>
        <w:t>加快编制大渡口历史文化街区保护利用规划及保护提升实施方案，</w:t>
      </w:r>
      <w:r>
        <w:rPr>
          <w:rFonts w:ascii="仿宋" w:hAnsi="仿宋" w:cs="仿宋"/>
          <w:color w:val="000000" w:themeColor="text1"/>
          <w:szCs w:val="32"/>
          <w:highlight w:val="none"/>
          <w:lang w:bidi="ar"/>
          <w14:textFill>
            <w14:solidFill>
              <w14:schemeClr w14:val="tx1"/>
            </w14:solidFill>
          </w14:textFill>
        </w:rPr>
        <w:t>强化对重点地区、重要地段的风貌引导和建设管控</w:t>
      </w:r>
      <w:r>
        <w:rPr>
          <w:rFonts w:hint="eastAsia" w:ascii="仿宋" w:hAnsi="仿宋" w:cs="仿宋"/>
          <w:color w:val="000000" w:themeColor="text1"/>
          <w:szCs w:val="32"/>
          <w:highlight w:val="none"/>
          <w:lang w:bidi="ar"/>
          <w14:textFill>
            <w14:solidFill>
              <w14:schemeClr w14:val="tx1"/>
            </w14:solidFill>
          </w14:textFill>
        </w:rPr>
        <w:t>。</w:t>
      </w:r>
    </w:p>
    <w:p>
      <w:pPr>
        <w:spacing w:line="576" w:lineRule="exact"/>
        <w:ind w:firstLine="642" w:firstLineChars="200"/>
        <w:outlineLvl w:val="1"/>
        <w:rPr>
          <w:rFonts w:ascii="仿宋" w:hAnsi="仿宋" w:cs="仿宋"/>
          <w:color w:val="000000" w:themeColor="text1"/>
          <w:szCs w:val="32"/>
          <w:highlight w:val="none"/>
          <w:lang w:bidi="ar"/>
          <w14:textFill>
            <w14:solidFill>
              <w14:schemeClr w14:val="tx1"/>
            </w14:solidFill>
          </w14:textFill>
        </w:rPr>
      </w:pPr>
      <w:r>
        <w:rPr>
          <w:rFonts w:hint="eastAsia" w:ascii="楷体_GB2312" w:hAnsi="楷体_GB2312" w:eastAsia="楷体_GB2312" w:cs="楷体_GB2312"/>
          <w:b/>
          <w:bCs/>
          <w:color w:val="000000" w:themeColor="text1"/>
          <w:kern w:val="0"/>
          <w:szCs w:val="32"/>
          <w:highlight w:val="none"/>
          <w14:textFill>
            <w14:solidFill>
              <w14:schemeClr w14:val="tx1"/>
            </w14:solidFill>
          </w14:textFill>
        </w:rPr>
        <w:t>（三）统筹推进项目实施。</w:t>
      </w:r>
      <w:r>
        <w:rPr>
          <w:rFonts w:ascii="仿宋" w:hAnsi="仿宋" w:cs="仿宋"/>
          <w:color w:val="000000" w:themeColor="text1"/>
          <w:szCs w:val="32"/>
          <w:highlight w:val="none"/>
          <w:lang w:bidi="ar"/>
          <w14:textFill>
            <w14:solidFill>
              <w14:schemeClr w14:val="tx1"/>
            </w14:solidFill>
          </w14:textFill>
        </w:rPr>
        <w:t>按照“储备项目抓申报、申报项目抓开工、开工项目抓进度”的思路，</w:t>
      </w:r>
      <w:r>
        <w:rPr>
          <w:rFonts w:hint="eastAsia" w:ascii="仿宋" w:hAnsi="仿宋" w:cs="仿宋"/>
          <w:color w:val="000000" w:themeColor="text1"/>
          <w:szCs w:val="32"/>
          <w:highlight w:val="none"/>
          <w:lang w:bidi="ar"/>
          <w14:textFill>
            <w14:solidFill>
              <w14:schemeClr w14:val="tx1"/>
            </w14:solidFill>
          </w14:textFill>
        </w:rPr>
        <w:t>建</w:t>
      </w:r>
      <w:r>
        <w:rPr>
          <w:rFonts w:hint="eastAsia" w:ascii="仿宋" w:hAnsi="仿宋" w:cs="仿宋"/>
          <w:color w:val="000000" w:themeColor="text1"/>
          <w:szCs w:val="32"/>
          <w:highlight w:val="none"/>
          <w:lang w:eastAsia="zh-CN" w:bidi="ar"/>
          <w14:textFill>
            <w14:solidFill>
              <w14:schemeClr w14:val="tx1"/>
            </w14:solidFill>
          </w14:textFill>
        </w:rPr>
        <w:t>和工作专班</w:t>
      </w:r>
      <w:r>
        <w:rPr>
          <w:rFonts w:hint="eastAsia" w:ascii="仿宋" w:hAnsi="仿宋" w:cs="仿宋"/>
          <w:color w:val="000000" w:themeColor="text1"/>
          <w:szCs w:val="32"/>
          <w:highlight w:val="none"/>
          <w:lang w:bidi="ar"/>
          <w14:textFill>
            <w14:solidFill>
              <w14:schemeClr w14:val="tx1"/>
            </w14:solidFill>
          </w14:textFill>
        </w:rPr>
        <w:t>立</w:t>
      </w:r>
      <w:r>
        <w:rPr>
          <w:rFonts w:ascii="仿宋" w:hAnsi="仿宋" w:cs="仿宋"/>
          <w:color w:val="000000" w:themeColor="text1"/>
          <w:szCs w:val="32"/>
          <w:highlight w:val="none"/>
          <w:lang w:bidi="ar"/>
          <w14:textFill>
            <w14:solidFill>
              <w14:schemeClr w14:val="tx1"/>
            </w14:solidFill>
          </w14:textFill>
        </w:rPr>
        <w:t>“近期可实施、长期有储备、定期可滚动”的工作机制，认真做好项目谋划储备，以更新重点片区为载体整合资源、集成项目，形成城市有机更新项目管理清单体系。制定城市更新项目年度计划，建立进入、退出机制，实施动态管理。突出防风险、惠民生、提功能，综合考虑财政承受能力，做好项目资金平衡，区分轻重缓急分步实施</w:t>
      </w:r>
      <w:r>
        <w:rPr>
          <w:rFonts w:hint="eastAsia" w:ascii="仿宋" w:hAnsi="仿宋" w:cs="仿宋"/>
          <w:color w:val="000000" w:themeColor="text1"/>
          <w:szCs w:val="32"/>
          <w:highlight w:val="none"/>
          <w:lang w:bidi="ar"/>
          <w14:textFill>
            <w14:solidFill>
              <w14:schemeClr w14:val="tx1"/>
            </w14:solidFill>
          </w14:textFill>
        </w:rPr>
        <w:t>，确保“干一片、成一片、活一片”，提升片区整体价值</w:t>
      </w:r>
      <w:r>
        <w:rPr>
          <w:rFonts w:ascii="仿宋" w:hAnsi="仿宋" w:cs="仿宋"/>
          <w:color w:val="000000" w:themeColor="text1"/>
          <w:szCs w:val="32"/>
          <w:highlight w:val="none"/>
          <w:lang w:bidi="ar"/>
          <w14:textFill>
            <w14:solidFill>
              <w14:schemeClr w14:val="tx1"/>
            </w14:solidFill>
          </w14:textFill>
        </w:rPr>
        <w:t>。</w:t>
      </w:r>
    </w:p>
    <w:p>
      <w:pPr>
        <w:spacing w:line="576" w:lineRule="exact"/>
        <w:ind w:firstLine="642" w:firstLineChars="200"/>
        <w:outlineLvl w:val="1"/>
        <w:rPr>
          <w:rFonts w:ascii="仿宋" w:hAnsi="仿宋"/>
          <w:color w:val="000000" w:themeColor="text1"/>
          <w:szCs w:val="32"/>
          <w:highlight w:val="none"/>
          <w14:textFill>
            <w14:solidFill>
              <w14:schemeClr w14:val="tx1"/>
            </w14:solidFill>
          </w14:textFill>
        </w:rPr>
      </w:pPr>
      <w:r>
        <w:rPr>
          <w:rFonts w:hint="eastAsia" w:ascii="楷体_GB2312" w:hAnsi="楷体_GB2312" w:eastAsia="楷体_GB2312" w:cs="楷体_GB2312"/>
          <w:b/>
          <w:bCs/>
          <w:color w:val="000000" w:themeColor="text1"/>
          <w:kern w:val="0"/>
          <w:szCs w:val="32"/>
          <w:highlight w:val="none"/>
          <w14:textFill>
            <w14:solidFill>
              <w14:schemeClr w14:val="tx1"/>
            </w14:solidFill>
          </w14:textFill>
        </w:rPr>
        <w:t>（四）建立多元投入机制。</w:t>
      </w:r>
      <w:r>
        <w:rPr>
          <w:rFonts w:hint="eastAsia" w:ascii="仿宋" w:hAnsi="仿宋" w:cs="仿宋"/>
          <w:color w:val="000000" w:themeColor="text1"/>
          <w:szCs w:val="32"/>
          <w:highlight w:val="none"/>
          <w:lang w:bidi="ar"/>
          <w14:textFill>
            <w14:solidFill>
              <w14:schemeClr w14:val="tx1"/>
            </w14:solidFill>
          </w14:textFill>
        </w:rPr>
        <w:t>积极探索“政府主导、企业参与、社会投入、居民主体”模式，构建多元参与协同机制和资金整合机制，通过政府投资类项目，撬动国有平台公司、辖区企事业单位和社会投资人的资金、资源融入，引导产业运营主体和居民群众共同管理维护更新成效。大力推行片区平衡、多项目、多资金渠道统筹机制，收益率高低不同的项目要进行“肥瘦搭配”，反哺片区内公益性项目建设。支持区属国有企业通过股权合作、项目合作、设立基金等方式，吸引社会资本参与城市更新。</w:t>
      </w:r>
      <w:r>
        <w:rPr>
          <w:rFonts w:ascii="仿宋" w:hAnsi="仿宋" w:cs="仿宋"/>
          <w:color w:val="000000" w:themeColor="text1"/>
          <w:szCs w:val="32"/>
          <w:highlight w:val="none"/>
          <w:lang w:bidi="ar"/>
          <w14:textFill>
            <w14:solidFill>
              <w14:schemeClr w14:val="tx1"/>
            </w14:solidFill>
          </w14:textFill>
        </w:rPr>
        <w:t>按季度发布城市更新机会清单，吸引市场主体和社会资本参与。</w:t>
      </w:r>
    </w:p>
    <w:p>
      <w:pPr>
        <w:spacing w:line="576" w:lineRule="exact"/>
        <w:ind w:firstLine="642" w:firstLineChars="200"/>
        <w:outlineLvl w:val="1"/>
        <w:rPr>
          <w:rFonts w:ascii="仿宋" w:hAnsi="仿宋" w:cs="仿宋"/>
          <w:color w:val="000000" w:themeColor="text1"/>
          <w:szCs w:val="32"/>
          <w:highlight w:val="none"/>
          <w:lang w:bidi="ar"/>
          <w14:textFill>
            <w14:solidFill>
              <w14:schemeClr w14:val="tx1"/>
            </w14:solidFill>
          </w14:textFill>
        </w:rPr>
      </w:pPr>
      <w:r>
        <w:rPr>
          <w:rFonts w:hint="eastAsia" w:ascii="楷体_GB2312" w:hAnsi="楷体_GB2312" w:eastAsia="楷体_GB2312" w:cs="楷体_GB2312"/>
          <w:b/>
          <w:bCs/>
          <w:color w:val="000000" w:themeColor="text1"/>
          <w:kern w:val="0"/>
          <w:szCs w:val="32"/>
          <w:highlight w:val="none"/>
          <w14:textFill>
            <w14:solidFill>
              <w14:schemeClr w14:val="tx1"/>
            </w14:solidFill>
          </w14:textFill>
        </w:rPr>
        <w:t>（五）加强跟踪督导问效。</w:t>
      </w:r>
      <w:r>
        <w:rPr>
          <w:rFonts w:hint="eastAsia" w:ascii="仿宋" w:hAnsi="仿宋" w:cs="仿宋"/>
          <w:color w:val="000000" w:themeColor="text1"/>
          <w:szCs w:val="32"/>
          <w:highlight w:val="none"/>
          <w:lang w:bidi="ar"/>
          <w14:textFill>
            <w14:solidFill>
              <w14:schemeClr w14:val="tx1"/>
            </w14:solidFill>
          </w14:textFill>
        </w:rPr>
        <w:t>实行区级领导包联重点片区督导机制，每季度集中调度、现场督导重点片区城市更新推进情况；区级统筹协调机制办公室</w:t>
      </w:r>
      <w:r>
        <w:rPr>
          <w:rFonts w:ascii="仿宋" w:hAnsi="仿宋"/>
          <w:color w:val="000000" w:themeColor="text1"/>
          <w:szCs w:val="32"/>
          <w:highlight w:val="none"/>
          <w14:textFill>
            <w14:solidFill>
              <w14:schemeClr w14:val="tx1"/>
            </w14:solidFill>
          </w14:textFill>
        </w:rPr>
        <w:t>每月汇总工作动态、重点项目进展情况，</w:t>
      </w:r>
      <w:r>
        <w:rPr>
          <w:rFonts w:hint="eastAsia" w:ascii="仿宋" w:hAnsi="仿宋" w:cs="仿宋"/>
          <w:color w:val="000000" w:themeColor="text1"/>
          <w:szCs w:val="32"/>
          <w:highlight w:val="none"/>
          <w:lang w:bidi="ar"/>
          <w14:textFill>
            <w14:solidFill>
              <w14:schemeClr w14:val="tx1"/>
            </w14:solidFill>
          </w14:textFill>
        </w:rPr>
        <w:t>定期报送并印发</w:t>
      </w:r>
      <w:r>
        <w:rPr>
          <w:rFonts w:ascii="仿宋" w:hAnsi="仿宋"/>
          <w:color w:val="000000" w:themeColor="text1"/>
          <w:szCs w:val="32"/>
          <w:highlight w:val="none"/>
          <w14:textFill>
            <w14:solidFill>
              <w14:schemeClr w14:val="tx1"/>
            </w14:solidFill>
          </w14:textFill>
        </w:rPr>
        <w:t>《</w:t>
      </w:r>
      <w:r>
        <w:rPr>
          <w:rFonts w:hint="eastAsia" w:ascii="仿宋" w:hAnsi="仿宋"/>
          <w:color w:val="000000" w:themeColor="text1"/>
          <w:szCs w:val="32"/>
          <w:highlight w:val="none"/>
          <w14:textFill>
            <w14:solidFill>
              <w14:schemeClr w14:val="tx1"/>
            </w14:solidFill>
          </w14:textFill>
        </w:rPr>
        <w:t>东区</w:t>
      </w:r>
      <w:r>
        <w:rPr>
          <w:rFonts w:ascii="仿宋" w:hAnsi="仿宋"/>
          <w:color w:val="000000" w:themeColor="text1"/>
          <w:szCs w:val="32"/>
          <w:highlight w:val="none"/>
          <w14:textFill>
            <w14:solidFill>
              <w14:schemeClr w14:val="tx1"/>
            </w14:solidFill>
          </w14:textFill>
        </w:rPr>
        <w:t>城市有机更新推进情况专报》</w:t>
      </w:r>
      <w:r>
        <w:rPr>
          <w:rFonts w:hint="eastAsia" w:ascii="仿宋" w:hAnsi="仿宋"/>
          <w:color w:val="000000" w:themeColor="text1"/>
          <w:szCs w:val="32"/>
          <w:highlight w:val="none"/>
          <w14:textFill>
            <w14:solidFill>
              <w14:schemeClr w14:val="tx1"/>
            </w14:solidFill>
          </w14:textFill>
        </w:rPr>
        <w:t>，</w:t>
      </w:r>
      <w:r>
        <w:rPr>
          <w:rFonts w:hint="eastAsia" w:ascii="仿宋" w:hAnsi="仿宋" w:cs="仿宋"/>
          <w:color w:val="000000" w:themeColor="text1"/>
          <w:szCs w:val="32"/>
          <w:highlight w:val="none"/>
          <w:lang w:bidi="ar"/>
          <w14:textFill>
            <w14:solidFill>
              <w14:schemeClr w14:val="tx1"/>
            </w14:solidFill>
          </w14:textFill>
        </w:rPr>
        <w:t>综合运用督查通报等方式加强进度管控。</w:t>
      </w:r>
    </w:p>
    <w:p>
      <w:pPr>
        <w:autoSpaceDE w:val="0"/>
        <w:spacing w:line="576" w:lineRule="exact"/>
        <w:ind w:firstLine="640" w:firstLineChars="200"/>
        <w:outlineLvl w:val="1"/>
        <w:rPr>
          <w:rFonts w:ascii="仿宋" w:hAnsi="仿宋" w:cs="仿宋"/>
          <w:color w:val="000000" w:themeColor="text1"/>
          <w:szCs w:val="32"/>
          <w:highlight w:val="none"/>
          <w:lang w:bidi="ar"/>
          <w14:textFill>
            <w14:solidFill>
              <w14:schemeClr w14:val="tx1"/>
            </w14:solidFill>
          </w14:textFill>
        </w:rPr>
      </w:pPr>
      <w:bookmarkStart w:id="4" w:name="_Toc25910"/>
    </w:p>
    <w:p>
      <w:pPr>
        <w:autoSpaceDE w:val="0"/>
        <w:spacing w:line="576" w:lineRule="exact"/>
        <w:ind w:firstLine="640" w:firstLineChars="200"/>
        <w:outlineLvl w:val="1"/>
        <w:rPr>
          <w:rFonts w:ascii="仿宋" w:hAnsi="仿宋" w:cs="仿宋"/>
          <w:color w:val="000000" w:themeColor="text1"/>
          <w:szCs w:val="32"/>
          <w:highlight w:val="none"/>
          <w:lang w:bidi="ar"/>
          <w14:textFill>
            <w14:solidFill>
              <w14:schemeClr w14:val="tx1"/>
            </w14:solidFill>
          </w14:textFill>
        </w:rPr>
      </w:pPr>
      <w:r>
        <w:rPr>
          <w:rFonts w:ascii="仿宋" w:hAnsi="仿宋" w:cs="仿宋"/>
          <w:color w:val="000000" w:themeColor="text1"/>
          <w:szCs w:val="32"/>
          <w:highlight w:val="none"/>
          <w:lang w:bidi="ar"/>
          <w14:textFill>
            <w14:solidFill>
              <w14:schemeClr w14:val="tx1"/>
            </w14:solidFill>
          </w14:textFill>
        </w:rPr>
        <w:t>附件：1.</w:t>
      </w:r>
      <w:r>
        <w:rPr>
          <w:rFonts w:hint="eastAsia" w:ascii="仿宋" w:hAnsi="仿宋" w:cs="仿宋"/>
          <w:color w:val="000000" w:themeColor="text1"/>
          <w:szCs w:val="32"/>
          <w:highlight w:val="none"/>
          <w:lang w:bidi="ar"/>
          <w14:textFill>
            <w14:solidFill>
              <w14:schemeClr w14:val="tx1"/>
            </w14:solidFill>
          </w14:textFill>
        </w:rPr>
        <w:t>攀枝花市</w:t>
      </w:r>
      <w:r>
        <w:rPr>
          <w:rFonts w:ascii="仿宋" w:hAnsi="仿宋" w:cs="仿宋"/>
          <w:color w:val="000000" w:themeColor="text1"/>
          <w:szCs w:val="32"/>
          <w:highlight w:val="none"/>
          <w:lang w:bidi="ar"/>
          <w14:textFill>
            <w14:solidFill>
              <w14:schemeClr w14:val="tx1"/>
            </w14:solidFill>
          </w14:textFill>
        </w:rPr>
        <w:t>东区城市有机更新攻坚行动年度任务清单</w:t>
      </w:r>
      <w:bookmarkEnd w:id="4"/>
    </w:p>
    <w:p>
      <w:pPr>
        <w:autoSpaceDE w:val="0"/>
        <w:spacing w:line="576" w:lineRule="exact"/>
        <w:ind w:firstLine="1600" w:firstLineChars="500"/>
        <w:outlineLvl w:val="1"/>
        <w:rPr>
          <w:rFonts w:ascii="仿宋" w:hAnsi="仿宋" w:cs="仿宋"/>
          <w:color w:val="000000" w:themeColor="text1"/>
          <w:szCs w:val="32"/>
          <w:highlight w:val="none"/>
          <w:lang w:bidi="ar"/>
          <w14:textFill>
            <w14:solidFill>
              <w14:schemeClr w14:val="tx1"/>
            </w14:solidFill>
          </w14:textFill>
        </w:rPr>
      </w:pPr>
      <w:bookmarkStart w:id="5" w:name="_Toc12925"/>
      <w:r>
        <w:rPr>
          <w:rFonts w:hint="eastAsia" w:ascii="仿宋" w:hAnsi="仿宋" w:cs="仿宋"/>
          <w:color w:val="000000" w:themeColor="text1"/>
          <w:szCs w:val="32"/>
          <w:highlight w:val="none"/>
          <w:lang w:bidi="ar"/>
          <w14:textFill>
            <w14:solidFill>
              <w14:schemeClr w14:val="tx1"/>
            </w14:solidFill>
          </w14:textFill>
        </w:rPr>
        <w:t>2.</w:t>
      </w:r>
      <w:bookmarkStart w:id="6" w:name="_Hlk201702207"/>
      <w:r>
        <w:rPr>
          <w:rFonts w:hint="eastAsia" w:ascii="仿宋" w:hAnsi="仿宋" w:cs="仿宋"/>
          <w:color w:val="000000" w:themeColor="text1"/>
          <w:szCs w:val="32"/>
          <w:highlight w:val="none"/>
          <w:lang w:bidi="ar"/>
          <w14:textFill>
            <w14:solidFill>
              <w14:schemeClr w14:val="tx1"/>
            </w14:solidFill>
          </w14:textFill>
        </w:rPr>
        <w:t>攀枝花东区城市有机更新攻坚行动项目计划表</w:t>
      </w:r>
    </w:p>
    <w:bookmarkEnd w:id="6"/>
    <w:p>
      <w:pPr>
        <w:autoSpaceDE w:val="0"/>
        <w:spacing w:line="576" w:lineRule="exact"/>
        <w:ind w:firstLine="1600" w:firstLineChars="500"/>
        <w:outlineLvl w:val="1"/>
        <w:rPr>
          <w:rFonts w:ascii="仿宋" w:hAnsi="仿宋" w:cs="仿宋"/>
          <w:color w:val="000000" w:themeColor="text1"/>
          <w:szCs w:val="32"/>
          <w:highlight w:val="none"/>
          <w:lang w:bidi="ar"/>
          <w14:textFill>
            <w14:solidFill>
              <w14:schemeClr w14:val="tx1"/>
            </w14:solidFill>
          </w14:textFill>
        </w:rPr>
      </w:pPr>
      <w:r>
        <w:rPr>
          <w:rFonts w:hint="eastAsia" w:ascii="仿宋" w:hAnsi="仿宋" w:cs="仿宋"/>
          <w:color w:val="000000" w:themeColor="text1"/>
          <w:szCs w:val="32"/>
          <w:highlight w:val="none"/>
          <w:lang w:bidi="ar"/>
          <w14:textFill>
            <w14:solidFill>
              <w14:schemeClr w14:val="tx1"/>
            </w14:solidFill>
          </w14:textFill>
        </w:rPr>
        <w:t>3</w:t>
      </w:r>
      <w:r>
        <w:rPr>
          <w:rFonts w:ascii="仿宋" w:hAnsi="仿宋" w:cs="仿宋"/>
          <w:color w:val="000000" w:themeColor="text1"/>
          <w:szCs w:val="32"/>
          <w:highlight w:val="none"/>
          <w:lang w:bidi="ar"/>
          <w14:textFill>
            <w14:solidFill>
              <w14:schemeClr w14:val="tx1"/>
            </w14:solidFill>
          </w14:textFill>
        </w:rPr>
        <w:t>.</w:t>
      </w:r>
      <w:r>
        <w:rPr>
          <w:rFonts w:hint="eastAsia" w:ascii="仿宋" w:hAnsi="仿宋" w:cs="仿宋"/>
          <w:color w:val="000000" w:themeColor="text1"/>
          <w:szCs w:val="32"/>
          <w:highlight w:val="none"/>
          <w:lang w:bidi="ar"/>
          <w14:textFill>
            <w14:solidFill>
              <w14:schemeClr w14:val="tx1"/>
            </w14:solidFill>
          </w14:textFill>
        </w:rPr>
        <w:t>攀枝花市</w:t>
      </w:r>
      <w:r>
        <w:rPr>
          <w:rFonts w:ascii="仿宋" w:hAnsi="仿宋" w:cs="仿宋"/>
          <w:color w:val="000000" w:themeColor="text1"/>
          <w:szCs w:val="32"/>
          <w:highlight w:val="none"/>
          <w:lang w:bidi="ar"/>
          <w14:textFill>
            <w14:solidFill>
              <w14:schemeClr w14:val="tx1"/>
            </w14:solidFill>
          </w14:textFill>
        </w:rPr>
        <w:t>东区城市</w:t>
      </w:r>
      <w:r>
        <w:rPr>
          <w:rFonts w:hint="eastAsia" w:ascii="仿宋" w:hAnsi="仿宋" w:cs="仿宋"/>
          <w:color w:val="000000" w:themeColor="text1"/>
          <w:szCs w:val="32"/>
          <w:highlight w:val="none"/>
          <w:lang w:bidi="ar"/>
          <w14:textFill>
            <w14:solidFill>
              <w14:schemeClr w14:val="tx1"/>
            </w14:solidFill>
          </w14:textFill>
        </w:rPr>
        <w:t>更新</w:t>
      </w:r>
      <w:r>
        <w:rPr>
          <w:rFonts w:ascii="仿宋" w:hAnsi="仿宋" w:cs="仿宋"/>
          <w:color w:val="000000" w:themeColor="text1"/>
          <w:szCs w:val="32"/>
          <w:highlight w:val="none"/>
          <w:lang w:bidi="ar"/>
          <w14:textFill>
            <w14:solidFill>
              <w14:schemeClr w14:val="tx1"/>
            </w14:solidFill>
          </w14:textFill>
        </w:rPr>
        <w:t>重点片区清单</w:t>
      </w:r>
      <w:bookmarkEnd w:id="5"/>
    </w:p>
    <w:p>
      <w:pPr>
        <w:autoSpaceDE w:val="0"/>
        <w:spacing w:line="576" w:lineRule="exact"/>
        <w:outlineLvl w:val="1"/>
        <w:rPr>
          <w:rFonts w:ascii="仿宋" w:hAnsi="仿宋" w:cs="仿宋"/>
          <w:color w:val="000000" w:themeColor="text1"/>
          <w:szCs w:val="32"/>
          <w:highlight w:val="none"/>
          <w:lang w:bidi="ar"/>
          <w14:textFill>
            <w14:solidFill>
              <w14:schemeClr w14:val="tx1"/>
            </w14:solidFill>
          </w14:textFill>
        </w:rPr>
        <w:sectPr>
          <w:footerReference r:id="rId3" w:type="default"/>
          <w:pgSz w:w="11906" w:h="16838"/>
          <w:pgMar w:top="2098" w:right="1474" w:bottom="1984" w:left="1587" w:header="851" w:footer="992" w:gutter="0"/>
          <w:cols w:space="425" w:num="1"/>
          <w:docGrid w:type="lines" w:linePitch="312" w:charSpace="0"/>
        </w:sectPr>
      </w:pPr>
    </w:p>
    <w:p>
      <w:pPr>
        <w:outlineLvl w:val="0"/>
        <w:rPr>
          <w:rFonts w:ascii="黑体" w:hAnsi="黑体" w:eastAsia="黑体" w:cs="黑体"/>
          <w:color w:val="000000" w:themeColor="text1"/>
          <w:szCs w:val="32"/>
          <w:highlight w:val="none"/>
          <w14:textFill>
            <w14:solidFill>
              <w14:schemeClr w14:val="tx1"/>
            </w14:solidFill>
          </w14:textFill>
        </w:rPr>
      </w:pPr>
      <w:bookmarkStart w:id="7" w:name="_Toc21533"/>
      <w:r>
        <w:rPr>
          <w:rFonts w:hint="eastAsia" w:ascii="黑体" w:hAnsi="黑体" w:eastAsia="黑体" w:cs="黑体"/>
          <w:color w:val="000000" w:themeColor="text1"/>
          <w:szCs w:val="32"/>
          <w:highlight w:val="none"/>
          <w14:textFill>
            <w14:solidFill>
              <w14:schemeClr w14:val="tx1"/>
            </w14:solidFill>
          </w14:textFill>
        </w:rPr>
        <w:t>附件1</w:t>
      </w:r>
      <w:bookmarkEnd w:id="7"/>
    </w:p>
    <w:p>
      <w:pPr>
        <w:widowControl/>
        <w:jc w:val="center"/>
        <w:rPr>
          <w:color w:val="000000" w:themeColor="text1"/>
          <w:highlight w:val="none"/>
          <w14:textFill>
            <w14:solidFill>
              <w14:schemeClr w14:val="tx1"/>
            </w14:solidFill>
          </w14:textFill>
        </w:rPr>
      </w:pPr>
      <w:r>
        <w:rPr>
          <w:rFonts w:hint="eastAsia" w:ascii="方正小标宋_GBK" w:hAnsi="方正小标宋_GBK" w:eastAsia="方正小标宋_GBK" w:cs="方正小标宋_GBK"/>
          <w:color w:val="000000" w:themeColor="text1"/>
          <w:kern w:val="0"/>
          <w:sz w:val="43"/>
          <w:szCs w:val="43"/>
          <w:highlight w:val="none"/>
          <w14:textFill>
            <w14:solidFill>
              <w14:schemeClr w14:val="tx1"/>
            </w14:solidFill>
          </w14:textFill>
        </w:rPr>
        <w:t>攀枝花市东区</w:t>
      </w:r>
      <w:r>
        <w:rPr>
          <w:rFonts w:ascii="方正小标宋_GBK" w:hAnsi="方正小标宋_GBK" w:eastAsia="方正小标宋_GBK" w:cs="方正小标宋_GBK"/>
          <w:color w:val="000000" w:themeColor="text1"/>
          <w:kern w:val="0"/>
          <w:sz w:val="43"/>
          <w:szCs w:val="43"/>
          <w:highlight w:val="none"/>
          <w14:textFill>
            <w14:solidFill>
              <w14:schemeClr w14:val="tx1"/>
            </w14:solidFill>
          </w14:textFill>
        </w:rPr>
        <w:t>城市有机更新攻坚行动年度任务清单</w:t>
      </w:r>
    </w:p>
    <w:tbl>
      <w:tblPr>
        <w:tblStyle w:val="7"/>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1351"/>
        <w:gridCol w:w="3245"/>
        <w:gridCol w:w="2919"/>
        <w:gridCol w:w="2400"/>
        <w:gridCol w:w="1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56" w:type="dxa"/>
            <w:vAlign w:val="center"/>
          </w:tcPr>
          <w:p>
            <w:pPr>
              <w:spacing w:line="300" w:lineRule="exact"/>
              <w:jc w:val="center"/>
              <w:rPr>
                <w:rFonts w:ascii="黑体" w:hAnsi="黑体" w:eastAsia="黑体" w:cs="黑体"/>
                <w:color w:val="000000" w:themeColor="text1"/>
                <w:sz w:val="24"/>
                <w:szCs w:val="24"/>
                <w:highlight w:val="none"/>
                <w14:textFill>
                  <w14:solidFill>
                    <w14:schemeClr w14:val="tx1"/>
                  </w14:solidFill>
                </w14:textFill>
              </w:rPr>
            </w:pPr>
            <w:bookmarkStart w:id="8" w:name="_Hlk200404372"/>
            <w:r>
              <w:rPr>
                <w:rFonts w:hint="eastAsia" w:ascii="黑体" w:hAnsi="黑体" w:eastAsia="黑体" w:cs="黑体"/>
                <w:color w:val="000000" w:themeColor="text1"/>
                <w:sz w:val="24"/>
                <w:szCs w:val="24"/>
                <w:highlight w:val="none"/>
                <w14:textFill>
                  <w14:solidFill>
                    <w14:schemeClr w14:val="tx1"/>
                  </w14:solidFill>
                </w14:textFill>
              </w:rPr>
              <w:t>序号</w:t>
            </w:r>
          </w:p>
        </w:tc>
        <w:tc>
          <w:tcPr>
            <w:tcW w:w="1351" w:type="dxa"/>
            <w:vAlign w:val="center"/>
          </w:tcPr>
          <w:p>
            <w:pPr>
              <w:widowControl/>
              <w:spacing w:line="300" w:lineRule="exact"/>
              <w:jc w:val="center"/>
              <w:rPr>
                <w:rFonts w:ascii="黑体" w:hAnsi="黑体" w:eastAsia="黑体" w:cs="黑体"/>
                <w:color w:val="000000" w:themeColor="text1"/>
                <w:kern w:val="0"/>
                <w:sz w:val="24"/>
                <w:szCs w:val="24"/>
                <w:highlight w:val="none"/>
                <w14:textFill>
                  <w14:solidFill>
                    <w14:schemeClr w14:val="tx1"/>
                  </w14:solidFill>
                </w14:textFill>
              </w:rPr>
            </w:pPr>
            <w:r>
              <w:rPr>
                <w:rFonts w:hint="eastAsia" w:ascii="黑体" w:hAnsi="黑体" w:eastAsia="黑体" w:cs="黑体"/>
                <w:color w:val="000000" w:themeColor="text1"/>
                <w:kern w:val="0"/>
                <w:sz w:val="24"/>
                <w:szCs w:val="24"/>
                <w:highlight w:val="none"/>
                <w14:textFill>
                  <w14:solidFill>
                    <w14:schemeClr w14:val="tx1"/>
                  </w14:solidFill>
                </w14:textFill>
              </w:rPr>
              <w:t>六大行动</w:t>
            </w:r>
          </w:p>
        </w:tc>
        <w:tc>
          <w:tcPr>
            <w:tcW w:w="3245" w:type="dxa"/>
            <w:vAlign w:val="center"/>
          </w:tcPr>
          <w:p>
            <w:pPr>
              <w:spacing w:line="300" w:lineRule="exact"/>
              <w:jc w:val="center"/>
              <w:rPr>
                <w:rFonts w:ascii="黑体" w:hAnsi="黑体" w:eastAsia="黑体" w:cs="黑体"/>
                <w:color w:val="000000" w:themeColor="text1"/>
                <w:sz w:val="24"/>
                <w:szCs w:val="24"/>
                <w:highlight w:val="none"/>
                <w14:textFill>
                  <w14:solidFill>
                    <w14:schemeClr w14:val="tx1"/>
                  </w14:solidFill>
                </w14:textFill>
              </w:rPr>
            </w:pPr>
            <w:r>
              <w:rPr>
                <w:rFonts w:hint="eastAsia" w:ascii="黑体" w:hAnsi="黑体" w:eastAsia="黑体" w:cs="黑体"/>
                <w:color w:val="000000" w:themeColor="text1"/>
                <w:sz w:val="24"/>
                <w:szCs w:val="24"/>
                <w:highlight w:val="none"/>
                <w14:textFill>
                  <w14:solidFill>
                    <w14:schemeClr w14:val="tx1"/>
                  </w14:solidFill>
                </w14:textFill>
              </w:rPr>
              <w:t>2025年重点任务</w:t>
            </w:r>
          </w:p>
        </w:tc>
        <w:tc>
          <w:tcPr>
            <w:tcW w:w="2919" w:type="dxa"/>
            <w:vAlign w:val="center"/>
          </w:tcPr>
          <w:p>
            <w:pPr>
              <w:spacing w:line="300" w:lineRule="exact"/>
              <w:jc w:val="center"/>
              <w:rPr>
                <w:rFonts w:ascii="黑体" w:hAnsi="黑体" w:eastAsia="黑体" w:cs="黑体"/>
                <w:color w:val="000000" w:themeColor="text1"/>
                <w:sz w:val="24"/>
                <w:szCs w:val="24"/>
                <w:highlight w:val="none"/>
                <w14:textFill>
                  <w14:solidFill>
                    <w14:schemeClr w14:val="tx1"/>
                  </w14:solidFill>
                </w14:textFill>
              </w:rPr>
            </w:pPr>
            <w:r>
              <w:rPr>
                <w:rFonts w:hint="eastAsia" w:ascii="黑体" w:hAnsi="黑体" w:eastAsia="黑体" w:cs="黑体"/>
                <w:color w:val="000000" w:themeColor="text1"/>
                <w:sz w:val="24"/>
                <w:szCs w:val="24"/>
                <w:highlight w:val="none"/>
                <w14:textFill>
                  <w14:solidFill>
                    <w14:schemeClr w14:val="tx1"/>
                  </w14:solidFill>
                </w14:textFill>
              </w:rPr>
              <w:t>2026年重点任务</w:t>
            </w:r>
          </w:p>
        </w:tc>
        <w:tc>
          <w:tcPr>
            <w:tcW w:w="2400" w:type="dxa"/>
            <w:vAlign w:val="center"/>
          </w:tcPr>
          <w:p>
            <w:pPr>
              <w:spacing w:line="300" w:lineRule="exact"/>
              <w:jc w:val="center"/>
              <w:rPr>
                <w:rFonts w:ascii="黑体" w:hAnsi="黑体" w:eastAsia="黑体" w:cs="黑体"/>
                <w:color w:val="000000" w:themeColor="text1"/>
                <w:sz w:val="24"/>
                <w:szCs w:val="24"/>
                <w:highlight w:val="none"/>
                <w14:textFill>
                  <w14:solidFill>
                    <w14:schemeClr w14:val="tx1"/>
                  </w14:solidFill>
                </w14:textFill>
              </w:rPr>
            </w:pPr>
            <w:r>
              <w:rPr>
                <w:rFonts w:hint="eastAsia" w:ascii="黑体" w:hAnsi="黑体" w:eastAsia="黑体" w:cs="黑体"/>
                <w:color w:val="000000" w:themeColor="text1"/>
                <w:sz w:val="24"/>
                <w:szCs w:val="24"/>
                <w:highlight w:val="none"/>
                <w14:textFill>
                  <w14:solidFill>
                    <w14:schemeClr w14:val="tx1"/>
                  </w14:solidFill>
                </w14:textFill>
              </w:rPr>
              <w:t>2027年重点任务</w:t>
            </w:r>
          </w:p>
        </w:tc>
        <w:tc>
          <w:tcPr>
            <w:tcW w:w="1975" w:type="dxa"/>
            <w:vAlign w:val="center"/>
          </w:tcPr>
          <w:p>
            <w:pPr>
              <w:spacing w:line="300" w:lineRule="exact"/>
              <w:jc w:val="center"/>
              <w:rPr>
                <w:rFonts w:ascii="黑体" w:hAnsi="黑体" w:eastAsia="黑体" w:cs="黑体"/>
                <w:color w:val="000000" w:themeColor="text1"/>
                <w:sz w:val="24"/>
                <w:szCs w:val="24"/>
                <w:highlight w:val="none"/>
                <w14:textFill>
                  <w14:solidFill>
                    <w14:schemeClr w14:val="tx1"/>
                  </w14:solidFill>
                </w14:textFill>
              </w:rPr>
            </w:pPr>
            <w:r>
              <w:rPr>
                <w:rFonts w:hint="eastAsia" w:ascii="黑体" w:hAnsi="黑体" w:eastAsia="黑体" w:cs="黑体"/>
                <w:color w:val="000000" w:themeColor="text1"/>
                <w:sz w:val="24"/>
                <w:szCs w:val="24"/>
                <w:highlight w:val="none"/>
                <w14:textFill>
                  <w14:solidFill>
                    <w14:schemeClr w14:val="tx1"/>
                  </w14:solidFill>
                </w14:textFill>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75" w:hRule="atLeast"/>
        </w:trPr>
        <w:tc>
          <w:tcPr>
            <w:tcW w:w="856" w:type="dxa"/>
            <w:vAlign w:val="center"/>
          </w:tcPr>
          <w:p>
            <w:pPr>
              <w:spacing w:line="300" w:lineRule="exact"/>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w:t>
            </w:r>
          </w:p>
        </w:tc>
        <w:tc>
          <w:tcPr>
            <w:tcW w:w="1351" w:type="dxa"/>
            <w:vAlign w:val="center"/>
          </w:tcPr>
          <w:p>
            <w:pPr>
              <w:widowControl/>
              <w:spacing w:line="300" w:lineRule="exact"/>
              <w:jc w:val="left"/>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ascii="仿宋_GB2312" w:hAnsi="仿宋_GB2312" w:eastAsia="仿宋_GB2312" w:cs="仿宋_GB2312"/>
                <w:color w:val="000000" w:themeColor="text1"/>
                <w:kern w:val="0"/>
                <w:sz w:val="24"/>
                <w:szCs w:val="24"/>
                <w:highlight w:val="none"/>
                <w14:textFill>
                  <w14:solidFill>
                    <w14:schemeClr w14:val="tx1"/>
                  </w14:solidFill>
                </w14:textFill>
              </w:rPr>
              <w:t>实施老旧小区</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及城中村</w:t>
            </w:r>
            <w:r>
              <w:rPr>
                <w:rFonts w:ascii="仿宋_GB2312" w:hAnsi="仿宋_GB2312" w:eastAsia="仿宋_GB2312" w:cs="仿宋_GB2312"/>
                <w:color w:val="000000" w:themeColor="text1"/>
                <w:kern w:val="0"/>
                <w:sz w:val="24"/>
                <w:szCs w:val="24"/>
                <w:highlight w:val="none"/>
                <w14:textFill>
                  <w14:solidFill>
                    <w14:schemeClr w14:val="tx1"/>
                  </w14:solidFill>
                </w14:textFill>
              </w:rPr>
              <w:t>改造提升工程</w:t>
            </w:r>
          </w:p>
        </w:tc>
        <w:tc>
          <w:tcPr>
            <w:tcW w:w="3245" w:type="dxa"/>
            <w:shd w:val="clear" w:color="auto" w:fill="auto"/>
          </w:tcPr>
          <w:p>
            <w:pPr>
              <w:widowControl/>
              <w:spacing w:line="300" w:lineRule="exact"/>
              <w:jc w:val="left"/>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1．</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城镇老旧小区改造：新开工改造城镇老旧小区68个，续建的21个老旧小区全部完工；其中完善类30个，提升类15个；打造示范样板小区4个，实现2000年底前建成投用的城镇老旧小区应改尽改。</w:t>
            </w:r>
          </w:p>
          <w:p>
            <w:pPr>
              <w:widowControl/>
              <w:spacing w:line="300" w:lineRule="exact"/>
              <w:jc w:val="left"/>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ascii="仿宋_GB2312" w:hAnsi="仿宋_GB2312" w:eastAsia="仿宋_GB2312" w:cs="仿宋_GB2312"/>
                <w:b/>
                <w:bCs/>
                <w:color w:val="000000" w:themeColor="text1"/>
                <w:kern w:val="0"/>
                <w:sz w:val="24"/>
                <w:szCs w:val="24"/>
                <w:highlight w:val="none"/>
                <w14:textFill>
                  <w14:solidFill>
                    <w14:schemeClr w14:val="tx1"/>
                  </w14:solidFill>
                </w14:textFill>
              </w:rPr>
              <w:t>2</w:t>
            </w: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既有住宅增设电梯及老旧电梯更新：实施既有住宅电梯增设25部，</w:t>
            </w:r>
            <w:r>
              <w:rPr>
                <w:rFonts w:ascii="仿宋_GB2312" w:hAnsi="仿宋_GB2312" w:eastAsia="仿宋_GB2312" w:cs="仿宋_GB2312"/>
                <w:color w:val="000000" w:themeColor="text1"/>
                <w:kern w:val="0"/>
                <w:sz w:val="24"/>
                <w:szCs w:val="24"/>
                <w:highlight w:val="none"/>
                <w14:textFill>
                  <w14:solidFill>
                    <w14:schemeClr w14:val="tx1"/>
                  </w14:solidFill>
                </w14:textFill>
              </w:rPr>
              <w:t>重点支持在市场监管部门办理使用登记、投入使用年限满15年以上非单一产权住宅老旧电梯更新改造，优先支持使用20年以上住宅老旧电梯应换尽换</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w:t>
            </w:r>
          </w:p>
          <w:p>
            <w:pPr>
              <w:widowControl/>
              <w:spacing w:line="300" w:lineRule="exact"/>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3．</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完整社区建设：推进4个完整社区建设；统筹建设停车泊位40个、全民健身场所10个、养老服务设施</w:t>
            </w:r>
            <w:r>
              <w:rPr>
                <w:rFonts w:ascii="仿宋_GB2312" w:hAnsi="仿宋_GB2312" w:eastAsia="仿宋_GB2312" w:cs="仿宋_GB2312"/>
                <w:color w:val="000000" w:themeColor="text1"/>
                <w:kern w:val="0"/>
                <w:sz w:val="24"/>
                <w:szCs w:val="24"/>
                <w:highlight w:val="none"/>
                <w14:textFill>
                  <w14:solidFill>
                    <w14:schemeClr w14:val="tx1"/>
                  </w14:solidFill>
                </w14:textFill>
              </w:rPr>
              <w:t>1</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个。</w:t>
            </w:r>
          </w:p>
        </w:tc>
        <w:tc>
          <w:tcPr>
            <w:tcW w:w="2919" w:type="dxa"/>
            <w:shd w:val="clear" w:color="auto" w:fill="auto"/>
          </w:tcPr>
          <w:p>
            <w:pPr>
              <w:widowControl/>
              <w:spacing w:line="300" w:lineRule="exact"/>
              <w:jc w:val="left"/>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1．</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城镇老旧小区改造：2025年开工改造的68个老旧小区全部完工，依据政策调整情况新开工改造2001—2005年间建成的老旧小区30个，其中完善类15个，提升类5个；打造示范样板小区3个。</w:t>
            </w:r>
          </w:p>
          <w:p>
            <w:pPr>
              <w:widowControl/>
              <w:spacing w:line="300" w:lineRule="exact"/>
              <w:jc w:val="left"/>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ascii="仿宋_GB2312" w:hAnsi="仿宋_GB2312" w:eastAsia="仿宋_GB2312" w:cs="仿宋_GB2312"/>
                <w:b/>
                <w:bCs/>
                <w:color w:val="000000" w:themeColor="text1"/>
                <w:kern w:val="0"/>
                <w:sz w:val="24"/>
                <w:szCs w:val="24"/>
                <w:highlight w:val="none"/>
                <w14:textFill>
                  <w14:solidFill>
                    <w14:schemeClr w14:val="tx1"/>
                  </w14:solidFill>
                </w14:textFill>
              </w:rPr>
              <w:t>2</w:t>
            </w: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既有住宅增设电梯及老旧电梯更新：实施既有住宅加装电梯11部</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w:t>
            </w:r>
            <w:r>
              <w:rPr>
                <w:rFonts w:ascii="仿宋_GB2312" w:hAnsi="仿宋_GB2312" w:eastAsia="仿宋_GB2312" w:cs="仿宋_GB2312"/>
                <w:color w:val="000000" w:themeColor="text1"/>
                <w:kern w:val="0"/>
                <w:sz w:val="24"/>
                <w:szCs w:val="24"/>
                <w:highlight w:val="none"/>
                <w14:textFill>
                  <w14:solidFill>
                    <w14:schemeClr w14:val="tx1"/>
                  </w14:solidFill>
                </w14:textFill>
              </w:rPr>
              <w:t>重点支持在市场监管部门办理使用登记、投入使用年限满15年以上非单一产权住宅老旧电梯更新改造，优先支持使用20年以上住宅老旧电梯应换尽换</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w:t>
            </w:r>
          </w:p>
          <w:p>
            <w:pPr>
              <w:widowControl/>
              <w:spacing w:line="300" w:lineRule="exact"/>
              <w:jc w:val="left"/>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3．</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完整社区建设：推进6个完整社区建设；统筹建设停车泊位40个、全民健身场所10个、养老服务设施1个。</w:t>
            </w:r>
          </w:p>
          <w:p>
            <w:pPr>
              <w:widowControl/>
              <w:spacing w:line="300" w:lineRule="exact"/>
              <w:jc w:val="left"/>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4．</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城中村改造：争取1个城中村改造项目纳入国家改造计划并开工建设。</w:t>
            </w:r>
          </w:p>
        </w:tc>
        <w:tc>
          <w:tcPr>
            <w:tcW w:w="2400" w:type="dxa"/>
            <w:shd w:val="clear" w:color="auto" w:fill="auto"/>
          </w:tcPr>
          <w:p>
            <w:pPr>
              <w:widowControl/>
              <w:spacing w:line="300" w:lineRule="exact"/>
              <w:jc w:val="left"/>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1.</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城镇老旧小区改造：2026年开工改造的30个老旧小区全部完工。2027年新开工改造2001—2005年间建成的老旧小区29个，其中完善15个、提升类5个；打造示范样板小区3个。</w:t>
            </w:r>
          </w:p>
          <w:p>
            <w:pPr>
              <w:widowControl/>
              <w:spacing w:line="300" w:lineRule="exact"/>
              <w:jc w:val="left"/>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2</w:t>
            </w:r>
            <w:r>
              <w:rPr>
                <w:rFonts w:ascii="仿宋_GB2312" w:hAnsi="仿宋_GB2312" w:eastAsia="仿宋_GB2312" w:cs="仿宋_GB2312"/>
                <w:b/>
                <w:bCs/>
                <w:color w:val="000000" w:themeColor="text1"/>
                <w:kern w:val="0"/>
                <w:sz w:val="24"/>
                <w:szCs w:val="24"/>
                <w:highlight w:val="none"/>
                <w14:textFill>
                  <w14:solidFill>
                    <w14:schemeClr w14:val="tx1"/>
                  </w14:solidFill>
                </w14:textFill>
              </w:rPr>
              <w:t>.</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既有住宅增设电梯及老旧电梯更新：实施既有住宅加装电梯5部，</w:t>
            </w:r>
            <w:r>
              <w:rPr>
                <w:rFonts w:ascii="仿宋_GB2312" w:hAnsi="仿宋_GB2312" w:eastAsia="仿宋_GB2312" w:cs="仿宋_GB2312"/>
                <w:color w:val="000000" w:themeColor="text1"/>
                <w:kern w:val="0"/>
                <w:sz w:val="24"/>
                <w:szCs w:val="24"/>
                <w:highlight w:val="none"/>
                <w14:textFill>
                  <w14:solidFill>
                    <w14:schemeClr w14:val="tx1"/>
                  </w14:solidFill>
                </w14:textFill>
              </w:rPr>
              <w:t>重点支持在市场监管部门办理使用登记、投入使用年限满15年以上非单一产权住宅老旧电梯更新改造，优先支持使用20年以上住宅老旧电梯应换尽换</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w:t>
            </w:r>
          </w:p>
          <w:p>
            <w:pPr>
              <w:widowControl/>
              <w:spacing w:line="300" w:lineRule="exact"/>
              <w:jc w:val="left"/>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ascii="仿宋_GB2312" w:hAnsi="仿宋_GB2312" w:eastAsia="仿宋_GB2312" w:cs="仿宋_GB2312"/>
                <w:b/>
                <w:bCs/>
                <w:color w:val="000000" w:themeColor="text1"/>
                <w:kern w:val="0"/>
                <w:sz w:val="24"/>
                <w:szCs w:val="24"/>
                <w:highlight w:val="none"/>
                <w14:textFill>
                  <w14:solidFill>
                    <w14:schemeClr w14:val="tx1"/>
                  </w14:solidFill>
                </w14:textFill>
              </w:rPr>
              <w:t>3</w:t>
            </w: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完整社区建设：推进8个完整社区建设，老旧城区居住环境显著改善，居住服务功能和品质得到全面提升。</w:t>
            </w:r>
          </w:p>
          <w:p>
            <w:pPr>
              <w:widowControl/>
              <w:spacing w:line="300" w:lineRule="exact"/>
              <w:jc w:val="left"/>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4．</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城中村改造：6个城中村条件成熟的项目全部实现开工，城中村改造取得阶段性成效。</w:t>
            </w:r>
          </w:p>
        </w:tc>
        <w:tc>
          <w:tcPr>
            <w:tcW w:w="1975" w:type="dxa"/>
            <w:shd w:val="clear" w:color="auto" w:fill="auto"/>
          </w:tcPr>
          <w:p>
            <w:pPr>
              <w:widowControl/>
              <w:spacing w:line="300" w:lineRule="exact"/>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区住房城乡建设局，区委社会工作部、区发展改革委、区教育和体育局、市公安局东区分局、区民政局、区财政局、市自然资源和规划局东区分局、区商务局、区卫生健康委、区综合行政执法局；各街道（镇）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8" w:hRule="atLeast"/>
        </w:trPr>
        <w:tc>
          <w:tcPr>
            <w:tcW w:w="856" w:type="dxa"/>
            <w:vAlign w:val="center"/>
          </w:tcPr>
          <w:p>
            <w:pPr>
              <w:spacing w:line="300" w:lineRule="exact"/>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w:t>
            </w:r>
          </w:p>
        </w:tc>
        <w:tc>
          <w:tcPr>
            <w:tcW w:w="1351" w:type="dxa"/>
            <w:vAlign w:val="center"/>
          </w:tcPr>
          <w:p>
            <w:pPr>
              <w:widowControl/>
              <w:spacing w:line="300" w:lineRule="exact"/>
              <w:jc w:val="left"/>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实施老旧街区及历史文化街区改造提升工程</w:t>
            </w:r>
          </w:p>
        </w:tc>
        <w:tc>
          <w:tcPr>
            <w:tcW w:w="3245" w:type="dxa"/>
            <w:shd w:val="clear" w:color="auto" w:fill="auto"/>
          </w:tcPr>
          <w:p>
            <w:pPr>
              <w:widowControl/>
              <w:spacing w:line="300" w:lineRule="exact"/>
              <w:jc w:val="left"/>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5．</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老旧街区（厂区）转型提质：积极争取中央预算内投资等上级资金对老旧街区（厂区）改造提升的支持，打捆包装东区大梯道-望江、5</w:t>
            </w:r>
            <w:r>
              <w:rPr>
                <w:rFonts w:ascii="仿宋_GB2312" w:hAnsi="仿宋_GB2312" w:eastAsia="仿宋_GB2312" w:cs="仿宋_GB2312"/>
                <w:color w:val="000000" w:themeColor="text1"/>
                <w:kern w:val="0"/>
                <w:sz w:val="24"/>
                <w:szCs w:val="24"/>
                <w:highlight w:val="none"/>
                <w14:textFill>
                  <w14:solidFill>
                    <w14:schemeClr w14:val="tx1"/>
                  </w14:solidFill>
                </w14:textFill>
              </w:rPr>
              <w:t>01</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电厂-大渡口、城市原点、紫荆山鸿海巷4个城市更新重点片区提升项目，适时启动建设。完成东区望江片区等1个老旧街区的改造提升。</w:t>
            </w:r>
          </w:p>
          <w:p>
            <w:pPr>
              <w:widowControl/>
              <w:spacing w:line="300" w:lineRule="exact"/>
              <w:jc w:val="left"/>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6．</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道路沿线风貌整治：围绕城市干道沿线开展风貌专项整治，启动东区攀枝花大道东段（星悦茂路段）、人民街、炳清路-钢城大道西段等路段风貌整治，配套开展环卫设施新（改）建，打造成为“最美阳台”示范点位或示范段。同时，配合主干道沿线的风貌整治，同步推动兰谱路、鸿海巷、金泉苑三个背街小巷通过规范商业外摆、加强环境整治、开展绿化美化、完善基础设施等方式进行规整提升。</w:t>
            </w:r>
          </w:p>
          <w:p>
            <w:pPr>
              <w:widowControl/>
              <w:spacing w:line="300" w:lineRule="exact"/>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7．</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历史文化街区保护提升：完成兰谱路历史文化街区保护提升、城市原点基础设施及工业旅游文旅融合项目打造。</w:t>
            </w:r>
          </w:p>
        </w:tc>
        <w:tc>
          <w:tcPr>
            <w:tcW w:w="2919" w:type="dxa"/>
            <w:shd w:val="clear" w:color="auto" w:fill="auto"/>
          </w:tcPr>
          <w:p>
            <w:pPr>
              <w:widowControl/>
              <w:spacing w:line="300" w:lineRule="exact"/>
              <w:jc w:val="left"/>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5．</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老旧街区（厂区）转型提质：重点结合“金沙不夜城”的打造，打通阳光大梯道至银江湖公园的连接线，基本呈现5</w:t>
            </w:r>
            <w:r>
              <w:rPr>
                <w:rFonts w:ascii="仿宋_GB2312" w:hAnsi="仿宋_GB2312" w:eastAsia="仿宋_GB2312" w:cs="仿宋_GB2312"/>
                <w:color w:val="000000" w:themeColor="text1"/>
                <w:kern w:val="0"/>
                <w:sz w:val="24"/>
                <w:szCs w:val="24"/>
                <w:highlight w:val="none"/>
                <w14:textFill>
                  <w14:solidFill>
                    <w14:schemeClr w14:val="tx1"/>
                  </w14:solidFill>
                </w14:textFill>
              </w:rPr>
              <w:t>01</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厂等区域更新改造效果，通过植入文旅产业、发展夜间经济等，转型提升大梯道周边业态，重塑攀枝花“地标性”商业街区。持续推进其余6处城市更新示范片区改造。结合政策支持情况，持续包装一批老旧街区（厂区）转型提质项目，争取上级资金支持。</w:t>
            </w:r>
          </w:p>
          <w:p>
            <w:pPr>
              <w:widowControl/>
              <w:spacing w:line="300" w:lineRule="exact"/>
              <w:jc w:val="left"/>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6．</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道路沿线风貌整治：完成东区攀枝花大道东段（星悦茂路段）等路段风貌整治，打造一批具有观赏性和示范性的城市“最美阳台”。继续整治提升一批条件成熟的背街小巷，整体提升城市风貌，打造示范点位不少于3个。</w:t>
            </w:r>
          </w:p>
          <w:p>
            <w:pPr>
              <w:widowControl/>
              <w:spacing w:line="300" w:lineRule="exact"/>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7．</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历史文化街区保护提升：实施大渡口街历史文化街区保护提升、历史建筑保护修缮项目，充分利用三线建设时期的传统风貌建筑遗存，打造党性教育、文化宣传和红色文化旅游基地。</w:t>
            </w:r>
          </w:p>
        </w:tc>
        <w:tc>
          <w:tcPr>
            <w:tcW w:w="2400" w:type="dxa"/>
            <w:shd w:val="clear" w:color="auto" w:fill="auto"/>
          </w:tcPr>
          <w:p>
            <w:pPr>
              <w:widowControl/>
              <w:spacing w:line="300" w:lineRule="exact"/>
              <w:jc w:val="left"/>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5．</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老旧街区（厂区）转型提质：积极引入社会资本，统筹推进大梯道-望江、5</w:t>
            </w:r>
            <w:r>
              <w:rPr>
                <w:rFonts w:ascii="仿宋_GB2312" w:hAnsi="仿宋_GB2312" w:eastAsia="仿宋_GB2312" w:cs="仿宋_GB2312"/>
                <w:color w:val="000000" w:themeColor="text1"/>
                <w:kern w:val="0"/>
                <w:sz w:val="24"/>
                <w:szCs w:val="24"/>
                <w:highlight w:val="none"/>
                <w14:textFill>
                  <w14:solidFill>
                    <w14:schemeClr w14:val="tx1"/>
                  </w14:solidFill>
                </w14:textFill>
              </w:rPr>
              <w:t>01</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电厂-大渡口、城市原点三大片区功能业态融合发展，联合盘活片区内老旧商业综合体，再现昔日繁华。基本完成其余6处</w:t>
            </w:r>
            <w:r>
              <w:rPr>
                <w:rFonts w:ascii="仿宋_GB2312" w:hAnsi="仿宋_GB2312" w:eastAsia="仿宋_GB2312" w:cs="仿宋_GB2312"/>
                <w:color w:val="000000" w:themeColor="text1"/>
                <w:kern w:val="0"/>
                <w:sz w:val="24"/>
                <w:szCs w:val="24"/>
                <w:highlight w:val="none"/>
                <w14:textFill>
                  <w14:solidFill>
                    <w14:schemeClr w14:val="tx1"/>
                  </w14:solidFill>
                </w14:textFill>
              </w:rPr>
              <w:t>老旧街</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（厂）</w:t>
            </w:r>
            <w:r>
              <w:rPr>
                <w:rFonts w:ascii="仿宋_GB2312" w:hAnsi="仿宋_GB2312" w:eastAsia="仿宋_GB2312" w:cs="仿宋_GB2312"/>
                <w:color w:val="000000" w:themeColor="text1"/>
                <w:kern w:val="0"/>
                <w:sz w:val="24"/>
                <w:szCs w:val="24"/>
                <w:highlight w:val="none"/>
                <w14:textFill>
                  <w14:solidFill>
                    <w14:schemeClr w14:val="tx1"/>
                  </w14:solidFill>
                </w14:textFill>
              </w:rPr>
              <w:t>区改造升级</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，有序推动一批老旧商业街区和老旧厂区实现改造升级。</w:t>
            </w:r>
          </w:p>
          <w:p>
            <w:pPr>
              <w:widowControl/>
              <w:spacing w:line="300" w:lineRule="exact"/>
              <w:jc w:val="left"/>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6．</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道路沿线风貌整治：主干道沿线风貌专项整治工作全面完成，“最美阳台”打造取得明显成效，街区“容颜”更加精致；背街小巷配合主干道沿线的整治更加协调有序，形成一批精品街道、城市客厅，城市风貌更加特色美观，符合现代化时尚城市气质。</w:t>
            </w:r>
          </w:p>
          <w:p>
            <w:pPr>
              <w:widowControl/>
              <w:spacing w:line="300" w:lineRule="exact"/>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7．</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历史文化街区保护提升：系统完整的保护规划体系基本建成，完成大渡口街历史文化街区保护提升，形成若干以用促保，保用结合的活化利用经验，全力申报创建国家历史文化名城。</w:t>
            </w:r>
          </w:p>
        </w:tc>
        <w:tc>
          <w:tcPr>
            <w:tcW w:w="1975" w:type="dxa"/>
            <w:shd w:val="clear" w:color="auto" w:fill="auto"/>
          </w:tcPr>
          <w:p>
            <w:pPr>
              <w:widowControl/>
              <w:spacing w:line="300" w:lineRule="exact"/>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区住房城乡建设局、 区综合行政执法局、区发展和改革局、区商务局，区财政局、市自然资源和规划局东区分局、区文广旅局、区经信局；各街道（镇）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spacing w:line="300" w:lineRule="exact"/>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w:t>
            </w:r>
          </w:p>
        </w:tc>
        <w:tc>
          <w:tcPr>
            <w:tcW w:w="1351" w:type="dxa"/>
            <w:vAlign w:val="center"/>
          </w:tcPr>
          <w:p>
            <w:pPr>
              <w:widowControl/>
              <w:spacing w:line="300" w:lineRule="exact"/>
              <w:jc w:val="left"/>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实施棚改土地盘活改造提升工程</w:t>
            </w:r>
          </w:p>
        </w:tc>
        <w:tc>
          <w:tcPr>
            <w:tcW w:w="3245" w:type="dxa"/>
            <w:shd w:val="clear" w:color="auto" w:fill="auto"/>
          </w:tcPr>
          <w:p>
            <w:pPr>
              <w:widowControl/>
              <w:spacing w:line="300" w:lineRule="exact"/>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ascii="仿宋_GB2312" w:hAnsi="仿宋_GB2312" w:eastAsia="仿宋_GB2312" w:cs="仿宋_GB2312"/>
                <w:b/>
                <w:bCs/>
                <w:color w:val="000000" w:themeColor="text1"/>
                <w:kern w:val="0"/>
                <w:sz w:val="24"/>
                <w:szCs w:val="24"/>
                <w:highlight w:val="none"/>
                <w14:textFill>
                  <w14:solidFill>
                    <w14:schemeClr w14:val="tx1"/>
                  </w14:solidFill>
                </w14:textFill>
              </w:rPr>
              <w:t>8</w:t>
            </w: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棚改土地的盘活利用。按照“时间节点往前赶、盘活进度往前推”的原则，进一步优化“常规土地”“问题土地”两张清单，调整盘活目标、盘活方式和时间节点，全面启动剩余棚改楼栋拆除工作，有序推进棚改土地盘活利用。2025年，“常规土地”（指无权属争议且位于城市控规内的土地）上已腾空未拆的86栋房屋全部完成拆除或保留利用；全年盘活利用210亩；摸清“问题土地”（指与大企业存在权属争议或位于城市控规外等土地）争议焦点，加强与攀钢等大企业的沟通协调，推动“问题土地”各方基本达成一致意见。</w:t>
            </w:r>
          </w:p>
        </w:tc>
        <w:tc>
          <w:tcPr>
            <w:tcW w:w="2919" w:type="dxa"/>
            <w:shd w:val="clear" w:color="auto" w:fill="auto"/>
          </w:tcPr>
          <w:p>
            <w:pPr>
              <w:widowControl/>
              <w:spacing w:line="300" w:lineRule="exact"/>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8．</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棚改土地的盘活利用。密切跟踪各棚改地块盘活利用工作进展，逐地块、逐项目推动盘活过程中的难点堵点问题解决，逐步健全棚改土地盘活利用机制，提高土地盘活效率。2026年，完成“常规土地”上26栋未腾空楼栋的征拆或保留利用；完成“问题土地”上已腾空未拆除的115栋房屋拆除或保留利用；全年盘活利用156亩棚改土地，持续推进棚改“问题土地”盘活利用工作。</w:t>
            </w:r>
          </w:p>
        </w:tc>
        <w:tc>
          <w:tcPr>
            <w:tcW w:w="2400" w:type="dxa"/>
            <w:shd w:val="clear" w:color="auto" w:fill="auto"/>
          </w:tcPr>
          <w:p>
            <w:pPr>
              <w:widowControl/>
              <w:spacing w:line="300" w:lineRule="exact"/>
              <w:jc w:val="left"/>
              <w:rPr>
                <w:rFonts w:ascii="仿宋_GB2312" w:hAnsi="仿宋_GB2312" w:eastAsia="仿宋_GB2312" w:cs="仿宋_GB2312"/>
                <w:color w:val="000000" w:themeColor="text1"/>
                <w:sz w:val="24"/>
                <w:szCs w:val="24"/>
                <w:highlight w:val="none"/>
                <w14:textFill>
                  <w14:solidFill>
                    <w14:schemeClr w14:val="tx1"/>
                  </w14:solidFill>
                </w14:textFill>
              </w:rPr>
            </w:pPr>
            <w:bookmarkStart w:id="9" w:name="OLE_LINK7"/>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8．</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棚改土地的盘活利用。推动机制高效运行，棚改楼栋实现全面“清零”，保留楼栋完成活化利用；22</w:t>
            </w:r>
            <w:r>
              <w:rPr>
                <w:rFonts w:ascii="仿宋_GB2312" w:hAnsi="仿宋_GB2312" w:eastAsia="仿宋_GB2312" w:cs="仿宋_GB2312"/>
                <w:color w:val="000000" w:themeColor="text1"/>
                <w:kern w:val="0"/>
                <w:sz w:val="24"/>
                <w:szCs w:val="24"/>
                <w:highlight w:val="none"/>
                <w14:textFill>
                  <w14:solidFill>
                    <w14:schemeClr w14:val="tx1"/>
                  </w14:solidFill>
                </w14:textFill>
              </w:rPr>
              <w:t>6</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宗棚改剩余土地实现盘活，形成“棚改土地—城市更新—环境改善—优势提升”的良性循环路径，在城市更新中实现棚改土地“大片区激活价值、小地块缝合民生”的双重目标。</w:t>
            </w:r>
            <w:bookmarkEnd w:id="9"/>
          </w:p>
        </w:tc>
        <w:tc>
          <w:tcPr>
            <w:tcW w:w="1975" w:type="dxa"/>
            <w:shd w:val="clear" w:color="auto" w:fill="auto"/>
          </w:tcPr>
          <w:p>
            <w:pPr>
              <w:widowControl/>
              <w:spacing w:line="300" w:lineRule="exact"/>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区住房城乡建设局、市自然资源和规划局东区分局、区财政局，区经济和信息化局、区教育和体育局、区经济合作局、区土储中心；各街道（镇）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6" w:type="dxa"/>
            <w:vAlign w:val="center"/>
          </w:tcPr>
          <w:p>
            <w:pPr>
              <w:spacing w:line="300" w:lineRule="exact"/>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w:t>
            </w:r>
          </w:p>
        </w:tc>
        <w:tc>
          <w:tcPr>
            <w:tcW w:w="1351" w:type="dxa"/>
            <w:vAlign w:val="center"/>
          </w:tcPr>
          <w:p>
            <w:pPr>
              <w:widowControl/>
              <w:spacing w:line="300" w:lineRule="exact"/>
              <w:jc w:val="left"/>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实施城镇既有建筑改造提升工程</w:t>
            </w:r>
          </w:p>
        </w:tc>
        <w:tc>
          <w:tcPr>
            <w:tcW w:w="3245" w:type="dxa"/>
            <w:shd w:val="clear" w:color="auto" w:fill="auto"/>
          </w:tcPr>
          <w:p>
            <w:pPr>
              <w:widowControl/>
              <w:spacing w:line="300" w:lineRule="exact"/>
              <w:jc w:val="left"/>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ascii="仿宋_GB2312" w:hAnsi="仿宋_GB2312" w:eastAsia="仿宋_GB2312" w:cs="仿宋_GB2312"/>
                <w:b/>
                <w:bCs/>
                <w:color w:val="000000" w:themeColor="text1"/>
                <w:kern w:val="0"/>
                <w:sz w:val="24"/>
                <w:szCs w:val="24"/>
                <w:highlight w:val="none"/>
                <w14:textFill>
                  <w14:solidFill>
                    <w14:schemeClr w14:val="tx1"/>
                  </w14:solidFill>
                </w14:textFill>
              </w:rPr>
              <w:t>9</w:t>
            </w: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城市危旧房改造：完成48栋755户城市危旧房改造。现有D级危房全部纳入改造，实现D级危房清零目标。</w:t>
            </w:r>
          </w:p>
          <w:p>
            <w:pPr>
              <w:widowControl/>
              <w:spacing w:line="300" w:lineRule="exact"/>
              <w:jc w:val="left"/>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ascii="仿宋_GB2312" w:hAnsi="仿宋_GB2312" w:eastAsia="仿宋_GB2312" w:cs="仿宋_GB2312"/>
                <w:b/>
                <w:bCs/>
                <w:color w:val="000000" w:themeColor="text1"/>
                <w:kern w:val="0"/>
                <w:sz w:val="24"/>
                <w:szCs w:val="24"/>
                <w:highlight w:val="none"/>
                <w14:textFill>
                  <w14:solidFill>
                    <w14:schemeClr w14:val="tx1"/>
                  </w14:solidFill>
                </w14:textFill>
              </w:rPr>
              <w:t>10.</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开展十九冶办公大楼、攀枝花大道东段535号、中心广场邮电大楼等点位建筑安全整治。</w:t>
            </w:r>
          </w:p>
          <w:p>
            <w:pPr>
              <w:widowControl/>
              <w:spacing w:line="300" w:lineRule="exact"/>
              <w:jc w:val="left"/>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ascii="仿宋_GB2312" w:hAnsi="仿宋_GB2312" w:eastAsia="仿宋_GB2312" w:cs="仿宋_GB2312"/>
                <w:b/>
                <w:bCs/>
                <w:color w:val="000000" w:themeColor="text1"/>
                <w:kern w:val="0"/>
                <w:sz w:val="24"/>
                <w:szCs w:val="24"/>
                <w:highlight w:val="none"/>
                <w14:textFill>
                  <w14:solidFill>
                    <w14:schemeClr w14:val="tx1"/>
                  </w14:solidFill>
                </w14:textFill>
              </w:rPr>
              <w:t>11.</w:t>
            </w:r>
            <w:r>
              <w:rPr>
                <w:rFonts w:hint="eastAsia" w:ascii="仿宋" w:hAnsi="仿宋" w:cs="仿宋"/>
                <w:color w:val="000000" w:themeColor="text1"/>
                <w:szCs w:val="32"/>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在东区商业楼宇绿色低碳智慧化改造项目等点位实施既有建筑节能改造试点示范，城镇新建建筑全面执行绿色建筑标准。</w:t>
            </w:r>
          </w:p>
          <w:p>
            <w:pPr>
              <w:widowControl/>
              <w:spacing w:line="300" w:lineRule="exact"/>
              <w:jc w:val="left"/>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1</w:t>
            </w:r>
            <w:r>
              <w:rPr>
                <w:rFonts w:ascii="仿宋_GB2312" w:hAnsi="仿宋_GB2312" w:eastAsia="仿宋_GB2312" w:cs="仿宋_GB2312"/>
                <w:b/>
                <w:bCs/>
                <w:color w:val="000000" w:themeColor="text1"/>
                <w:kern w:val="0"/>
                <w:sz w:val="24"/>
                <w:szCs w:val="24"/>
                <w:highlight w:val="none"/>
                <w14:textFill>
                  <w14:solidFill>
                    <w14:schemeClr w14:val="tx1"/>
                  </w14:solidFill>
                </w14:textFill>
              </w:rPr>
              <w:t>2.</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实施攀枝花宾馆、“开了个花”文艺院子、拙务园文化艺术空间等项目既有建筑改造利用。</w:t>
            </w:r>
          </w:p>
        </w:tc>
        <w:tc>
          <w:tcPr>
            <w:tcW w:w="2919" w:type="dxa"/>
            <w:shd w:val="clear" w:color="auto" w:fill="auto"/>
          </w:tcPr>
          <w:p>
            <w:pPr>
              <w:widowControl/>
              <w:spacing w:line="300" w:lineRule="exact"/>
              <w:jc w:val="left"/>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ascii="仿宋_GB2312" w:hAnsi="仿宋_GB2312" w:eastAsia="仿宋_GB2312" w:cs="仿宋_GB2312"/>
                <w:b/>
                <w:bCs/>
                <w:color w:val="000000" w:themeColor="text1"/>
                <w:kern w:val="0"/>
                <w:sz w:val="24"/>
                <w:szCs w:val="24"/>
                <w:highlight w:val="none"/>
                <w14:textFill>
                  <w14:solidFill>
                    <w14:schemeClr w14:val="tx1"/>
                  </w14:solidFill>
                </w14:textFill>
              </w:rPr>
              <w:t>9</w:t>
            </w: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城市危旧房改造：完成28栋404户C级城市危旧房改造，城市危房整治率达到80%以上。</w:t>
            </w:r>
          </w:p>
          <w:p>
            <w:pPr>
              <w:widowControl/>
              <w:spacing w:line="300" w:lineRule="exact"/>
              <w:jc w:val="left"/>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ascii="仿宋_GB2312" w:hAnsi="仿宋_GB2312" w:eastAsia="仿宋_GB2312" w:cs="仿宋_GB2312"/>
                <w:b/>
                <w:bCs/>
                <w:color w:val="000000" w:themeColor="text1"/>
                <w:kern w:val="0"/>
                <w:sz w:val="24"/>
                <w:szCs w:val="24"/>
                <w:highlight w:val="none"/>
                <w14:textFill>
                  <w14:solidFill>
                    <w14:schemeClr w14:val="tx1"/>
                  </w14:solidFill>
                </w14:textFill>
              </w:rPr>
              <w:t>10.</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持续开展建筑安全隐患动态监测，健全“隐患排查、清单管理、分类整治、验收销号”的全闭环危房排查整治机制。</w:t>
            </w:r>
          </w:p>
          <w:p>
            <w:pPr>
              <w:widowControl/>
              <w:spacing w:line="300" w:lineRule="exact"/>
              <w:jc w:val="left"/>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1</w:t>
            </w:r>
            <w:r>
              <w:rPr>
                <w:rFonts w:ascii="仿宋_GB2312" w:hAnsi="仿宋_GB2312" w:eastAsia="仿宋_GB2312" w:cs="仿宋_GB2312"/>
                <w:b/>
                <w:bCs/>
                <w:color w:val="000000" w:themeColor="text1"/>
                <w:kern w:val="0"/>
                <w:sz w:val="24"/>
                <w:szCs w:val="24"/>
                <w:highlight w:val="none"/>
                <w14:textFill>
                  <w14:solidFill>
                    <w14:schemeClr w14:val="tx1"/>
                  </w14:solidFill>
                </w14:textFill>
              </w:rPr>
              <w:t>1.</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城镇新建建筑全面执行绿色建筑标准。持续推进既有居住建筑和公共建筑节能改造。 </w:t>
            </w:r>
          </w:p>
          <w:p>
            <w:pPr>
              <w:widowControl/>
              <w:spacing w:line="300" w:lineRule="exact"/>
              <w:jc w:val="left"/>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1</w:t>
            </w:r>
            <w:r>
              <w:rPr>
                <w:rFonts w:ascii="仿宋_GB2312" w:hAnsi="仿宋_GB2312" w:eastAsia="仿宋_GB2312" w:cs="仿宋_GB2312"/>
                <w:b/>
                <w:bCs/>
                <w:color w:val="000000" w:themeColor="text1"/>
                <w:kern w:val="0"/>
                <w:sz w:val="24"/>
                <w:szCs w:val="24"/>
                <w:highlight w:val="none"/>
                <w14:textFill>
                  <w14:solidFill>
                    <w14:schemeClr w14:val="tx1"/>
                  </w14:solidFill>
                </w14:textFill>
              </w:rPr>
              <w:t>2.</w:t>
            </w:r>
            <w:r>
              <w:rPr>
                <w:rFonts w:hint="eastAsia" w:ascii="仿宋" w:hAnsi="仿宋" w:cs="仿宋"/>
                <w:color w:val="000000" w:themeColor="text1"/>
                <w:szCs w:val="32"/>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持续开展对既有商业设施、文化设施、闲置办公用房、闲置厂房建筑的改造利用，争取阿署达工业文化创意产业区（尾矿库泵房升级改造）等项目落地实施。</w:t>
            </w:r>
          </w:p>
        </w:tc>
        <w:tc>
          <w:tcPr>
            <w:tcW w:w="2400" w:type="dxa"/>
            <w:shd w:val="clear" w:color="auto" w:fill="auto"/>
          </w:tcPr>
          <w:p>
            <w:pPr>
              <w:widowControl/>
              <w:spacing w:line="300" w:lineRule="exact"/>
              <w:jc w:val="left"/>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ascii="仿宋_GB2312" w:hAnsi="仿宋_GB2312" w:eastAsia="仿宋_GB2312" w:cs="仿宋_GB2312"/>
                <w:b/>
                <w:bCs/>
                <w:color w:val="000000" w:themeColor="text1"/>
                <w:kern w:val="0"/>
                <w:sz w:val="24"/>
                <w:szCs w:val="24"/>
                <w:highlight w:val="none"/>
                <w14:textFill>
                  <w14:solidFill>
                    <w14:schemeClr w14:val="tx1"/>
                  </w14:solidFill>
                </w14:textFill>
              </w:rPr>
              <w:t>9</w:t>
            </w: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城市危旧房改造：完成6栋101户C级城市危旧房改造，全面消除现有城市危旧房安全隐患。</w:t>
            </w:r>
          </w:p>
          <w:p>
            <w:pPr>
              <w:widowControl/>
              <w:spacing w:line="300" w:lineRule="exact"/>
              <w:jc w:val="left"/>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ascii="仿宋_GB2312" w:hAnsi="仿宋_GB2312" w:eastAsia="仿宋_GB2312" w:cs="仿宋_GB2312"/>
                <w:b/>
                <w:bCs/>
                <w:color w:val="000000" w:themeColor="text1"/>
                <w:kern w:val="0"/>
                <w:sz w:val="24"/>
                <w:szCs w:val="24"/>
                <w:highlight w:val="none"/>
                <w14:textFill>
                  <w14:solidFill>
                    <w14:schemeClr w14:val="tx1"/>
                  </w14:solidFill>
                </w14:textFill>
              </w:rPr>
              <w:t>10.</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持续开展建筑安全隐患动态监测，实现安全隐患动态清零。</w:t>
            </w:r>
          </w:p>
          <w:p>
            <w:pPr>
              <w:widowControl/>
              <w:spacing w:line="300" w:lineRule="exact"/>
              <w:jc w:val="left"/>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1</w:t>
            </w:r>
            <w:r>
              <w:rPr>
                <w:rFonts w:ascii="仿宋_GB2312" w:hAnsi="仿宋_GB2312" w:eastAsia="仿宋_GB2312" w:cs="仿宋_GB2312"/>
                <w:b/>
                <w:bCs/>
                <w:color w:val="000000" w:themeColor="text1"/>
                <w:kern w:val="0"/>
                <w:sz w:val="24"/>
                <w:szCs w:val="24"/>
                <w:highlight w:val="none"/>
                <w14:textFill>
                  <w14:solidFill>
                    <w14:schemeClr w14:val="tx1"/>
                  </w14:solidFill>
                </w14:textFill>
              </w:rPr>
              <w:t>1.</w:t>
            </w:r>
            <w:r>
              <w:rPr>
                <w:rFonts w:hint="eastAsia" w:ascii="仿宋" w:hAnsi="仿宋"/>
                <w:color w:val="000000" w:themeColor="text1"/>
                <w:szCs w:val="32"/>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实现新增既有建筑节能改造面积600万平方米以上。</w:t>
            </w:r>
          </w:p>
          <w:p>
            <w:pPr>
              <w:widowControl/>
              <w:spacing w:line="300" w:lineRule="exact"/>
              <w:jc w:val="left"/>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1</w:t>
            </w:r>
            <w:r>
              <w:rPr>
                <w:rFonts w:ascii="仿宋_GB2312" w:hAnsi="仿宋_GB2312" w:eastAsia="仿宋_GB2312" w:cs="仿宋_GB2312"/>
                <w:b/>
                <w:bCs/>
                <w:color w:val="000000" w:themeColor="text1"/>
                <w:kern w:val="0"/>
                <w:sz w:val="24"/>
                <w:szCs w:val="24"/>
                <w:highlight w:val="none"/>
                <w14:textFill>
                  <w14:solidFill>
                    <w14:schemeClr w14:val="tx1"/>
                  </w14:solidFill>
                </w14:textFill>
              </w:rPr>
              <w:t>2.</w:t>
            </w: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形成一批既有商业设施、文化设施、闲置办公用房、闲置厂房建筑高效盘活利用示范。</w:t>
            </w:r>
          </w:p>
          <w:p>
            <w:pPr>
              <w:widowControl/>
              <w:spacing w:line="300" w:lineRule="exact"/>
              <w:jc w:val="left"/>
              <w:rPr>
                <w:rFonts w:ascii="仿宋_GB2312" w:hAnsi="仿宋_GB2312" w:eastAsia="仿宋_GB2312" w:cs="仿宋_GB2312"/>
                <w:color w:val="000000" w:themeColor="text1"/>
                <w:kern w:val="0"/>
                <w:sz w:val="24"/>
                <w:szCs w:val="24"/>
                <w:highlight w:val="none"/>
                <w14:textFill>
                  <w14:solidFill>
                    <w14:schemeClr w14:val="tx1"/>
                  </w14:solidFill>
                </w14:textFill>
              </w:rPr>
            </w:pPr>
          </w:p>
        </w:tc>
        <w:tc>
          <w:tcPr>
            <w:tcW w:w="1975" w:type="dxa"/>
            <w:shd w:val="clear" w:color="auto" w:fill="auto"/>
          </w:tcPr>
          <w:p>
            <w:pPr>
              <w:widowControl/>
              <w:spacing w:line="300" w:lineRule="exact"/>
              <w:jc w:val="left"/>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区住房城乡建设局、区综合行政执法局，区发展改革委、区经济和信息化局、区财政局、市自然资源和规划局东区分局、区经信局；各街道（镇）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spacing w:line="300" w:lineRule="exact"/>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ascii="仿宋_GB2312" w:hAnsi="仿宋_GB2312" w:eastAsia="仿宋_GB2312" w:cs="仿宋_GB2312"/>
                <w:color w:val="000000" w:themeColor="text1"/>
                <w:sz w:val="24"/>
                <w:szCs w:val="24"/>
                <w:highlight w:val="none"/>
                <w14:textFill>
                  <w14:solidFill>
                    <w14:schemeClr w14:val="tx1"/>
                  </w14:solidFill>
                </w14:textFill>
              </w:rPr>
              <w:t>5</w:t>
            </w:r>
          </w:p>
        </w:tc>
        <w:tc>
          <w:tcPr>
            <w:tcW w:w="1351" w:type="dxa"/>
            <w:vAlign w:val="center"/>
          </w:tcPr>
          <w:p>
            <w:pPr>
              <w:widowControl/>
              <w:spacing w:line="300" w:lineRule="exact"/>
              <w:jc w:val="left"/>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ascii="仿宋_GB2312" w:hAnsi="仿宋_GB2312" w:eastAsia="仿宋_GB2312" w:cs="仿宋_GB2312"/>
                <w:color w:val="000000" w:themeColor="text1"/>
                <w:kern w:val="0"/>
                <w:sz w:val="24"/>
                <w:szCs w:val="24"/>
                <w:highlight w:val="none"/>
                <w14:textFill>
                  <w14:solidFill>
                    <w14:schemeClr w14:val="tx1"/>
                  </w14:solidFill>
                </w14:textFill>
              </w:rPr>
              <w:t>实施</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城镇基础设施改造</w:t>
            </w:r>
            <w:r>
              <w:rPr>
                <w:rFonts w:ascii="仿宋_GB2312" w:hAnsi="仿宋_GB2312" w:eastAsia="仿宋_GB2312" w:cs="仿宋_GB2312"/>
                <w:color w:val="000000" w:themeColor="text1"/>
                <w:kern w:val="0"/>
                <w:sz w:val="24"/>
                <w:szCs w:val="24"/>
                <w:highlight w:val="none"/>
                <w14:textFill>
                  <w14:solidFill>
                    <w14:schemeClr w14:val="tx1"/>
                  </w14:solidFill>
                </w14:textFill>
              </w:rPr>
              <w:t>提升工程</w:t>
            </w:r>
          </w:p>
        </w:tc>
        <w:tc>
          <w:tcPr>
            <w:tcW w:w="3245" w:type="dxa"/>
            <w:shd w:val="clear" w:color="auto" w:fill="auto"/>
          </w:tcPr>
          <w:p>
            <w:pPr>
              <w:widowControl/>
              <w:spacing w:line="300" w:lineRule="exact"/>
              <w:jc w:val="left"/>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ascii="仿宋_GB2312" w:hAnsi="仿宋_GB2312" w:eastAsia="仿宋_GB2312" w:cs="仿宋_GB2312"/>
                <w:b/>
                <w:bCs/>
                <w:color w:val="000000" w:themeColor="text1"/>
                <w:kern w:val="0"/>
                <w:sz w:val="24"/>
                <w:szCs w:val="24"/>
                <w:highlight w:val="none"/>
                <w14:textFill>
                  <w14:solidFill>
                    <w14:schemeClr w14:val="tx1"/>
                  </w14:solidFill>
                </w14:textFill>
              </w:rPr>
              <w:t>13</w:t>
            </w: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地下管网管廊及设施建设：新改建排水管网12公里，城市生活污水集中收集率达到71%以上；新改建供水管网4公里，供水管网漏损率降低至8%；新改建燃气管网60公里，天然气置换0.6万户。</w:t>
            </w:r>
            <w:r>
              <w:rPr>
                <w:rFonts w:ascii="仿宋_GB2312" w:hAnsi="仿宋_GB2312" w:eastAsia="仿宋_GB2312" w:cs="仿宋_GB2312"/>
                <w:color w:val="000000" w:themeColor="text1"/>
                <w:kern w:val="0"/>
                <w:sz w:val="24"/>
                <w:szCs w:val="24"/>
                <w:highlight w:val="none"/>
                <w14:textFill>
                  <w14:solidFill>
                    <w14:schemeClr w14:val="tx1"/>
                  </w14:solidFill>
                </w14:textFill>
              </w:rPr>
              <w:t xml:space="preserve"> </w:t>
            </w:r>
          </w:p>
          <w:p>
            <w:pPr>
              <w:widowControl/>
              <w:spacing w:line="300" w:lineRule="exact"/>
              <w:jc w:val="left"/>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ascii="仿宋_GB2312" w:hAnsi="仿宋_GB2312" w:eastAsia="仿宋_GB2312" w:cs="仿宋_GB2312"/>
                <w:b/>
                <w:bCs/>
                <w:color w:val="000000" w:themeColor="text1"/>
                <w:kern w:val="0"/>
                <w:sz w:val="24"/>
                <w:szCs w:val="24"/>
                <w:highlight w:val="none"/>
                <w14:textFill>
                  <w14:solidFill>
                    <w14:schemeClr w14:val="tx1"/>
                  </w14:solidFill>
                </w14:textFill>
              </w:rPr>
              <w:t>14</w:t>
            </w: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完成炳草岗街道、东华街道、弄弄坪街道、瓜子坪街道、大渡口街道、银江镇1</w:t>
            </w:r>
            <w:r>
              <w:rPr>
                <w:rFonts w:ascii="仿宋_GB2312" w:hAnsi="仿宋_GB2312" w:eastAsia="仿宋_GB2312" w:cs="仿宋_GB2312"/>
                <w:color w:val="000000" w:themeColor="text1"/>
                <w:kern w:val="0"/>
                <w:sz w:val="24"/>
                <w:szCs w:val="24"/>
                <w:highlight w:val="none"/>
                <w14:textFill>
                  <w14:solidFill>
                    <w14:schemeClr w14:val="tx1"/>
                  </w14:solidFill>
                </w14:textFill>
              </w:rPr>
              <w:t>0KV</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以下电网建设，并投入使用。</w:t>
            </w:r>
            <w:r>
              <w:rPr>
                <w:rFonts w:ascii="仿宋_GB2312" w:hAnsi="仿宋_GB2312" w:eastAsia="仿宋_GB2312" w:cs="仿宋_GB2312"/>
                <w:color w:val="000000" w:themeColor="text1"/>
                <w:kern w:val="0"/>
                <w:sz w:val="24"/>
                <w:szCs w:val="24"/>
                <w:highlight w:val="none"/>
                <w14:textFill>
                  <w14:solidFill>
                    <w14:schemeClr w14:val="tx1"/>
                  </w14:solidFill>
                </w14:textFill>
              </w:rPr>
              <w:t xml:space="preserve"> </w:t>
            </w:r>
          </w:p>
          <w:p>
            <w:pPr>
              <w:widowControl/>
              <w:spacing w:line="300" w:lineRule="exact"/>
              <w:jc w:val="left"/>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1</w:t>
            </w:r>
            <w:r>
              <w:rPr>
                <w:rFonts w:ascii="仿宋_GB2312" w:hAnsi="仿宋_GB2312" w:eastAsia="仿宋_GB2312" w:cs="仿宋_GB2312"/>
                <w:b/>
                <w:bCs/>
                <w:color w:val="000000" w:themeColor="text1"/>
                <w:kern w:val="0"/>
                <w:sz w:val="24"/>
                <w:szCs w:val="24"/>
                <w:highlight w:val="none"/>
                <w14:textFill>
                  <w14:solidFill>
                    <w14:schemeClr w14:val="tx1"/>
                  </w14:solidFill>
                </w14:textFill>
              </w:rPr>
              <w:t>5</w:t>
            </w: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道路面及人行道整治：结合排水管网项目建设和老旧小区改造，实施</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奥林匹克北路等</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5条次干道路面改造提升和整治人行道约1.6万平方米。</w:t>
            </w:r>
          </w:p>
          <w:p>
            <w:pPr>
              <w:widowControl/>
              <w:spacing w:line="300" w:lineRule="exact"/>
              <w:jc w:val="left"/>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ascii="仿宋_GB2312" w:hAnsi="仿宋_GB2312" w:eastAsia="仿宋_GB2312" w:cs="仿宋_GB2312"/>
                <w:b/>
                <w:bCs/>
                <w:color w:val="000000" w:themeColor="text1"/>
                <w:kern w:val="0"/>
                <w:sz w:val="24"/>
                <w:szCs w:val="24"/>
                <w:highlight w:val="none"/>
                <w14:textFill>
                  <w14:solidFill>
                    <w14:schemeClr w14:val="tx1"/>
                  </w14:solidFill>
                </w14:textFill>
              </w:rPr>
              <w:t>16</w:t>
            </w: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道路建设</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推动公园大道建成投用、龙滩箐隧道左线工程量完成50%，龙滩路工程量完成85%；完成三线大道治堵、攀枝花大桥、炳草岗至火车南站快速通道、渡口路等项目前期工作，形成项目储备。完成S221东风凉风坳至炳草岗大桥段，G353、G227东区段等大修工程。</w:t>
            </w:r>
          </w:p>
          <w:p>
            <w:pPr>
              <w:widowControl/>
              <w:spacing w:line="300" w:lineRule="exact"/>
              <w:jc w:val="left"/>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1</w:t>
            </w:r>
            <w:r>
              <w:rPr>
                <w:rFonts w:ascii="仿宋_GB2312" w:hAnsi="仿宋_GB2312" w:eastAsia="仿宋_GB2312" w:cs="仿宋_GB2312"/>
                <w:b/>
                <w:bCs/>
                <w:color w:val="000000" w:themeColor="text1"/>
                <w:kern w:val="0"/>
                <w:sz w:val="24"/>
                <w:szCs w:val="24"/>
                <w:highlight w:val="none"/>
                <w14:textFill>
                  <w14:solidFill>
                    <w14:schemeClr w14:val="tx1"/>
                  </w14:solidFill>
                </w14:textFill>
              </w:rPr>
              <w:t>7.</w:t>
            </w:r>
            <w:r>
              <w:rPr>
                <w:rFonts w:hint="eastAsia" w:ascii="仿宋" w:hAnsi="仿宋"/>
                <w:color w:val="000000" w:themeColor="text1"/>
                <w:kern w:val="32"/>
                <w:szCs w:val="32"/>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加强5</w:t>
            </w:r>
            <w:r>
              <w:rPr>
                <w:rFonts w:ascii="仿宋_GB2312" w:hAnsi="仿宋_GB2312" w:eastAsia="仿宋_GB2312" w:cs="仿宋_GB2312"/>
                <w:color w:val="000000" w:themeColor="text1"/>
                <w:kern w:val="0"/>
                <w:sz w:val="24"/>
                <w:szCs w:val="24"/>
                <w:highlight w:val="none"/>
                <w14:textFill>
                  <w14:solidFill>
                    <w14:schemeClr w14:val="tx1"/>
                  </w14:solidFill>
                </w14:textFill>
              </w:rPr>
              <w:t>G</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基站、智慧充换电等新基建设施建设。完成攀枝花市东区城乡新基建配套项目，攀枝花东区5G基站建设项目。</w:t>
            </w:r>
          </w:p>
          <w:p>
            <w:pPr>
              <w:widowControl/>
              <w:spacing w:line="300" w:lineRule="exact"/>
              <w:jc w:val="left"/>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1</w:t>
            </w:r>
            <w:r>
              <w:rPr>
                <w:rFonts w:ascii="仿宋_GB2312" w:hAnsi="仿宋_GB2312" w:eastAsia="仿宋_GB2312" w:cs="仿宋_GB2312"/>
                <w:b/>
                <w:bCs/>
                <w:color w:val="000000" w:themeColor="text1"/>
                <w:kern w:val="0"/>
                <w:sz w:val="24"/>
                <w:szCs w:val="24"/>
                <w:highlight w:val="none"/>
                <w14:textFill>
                  <w14:solidFill>
                    <w14:schemeClr w14:val="tx1"/>
                  </w14:solidFill>
                </w14:textFill>
              </w:rPr>
              <w:t>8</w:t>
            </w: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城市生命线安全工程建设：开展燃气、桥梁、隧道、供水、排水重点领域风险评估，整合路灯监控、桥梁健康监测、燃气监测、供水管网GIS、排水管网GIS等系统数据，推进城市基础设施生命线安全工程监测平台建设。推动实施东区排水设施智慧平台建设项目。</w:t>
            </w:r>
          </w:p>
          <w:p>
            <w:pPr>
              <w:widowControl/>
              <w:spacing w:line="300" w:lineRule="exact"/>
              <w:jc w:val="left"/>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1</w:t>
            </w:r>
            <w:r>
              <w:rPr>
                <w:rFonts w:ascii="仿宋_GB2312" w:hAnsi="仿宋_GB2312" w:eastAsia="仿宋_GB2312" w:cs="仿宋_GB2312"/>
                <w:b/>
                <w:bCs/>
                <w:color w:val="000000" w:themeColor="text1"/>
                <w:kern w:val="0"/>
                <w:sz w:val="24"/>
                <w:szCs w:val="24"/>
                <w:highlight w:val="none"/>
                <w14:textFill>
                  <w14:solidFill>
                    <w14:schemeClr w14:val="tx1"/>
                  </w14:solidFill>
                </w14:textFill>
              </w:rPr>
              <w:t>9</w:t>
            </w: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市政设施安全运行治理：制定年度计划，全面开展城市窨井盖、桥梁、隧道、路灯、管网等安全隐患排查，推进窨井盖沉降破损异响、桥梁隧道混凝土脱落、路灯缺失故障、管网破损混接错接淤堵等隐患整治，加强应急保障能力建设，确保城市运行安全。推动实施东区窨井盖物联智能感知设备建设项目、东区智慧灯杆智能化改造项目。</w:t>
            </w:r>
          </w:p>
        </w:tc>
        <w:tc>
          <w:tcPr>
            <w:tcW w:w="2919" w:type="dxa"/>
            <w:shd w:val="clear" w:color="auto" w:fill="auto"/>
          </w:tcPr>
          <w:p>
            <w:pPr>
              <w:widowControl/>
              <w:spacing w:line="300" w:lineRule="exact"/>
              <w:jc w:val="left"/>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1</w:t>
            </w:r>
            <w:r>
              <w:rPr>
                <w:rFonts w:ascii="仿宋_GB2312" w:hAnsi="仿宋_GB2312" w:eastAsia="仿宋_GB2312" w:cs="仿宋_GB2312"/>
                <w:b/>
                <w:bCs/>
                <w:color w:val="000000" w:themeColor="text1"/>
                <w:kern w:val="0"/>
                <w:sz w:val="24"/>
                <w:szCs w:val="24"/>
                <w:highlight w:val="none"/>
                <w14:textFill>
                  <w14:solidFill>
                    <w14:schemeClr w14:val="tx1"/>
                  </w14:solidFill>
                </w14:textFill>
              </w:rPr>
              <w:t>3</w:t>
            </w: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地下管网管廊及设施建设：计划新改建排水管网12公里、供水管网3公里，城市生活污水集中收集率达72%以上、供水管网漏损率降低至7.5%；新建燃气管网30公里，天然气置换0.5万户。</w:t>
            </w:r>
          </w:p>
          <w:p>
            <w:pPr>
              <w:widowControl/>
              <w:spacing w:line="300" w:lineRule="exact"/>
              <w:jc w:val="left"/>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1</w:t>
            </w:r>
            <w:r>
              <w:rPr>
                <w:rFonts w:ascii="仿宋_GB2312" w:hAnsi="仿宋_GB2312" w:eastAsia="仿宋_GB2312" w:cs="仿宋_GB2312"/>
                <w:b/>
                <w:bCs/>
                <w:color w:val="000000" w:themeColor="text1"/>
                <w:kern w:val="0"/>
                <w:sz w:val="24"/>
                <w:szCs w:val="24"/>
                <w:highlight w:val="none"/>
                <w14:textFill>
                  <w14:solidFill>
                    <w14:schemeClr w14:val="tx1"/>
                  </w14:solidFill>
                </w14:textFill>
              </w:rPr>
              <w:t>4.</w:t>
            </w:r>
            <w:r>
              <w:rPr>
                <w:rFonts w:hint="eastAsia"/>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力争实施攀枝花东区高新技术产业园区地下水风险管控和修复项目、高梁坪片区工业固废填埋场工程、攀枝花市东区再生水回收利用等项目。</w:t>
            </w:r>
          </w:p>
          <w:p>
            <w:pPr>
              <w:widowControl/>
              <w:spacing w:line="300" w:lineRule="exact"/>
              <w:jc w:val="left"/>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1</w:t>
            </w:r>
            <w:r>
              <w:rPr>
                <w:rFonts w:ascii="仿宋_GB2312" w:hAnsi="仿宋_GB2312" w:eastAsia="仿宋_GB2312" w:cs="仿宋_GB2312"/>
                <w:b/>
                <w:bCs/>
                <w:color w:val="000000" w:themeColor="text1"/>
                <w:kern w:val="0"/>
                <w:sz w:val="24"/>
                <w:szCs w:val="24"/>
                <w:highlight w:val="none"/>
                <w14:textFill>
                  <w14:solidFill>
                    <w14:schemeClr w14:val="tx1"/>
                  </w14:solidFill>
                </w14:textFill>
              </w:rPr>
              <w:t>5</w:t>
            </w: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道路面及人行道整治：结合排水管网项目包装争取情况，实施益华巷、兰谱路等5条次干道路面改造提升和整治人行道约1.2万平方米。</w:t>
            </w:r>
          </w:p>
          <w:p>
            <w:pPr>
              <w:widowControl/>
              <w:spacing w:line="300" w:lineRule="exact"/>
              <w:jc w:val="left"/>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1</w:t>
            </w:r>
            <w:r>
              <w:rPr>
                <w:rFonts w:ascii="仿宋_GB2312" w:hAnsi="仿宋_GB2312" w:eastAsia="仿宋_GB2312" w:cs="仿宋_GB2312"/>
                <w:b/>
                <w:bCs/>
                <w:color w:val="000000" w:themeColor="text1"/>
                <w:kern w:val="0"/>
                <w:sz w:val="24"/>
                <w:szCs w:val="24"/>
                <w:highlight w:val="none"/>
                <w14:textFill>
                  <w14:solidFill>
                    <w14:schemeClr w14:val="tx1"/>
                  </w14:solidFill>
                </w14:textFill>
              </w:rPr>
              <w:t>6</w:t>
            </w: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道路建设</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：统筹推动龙滩路、龙滩箐隧道等建成投用。</w:t>
            </w:r>
          </w:p>
          <w:p>
            <w:pPr>
              <w:widowControl/>
              <w:spacing w:line="300" w:lineRule="exact"/>
              <w:jc w:val="left"/>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1</w:t>
            </w:r>
            <w:r>
              <w:rPr>
                <w:rFonts w:ascii="仿宋_GB2312" w:hAnsi="仿宋_GB2312" w:eastAsia="仿宋_GB2312" w:cs="仿宋_GB2312"/>
                <w:b/>
                <w:bCs/>
                <w:color w:val="000000" w:themeColor="text1"/>
                <w:kern w:val="0"/>
                <w:sz w:val="24"/>
                <w:szCs w:val="24"/>
                <w:highlight w:val="none"/>
                <w14:textFill>
                  <w14:solidFill>
                    <w14:schemeClr w14:val="tx1"/>
                  </w14:solidFill>
                </w14:textFill>
              </w:rPr>
              <w:t>7.</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加强5</w:t>
            </w:r>
            <w:r>
              <w:rPr>
                <w:rFonts w:ascii="仿宋_GB2312" w:hAnsi="仿宋_GB2312" w:eastAsia="仿宋_GB2312" w:cs="仿宋_GB2312"/>
                <w:color w:val="000000" w:themeColor="text1"/>
                <w:kern w:val="0"/>
                <w:sz w:val="24"/>
                <w:szCs w:val="24"/>
                <w:highlight w:val="none"/>
                <w14:textFill>
                  <w14:solidFill>
                    <w14:schemeClr w14:val="tx1"/>
                  </w14:solidFill>
                </w14:textFill>
              </w:rPr>
              <w:t>G</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基站、智慧充换电等新基建设施建设。完成</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东区充换电及配套设施项目，力争完成攀枝花生产服务型国家物流枢纽及周边充换电及配套项目。</w:t>
            </w:r>
          </w:p>
          <w:p>
            <w:pPr>
              <w:widowControl/>
              <w:spacing w:line="300" w:lineRule="exact"/>
              <w:jc w:val="left"/>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1</w:t>
            </w:r>
            <w:r>
              <w:rPr>
                <w:rFonts w:ascii="仿宋_GB2312" w:hAnsi="仿宋_GB2312" w:eastAsia="仿宋_GB2312" w:cs="仿宋_GB2312"/>
                <w:b/>
                <w:bCs/>
                <w:color w:val="000000" w:themeColor="text1"/>
                <w:kern w:val="0"/>
                <w:sz w:val="24"/>
                <w:szCs w:val="24"/>
                <w:highlight w:val="none"/>
                <w14:textFill>
                  <w14:solidFill>
                    <w14:schemeClr w14:val="tx1"/>
                  </w14:solidFill>
                </w14:textFill>
              </w:rPr>
              <w:t>8</w:t>
            </w: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城市生命线安全工程建设：编制智能化市政基础设施改造行动计划，因地制宜实施城市供水、排水、供电、燃气、消火栓等市政基础设施数字化改造，有效衔接城市基础设施生命线监测平台，逐步实现市政基础设施运行状况的实时监测、模拟仿真、情景构建、快速评估和大数据分析。</w:t>
            </w:r>
          </w:p>
          <w:p>
            <w:pPr>
              <w:widowControl/>
              <w:spacing w:line="300" w:lineRule="exact"/>
              <w:jc w:val="left"/>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1</w:t>
            </w:r>
            <w:r>
              <w:rPr>
                <w:rFonts w:ascii="仿宋_GB2312" w:hAnsi="仿宋_GB2312" w:eastAsia="仿宋_GB2312" w:cs="仿宋_GB2312"/>
                <w:b/>
                <w:bCs/>
                <w:color w:val="000000" w:themeColor="text1"/>
                <w:kern w:val="0"/>
                <w:sz w:val="24"/>
                <w:szCs w:val="24"/>
                <w:highlight w:val="none"/>
                <w14:textFill>
                  <w14:solidFill>
                    <w14:schemeClr w14:val="tx1"/>
                  </w14:solidFill>
                </w14:textFill>
              </w:rPr>
              <w:t>9</w:t>
            </w: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市政设施安全运行治理：建立市政设施安全运行管理机制，在上年整治基础上开展市政设施隐患整治效果评估，有针对性地解决各类安全隐患，持续加强应急保障能力建设，确保城市运行安全。</w:t>
            </w:r>
          </w:p>
        </w:tc>
        <w:tc>
          <w:tcPr>
            <w:tcW w:w="2400" w:type="dxa"/>
            <w:shd w:val="clear" w:color="auto" w:fill="auto"/>
          </w:tcPr>
          <w:p>
            <w:pPr>
              <w:widowControl/>
              <w:spacing w:line="300" w:lineRule="exact"/>
              <w:jc w:val="left"/>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1</w:t>
            </w:r>
            <w:r>
              <w:rPr>
                <w:rFonts w:ascii="仿宋_GB2312" w:hAnsi="仿宋_GB2312" w:eastAsia="仿宋_GB2312" w:cs="仿宋_GB2312"/>
                <w:b/>
                <w:bCs/>
                <w:color w:val="000000" w:themeColor="text1"/>
                <w:kern w:val="0"/>
                <w:sz w:val="24"/>
                <w:szCs w:val="24"/>
                <w:highlight w:val="none"/>
                <w14:textFill>
                  <w14:solidFill>
                    <w14:schemeClr w14:val="tx1"/>
                  </w14:solidFill>
                </w14:textFill>
              </w:rPr>
              <w:t>3</w:t>
            </w: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地下管网管廊及设施建设：新改建排水管网12公里、供水管网3公里、城市生活污水集中收集率达到73%以上、雨污合流问题得到有效解决，供水管网漏损率降低至7%、城市供水能力大幅提升；新建燃气管网30公里，天然气置换0.5万户，主城区管道天然气实现全覆盖。</w:t>
            </w:r>
          </w:p>
          <w:p>
            <w:pPr>
              <w:widowControl/>
              <w:spacing w:line="300" w:lineRule="exact"/>
              <w:jc w:val="left"/>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1</w:t>
            </w:r>
            <w:r>
              <w:rPr>
                <w:rFonts w:ascii="仿宋_GB2312" w:hAnsi="仿宋_GB2312" w:eastAsia="仿宋_GB2312" w:cs="仿宋_GB2312"/>
                <w:b/>
                <w:bCs/>
                <w:color w:val="000000" w:themeColor="text1"/>
                <w:kern w:val="0"/>
                <w:sz w:val="24"/>
                <w:szCs w:val="24"/>
                <w:highlight w:val="none"/>
                <w14:textFill>
                  <w14:solidFill>
                    <w14:schemeClr w14:val="tx1"/>
                  </w14:solidFill>
                </w14:textFill>
              </w:rPr>
              <w:t>4.</w:t>
            </w:r>
            <w:r>
              <w:rPr>
                <w:rFonts w:hint="eastAsia" w:ascii="仿宋" w:hAnsi="仿宋"/>
                <w:color w:val="000000" w:themeColor="text1"/>
                <w:kern w:val="32"/>
                <w:szCs w:val="32"/>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基本解决电力、环卫等市政基础设施短板问题。</w:t>
            </w:r>
          </w:p>
          <w:p>
            <w:pPr>
              <w:widowControl/>
              <w:spacing w:line="300" w:lineRule="exact"/>
              <w:jc w:val="left"/>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1</w:t>
            </w:r>
            <w:r>
              <w:rPr>
                <w:rFonts w:ascii="仿宋_GB2312" w:hAnsi="仿宋_GB2312" w:eastAsia="仿宋_GB2312" w:cs="仿宋_GB2312"/>
                <w:b/>
                <w:bCs/>
                <w:color w:val="000000" w:themeColor="text1"/>
                <w:kern w:val="0"/>
                <w:sz w:val="24"/>
                <w:szCs w:val="24"/>
                <w:highlight w:val="none"/>
                <w14:textFill>
                  <w14:solidFill>
                    <w14:schemeClr w14:val="tx1"/>
                  </w14:solidFill>
                </w14:textFill>
              </w:rPr>
              <w:t>5</w:t>
            </w: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道路面及人行道整治：结合排水管网项目包装争取情况，实施宝善巷城市道路部分2条次干道路面改造提升和整治人行道约1万平方米。</w:t>
            </w:r>
          </w:p>
          <w:p>
            <w:pPr>
              <w:widowControl/>
              <w:spacing w:line="300" w:lineRule="exact"/>
              <w:jc w:val="left"/>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1</w:t>
            </w:r>
            <w:r>
              <w:rPr>
                <w:rFonts w:ascii="仿宋_GB2312" w:hAnsi="仿宋_GB2312" w:eastAsia="仿宋_GB2312" w:cs="仿宋_GB2312"/>
                <w:b/>
                <w:bCs/>
                <w:color w:val="000000" w:themeColor="text1"/>
                <w:kern w:val="0"/>
                <w:sz w:val="24"/>
                <w:szCs w:val="24"/>
                <w:highlight w:val="none"/>
                <w14:textFill>
                  <w14:solidFill>
                    <w14:schemeClr w14:val="tx1"/>
                  </w14:solidFill>
                </w14:textFill>
              </w:rPr>
              <w:t>6</w:t>
            </w: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道路建设</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：持续打通城市联系相对薄弱区域的交通堵点，促进全市建成区路网密度提升至11.2公里/平方公里，各组团联系更加紧密便捷。</w:t>
            </w:r>
          </w:p>
          <w:p>
            <w:pPr>
              <w:widowControl/>
              <w:spacing w:line="300" w:lineRule="exact"/>
              <w:jc w:val="left"/>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1</w:t>
            </w:r>
            <w:r>
              <w:rPr>
                <w:rFonts w:ascii="仿宋_GB2312" w:hAnsi="仿宋_GB2312" w:eastAsia="仿宋_GB2312" w:cs="仿宋_GB2312"/>
                <w:b/>
                <w:bCs/>
                <w:color w:val="000000" w:themeColor="text1"/>
                <w:kern w:val="0"/>
                <w:sz w:val="24"/>
                <w:szCs w:val="24"/>
                <w:highlight w:val="none"/>
                <w14:textFill>
                  <w14:solidFill>
                    <w14:schemeClr w14:val="tx1"/>
                  </w14:solidFill>
                </w14:textFill>
              </w:rPr>
              <w:t>7.</w:t>
            </w:r>
            <w:r>
              <w:rPr>
                <w:rFonts w:hint="eastAsia" w:ascii="仿宋" w:hAnsi="仿宋"/>
                <w:color w:val="000000" w:themeColor="text1"/>
                <w:kern w:val="32"/>
                <w:szCs w:val="32"/>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5</w:t>
            </w:r>
            <w:r>
              <w:rPr>
                <w:rFonts w:ascii="仿宋_GB2312" w:hAnsi="仿宋_GB2312" w:eastAsia="仿宋_GB2312" w:cs="仿宋_GB2312"/>
                <w:color w:val="000000" w:themeColor="text1"/>
                <w:kern w:val="0"/>
                <w:sz w:val="24"/>
                <w:szCs w:val="24"/>
                <w:highlight w:val="none"/>
                <w14:textFill>
                  <w14:solidFill>
                    <w14:schemeClr w14:val="tx1"/>
                  </w14:solidFill>
                </w14:textFill>
              </w:rPr>
              <w:t>G</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基站、智慧充换电等新基建设施全面满足生产、生活需求。</w:t>
            </w:r>
          </w:p>
          <w:p>
            <w:pPr>
              <w:widowControl/>
              <w:spacing w:line="300" w:lineRule="exact"/>
              <w:jc w:val="left"/>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1</w:t>
            </w:r>
            <w:r>
              <w:rPr>
                <w:rFonts w:ascii="仿宋_GB2312" w:hAnsi="仿宋_GB2312" w:eastAsia="仿宋_GB2312" w:cs="仿宋_GB2312"/>
                <w:b/>
                <w:bCs/>
                <w:color w:val="000000" w:themeColor="text1"/>
                <w:kern w:val="0"/>
                <w:sz w:val="24"/>
                <w:szCs w:val="24"/>
                <w:highlight w:val="none"/>
                <w14:textFill>
                  <w14:solidFill>
                    <w14:schemeClr w14:val="tx1"/>
                  </w14:solidFill>
                </w14:textFill>
              </w:rPr>
              <w:t>8</w:t>
            </w: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城市生命线安全工程建设：持续推进现有市政基础设施智慧化改造，新建市政基础设施与相关智能化感知设备实现设计、施工、验收、使用“四同步”，城市生命线安全工程建设取得进展，城市运行管理服务“一网统管”取得实效，城市运行更安全、更有序、更智慧、更高效。</w:t>
            </w:r>
          </w:p>
          <w:p>
            <w:pPr>
              <w:widowControl/>
              <w:spacing w:line="300" w:lineRule="exact"/>
              <w:jc w:val="left"/>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1</w:t>
            </w:r>
            <w:r>
              <w:rPr>
                <w:rFonts w:ascii="仿宋_GB2312" w:hAnsi="仿宋_GB2312" w:eastAsia="仿宋_GB2312" w:cs="仿宋_GB2312"/>
                <w:b/>
                <w:bCs/>
                <w:color w:val="000000" w:themeColor="text1"/>
                <w:kern w:val="0"/>
                <w:sz w:val="24"/>
                <w:szCs w:val="24"/>
                <w:highlight w:val="none"/>
                <w14:textFill>
                  <w14:solidFill>
                    <w14:schemeClr w14:val="tx1"/>
                  </w14:solidFill>
                </w14:textFill>
              </w:rPr>
              <w:t>9</w:t>
            </w: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市政设施安全运行治理：健全市政设施常态化隐患排查治理机制，充分运用城市生命线安全运行监测平台，对市政基础设施实行全天候监测分析，及时发现问题、解决问题，高效保障城市运行安全。</w:t>
            </w:r>
          </w:p>
        </w:tc>
        <w:tc>
          <w:tcPr>
            <w:tcW w:w="1975" w:type="dxa"/>
            <w:shd w:val="clear" w:color="auto" w:fill="auto"/>
          </w:tcPr>
          <w:p>
            <w:pPr>
              <w:widowControl/>
              <w:spacing w:line="300" w:lineRule="exact"/>
              <w:jc w:val="left"/>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区住房城乡建设局、区综合行政执法局，区发展改革委、区财政局、市自然资源和规划局东区分局、区农业农村和交通水利局、各街道（镇）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856" w:type="dxa"/>
            <w:vAlign w:val="center"/>
          </w:tcPr>
          <w:p>
            <w:pPr>
              <w:spacing w:line="300" w:lineRule="exact"/>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w:t>
            </w:r>
          </w:p>
        </w:tc>
        <w:tc>
          <w:tcPr>
            <w:tcW w:w="1351" w:type="dxa"/>
            <w:vAlign w:val="center"/>
          </w:tcPr>
          <w:p>
            <w:pPr>
              <w:widowControl/>
              <w:spacing w:line="300" w:lineRule="exact"/>
              <w:jc w:val="left"/>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ascii="仿宋_GB2312" w:hAnsi="仿宋_GB2312" w:eastAsia="仿宋_GB2312" w:cs="仿宋_GB2312"/>
                <w:color w:val="000000" w:themeColor="text1"/>
                <w:kern w:val="0"/>
                <w:sz w:val="24"/>
                <w:szCs w:val="24"/>
                <w:highlight w:val="none"/>
                <w14:textFill>
                  <w14:solidFill>
                    <w14:schemeClr w14:val="tx1"/>
                  </w14:solidFill>
                </w14:textFill>
              </w:rPr>
              <w:t>实施</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城市功能完善改造</w:t>
            </w:r>
            <w:r>
              <w:rPr>
                <w:rFonts w:ascii="仿宋_GB2312" w:hAnsi="仿宋_GB2312" w:eastAsia="仿宋_GB2312" w:cs="仿宋_GB2312"/>
                <w:color w:val="000000" w:themeColor="text1"/>
                <w:kern w:val="0"/>
                <w:sz w:val="24"/>
                <w:szCs w:val="24"/>
                <w:highlight w:val="none"/>
                <w14:textFill>
                  <w14:solidFill>
                    <w14:schemeClr w14:val="tx1"/>
                  </w14:solidFill>
                </w14:textFill>
              </w:rPr>
              <w:t>提升工程</w:t>
            </w:r>
          </w:p>
        </w:tc>
        <w:tc>
          <w:tcPr>
            <w:tcW w:w="3245" w:type="dxa"/>
          </w:tcPr>
          <w:p>
            <w:pPr>
              <w:widowControl/>
              <w:spacing w:line="300" w:lineRule="exact"/>
              <w:jc w:val="left"/>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ascii="仿宋_GB2312" w:hAnsi="仿宋_GB2312" w:eastAsia="仿宋_GB2312" w:cs="仿宋_GB2312"/>
                <w:b/>
                <w:bCs/>
                <w:color w:val="000000" w:themeColor="text1"/>
                <w:kern w:val="0"/>
                <w:sz w:val="24"/>
                <w:szCs w:val="24"/>
                <w:highlight w:val="none"/>
                <w14:textFill>
                  <w14:solidFill>
                    <w14:schemeClr w14:val="tx1"/>
                  </w14:solidFill>
                </w14:textFill>
              </w:rPr>
              <w:t>20</w:t>
            </w: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保护修复城市山体、水系、湿地、绿地等生态本底和原生地貌，</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强化生态修复：</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谋划东华山管护工程，</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推进东华山步道沿线喷淋及覆绿、攀枝花市银江湖两岸生态治理、国家重点生态功能区建设东区阿署达花海观景平台至玉佛寺片区生态修复等项目建设，</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开展金沙江干热河谷生态修复与治理工程以及矿山地质生态修复、水土流失综合治理、森林生态系统修复等项目前期工作，启动4A级旅游景区创建工作。</w:t>
            </w:r>
          </w:p>
          <w:p>
            <w:pPr>
              <w:widowControl/>
              <w:spacing w:line="300" w:lineRule="exact"/>
              <w:jc w:val="left"/>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ascii="仿宋_GB2312" w:hAnsi="仿宋_GB2312" w:eastAsia="仿宋_GB2312" w:cs="仿宋_GB2312"/>
                <w:b/>
                <w:bCs/>
                <w:color w:val="000000" w:themeColor="text1"/>
                <w:kern w:val="0"/>
                <w:sz w:val="24"/>
                <w:szCs w:val="24"/>
                <w:highlight w:val="none"/>
                <w14:textFill>
                  <w14:solidFill>
                    <w14:schemeClr w14:val="tx1"/>
                  </w14:solidFill>
                </w14:textFill>
              </w:rPr>
              <w:t>21</w:t>
            </w: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加强多元亲水空间建设：持续实施东区弄密片区生态产品价值实现工程，完成银江湖滨江生态步道工程(二期）。编制金沙江主城区段两岸生态环境综合治理及产业提升规划，推进银江湖水面经营、小沙坝地块开发建设以及御湖花都项目盘活。统筹推进大河流域水生态综合治理，开展大河流域两岸巴斯箐至渡口桥段生态治理和护岸建设前期工作。</w:t>
            </w:r>
          </w:p>
          <w:p>
            <w:pPr>
              <w:widowControl/>
              <w:spacing w:line="300" w:lineRule="exact"/>
              <w:jc w:val="left"/>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ascii="仿宋_GB2312" w:hAnsi="仿宋_GB2312" w:eastAsia="仿宋_GB2312" w:cs="仿宋_GB2312"/>
                <w:b/>
                <w:bCs/>
                <w:color w:val="000000" w:themeColor="text1"/>
                <w:kern w:val="0"/>
                <w:sz w:val="24"/>
                <w:szCs w:val="24"/>
                <w:highlight w:val="none"/>
                <w14:textFill>
                  <w14:solidFill>
                    <w14:schemeClr w14:val="tx1"/>
                  </w14:solidFill>
                </w14:textFill>
              </w:rPr>
              <w:t>22</w:t>
            </w: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加强城市公园体系建设：开展“美丽公园”行动，完成东华山山地体育公园项目二期、攀枝花公园改造等项目建设，建设口袋公园4个，因地制宜打造一批“最美公园”。</w:t>
            </w:r>
          </w:p>
          <w:p>
            <w:pPr>
              <w:widowControl/>
              <w:spacing w:line="300" w:lineRule="exact"/>
              <w:jc w:val="left"/>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ascii="仿宋_GB2312" w:hAnsi="仿宋_GB2312" w:eastAsia="仿宋_GB2312" w:cs="仿宋_GB2312"/>
                <w:b/>
                <w:bCs/>
                <w:color w:val="000000" w:themeColor="text1"/>
                <w:kern w:val="0"/>
                <w:sz w:val="24"/>
                <w:szCs w:val="24"/>
                <w:highlight w:val="none"/>
                <w14:textFill>
                  <w14:solidFill>
                    <w14:schemeClr w14:val="tx1"/>
                  </w14:solidFill>
                </w14:textFill>
              </w:rPr>
              <w:t>23</w:t>
            </w: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实施城市级重点民生设施补短，有序提升改造一批标杆型农文旅融合项目：完成消防救援站新增设施项目，实施东区智慧教育新型基础设施建设，加快推进攀枝花520人防工程升级改造项目，完成东区文化馆改建项目，完成东区江南基督教堂迁建工程，大力推动攀枝花市中心医院病房提升改造项目，完成攀枝花市第三高级中学校运动场整体治理项目，加快实施攀枝花市第三高级中学校新建综合实验楼项目，加快实施攀枝花学院南苑13号学生宿舍建设项目，持续推动阿署达乡村振兴示范基地建设、阿署达古村落文旅融合项目（一期）等项目。</w:t>
            </w:r>
          </w:p>
        </w:tc>
        <w:tc>
          <w:tcPr>
            <w:tcW w:w="2919" w:type="dxa"/>
          </w:tcPr>
          <w:p>
            <w:pPr>
              <w:widowControl/>
              <w:spacing w:line="300" w:lineRule="exact"/>
              <w:jc w:val="left"/>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ascii="仿宋_GB2312" w:hAnsi="仿宋_GB2312" w:eastAsia="仿宋_GB2312" w:cs="仿宋_GB2312"/>
                <w:b/>
                <w:bCs/>
                <w:color w:val="000000" w:themeColor="text1"/>
                <w:kern w:val="0"/>
                <w:sz w:val="24"/>
                <w:szCs w:val="24"/>
                <w:highlight w:val="none"/>
                <w14:textFill>
                  <w14:solidFill>
                    <w14:schemeClr w14:val="tx1"/>
                  </w14:solidFill>
                </w14:textFill>
              </w:rPr>
              <w:t>20</w:t>
            </w: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保护修复城市山体、水系、湿地、绿地等生态本底和原生地貌，</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强化生态修复：</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持续推进东华山山体保护利用项目，实施金沙江干热河谷治理，推进金沙江干流沿线森林、废弃露天矿山生态修复，</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持续实施攀枝花市银江湖两岸生态治理，国家重点生态功能区建设东区阿署达花海观景平台至玉佛寺片区生态修复等项目，</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完成东华山步道沿线喷淋及覆绿项目建设，完成阿署达四季花海4A级旅游景区创建工作，有序开展土壤污染风险管控与修复项目。</w:t>
            </w:r>
          </w:p>
          <w:p>
            <w:pPr>
              <w:widowControl/>
              <w:spacing w:line="300" w:lineRule="exact"/>
              <w:jc w:val="left"/>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ascii="仿宋_GB2312" w:hAnsi="仿宋_GB2312" w:eastAsia="仿宋_GB2312" w:cs="仿宋_GB2312"/>
                <w:b/>
                <w:bCs/>
                <w:color w:val="000000" w:themeColor="text1"/>
                <w:kern w:val="0"/>
                <w:sz w:val="24"/>
                <w:szCs w:val="24"/>
                <w:highlight w:val="none"/>
                <w14:textFill>
                  <w14:solidFill>
                    <w14:schemeClr w14:val="tx1"/>
                  </w14:solidFill>
                </w14:textFill>
              </w:rPr>
              <w:t>21</w:t>
            </w: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加强多元亲水空间建设：力争启动实施金沙江两岸生态环境综合治理及产业提升项目；做足银江湖水面文章，培育水上运动、水上赛事等新兴业态，小沙坝地块开发及御湖花都盘活有序推进；启动大河流域两岸巴斯箐至渡口桥段生态治理和护岸项目建设；</w:t>
            </w:r>
          </w:p>
          <w:p>
            <w:pPr>
              <w:widowControl/>
              <w:spacing w:line="300" w:lineRule="exact"/>
              <w:jc w:val="left"/>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ascii="仿宋_GB2312" w:hAnsi="仿宋_GB2312" w:eastAsia="仿宋_GB2312" w:cs="仿宋_GB2312"/>
                <w:b/>
                <w:bCs/>
                <w:color w:val="000000" w:themeColor="text1"/>
                <w:kern w:val="0"/>
                <w:sz w:val="24"/>
                <w:szCs w:val="24"/>
                <w:highlight w:val="none"/>
                <w14:textFill>
                  <w14:solidFill>
                    <w14:schemeClr w14:val="tx1"/>
                  </w14:solidFill>
                </w14:textFill>
              </w:rPr>
              <w:t>22</w:t>
            </w: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加强城市公园体系建设：谋划东区城市公共空间优化与改造项目、适时启动建设，建设口袋公园4个。</w:t>
            </w:r>
          </w:p>
          <w:p>
            <w:pPr>
              <w:widowControl/>
              <w:spacing w:line="300" w:lineRule="exact"/>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ascii="仿宋_GB2312" w:hAnsi="仿宋_GB2312" w:eastAsia="仿宋_GB2312" w:cs="仿宋_GB2312"/>
                <w:b/>
                <w:bCs/>
                <w:color w:val="000000" w:themeColor="text1"/>
                <w:kern w:val="0"/>
                <w:sz w:val="24"/>
                <w:szCs w:val="24"/>
                <w:highlight w:val="none"/>
                <w14:textFill>
                  <w14:solidFill>
                    <w14:schemeClr w14:val="tx1"/>
                  </w14:solidFill>
                </w14:textFill>
              </w:rPr>
              <w:t>23</w:t>
            </w: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实施城市级重点民生设施补短，有序提升改造一批标杆型农文旅融合项目：持续推进攀枝花520人防工程升级改造项目，完成攀枝花市中心医院病房提升改造项目，完成攀枝花市第三高级中学校新建综合实验楼项目，完成攀枝花学院南苑13号学生宿舍建设项目，完成阿署达乡村振兴示范基地建设、阿署达古村落文旅融合项目（一期）等项目。争取实施阿署达和美乡村示范村、东区老年养护院。两江休闲谷等项目。</w:t>
            </w:r>
          </w:p>
        </w:tc>
        <w:tc>
          <w:tcPr>
            <w:tcW w:w="2400" w:type="dxa"/>
          </w:tcPr>
          <w:p>
            <w:pPr>
              <w:widowControl/>
              <w:spacing w:line="300" w:lineRule="exact"/>
              <w:jc w:val="left"/>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ascii="仿宋_GB2312" w:hAnsi="仿宋_GB2312" w:eastAsia="仿宋_GB2312" w:cs="仿宋_GB2312"/>
                <w:b/>
                <w:bCs/>
                <w:color w:val="000000" w:themeColor="text1"/>
                <w:kern w:val="0"/>
                <w:sz w:val="24"/>
                <w:szCs w:val="24"/>
                <w:highlight w:val="none"/>
                <w14:textFill>
                  <w14:solidFill>
                    <w14:schemeClr w14:val="tx1"/>
                  </w14:solidFill>
                </w14:textFill>
              </w:rPr>
              <w:t>20</w:t>
            </w: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保护修复城市山体、水系、湿地、绿地等生态本底和原生地貌，</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强化生态修复：加强城市山体景观建设：银江湖两岸山体完成1200亩绿化</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国家重点生态功能区建设东区阿署达花海观景平台至玉佛寺片区生态修复项目建设完成；阿署达四季花海二期投入运营。城市视野区范围内山体逐渐实现绿色蝶变，金沙江干热河谷生态修复、绿色矿山治理取得明显进展。</w:t>
            </w:r>
          </w:p>
          <w:p>
            <w:pPr>
              <w:widowControl/>
              <w:spacing w:line="300" w:lineRule="exact"/>
              <w:jc w:val="left"/>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ascii="仿宋_GB2312" w:hAnsi="仿宋_GB2312" w:eastAsia="仿宋_GB2312" w:cs="仿宋_GB2312"/>
                <w:b/>
                <w:bCs/>
                <w:color w:val="000000" w:themeColor="text1"/>
                <w:kern w:val="0"/>
                <w:sz w:val="24"/>
                <w:szCs w:val="24"/>
                <w:highlight w:val="none"/>
                <w14:textFill>
                  <w14:solidFill>
                    <w14:schemeClr w14:val="tx1"/>
                  </w14:solidFill>
                </w14:textFill>
              </w:rPr>
              <w:t>21</w:t>
            </w: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加强多元亲水空间建设：金沙江主城区段两岸生态环境综合治理及产业提升有序推进，银江湖水面经营开发、小沙坝地块建设取得明显成效，御湖花都项目盘活，完成大河流域两岸巴斯箐至渡口桥段水环境综合治理。</w:t>
            </w:r>
          </w:p>
          <w:p>
            <w:pPr>
              <w:widowControl/>
              <w:spacing w:line="300" w:lineRule="exact"/>
              <w:jc w:val="left"/>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ascii="仿宋_GB2312" w:hAnsi="仿宋_GB2312" w:eastAsia="仿宋_GB2312" w:cs="仿宋_GB2312"/>
                <w:b/>
                <w:bCs/>
                <w:color w:val="000000" w:themeColor="text1"/>
                <w:kern w:val="0"/>
                <w:sz w:val="24"/>
                <w:szCs w:val="24"/>
                <w:highlight w:val="none"/>
                <w14:textFill>
                  <w14:solidFill>
                    <w14:schemeClr w14:val="tx1"/>
                  </w14:solidFill>
                </w14:textFill>
              </w:rPr>
              <w:t>22</w:t>
            </w: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加强城市公园体系建设：东区城市公共空间优化与改造项目启动实施，累计建设口袋公园12个，城市蓝绿公共空间持续优化，城市生态环境质量不断提升，人均公园绿地面积提升至20平方米以上，城市品质实现蝶变跃升。</w:t>
            </w:r>
          </w:p>
          <w:p>
            <w:pPr>
              <w:widowControl/>
              <w:spacing w:line="300" w:lineRule="exact"/>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ascii="仿宋_GB2312" w:hAnsi="仿宋_GB2312" w:eastAsia="仿宋_GB2312" w:cs="仿宋_GB2312"/>
                <w:b/>
                <w:bCs/>
                <w:color w:val="000000" w:themeColor="text1"/>
                <w:kern w:val="0"/>
                <w:sz w:val="24"/>
                <w:szCs w:val="24"/>
                <w:highlight w:val="none"/>
                <w14:textFill>
                  <w14:solidFill>
                    <w14:schemeClr w14:val="tx1"/>
                  </w14:solidFill>
                </w14:textFill>
              </w:rPr>
              <w:t>23</w:t>
            </w: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实施城市级重点民生设施补短，有序提升改造一批标杆型农文旅融合项目：城市重要文化、教育、医疗、养老等重大民生设施服务水平明显改善，建成一批标杆型农文旅基地。</w:t>
            </w:r>
          </w:p>
        </w:tc>
        <w:tc>
          <w:tcPr>
            <w:tcW w:w="1975" w:type="dxa"/>
          </w:tcPr>
          <w:p>
            <w:pPr>
              <w:widowControl/>
              <w:spacing w:line="300" w:lineRule="exact"/>
              <w:jc w:val="left"/>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区住房城乡建设局，区发展改革委、区财政局、市自然资源和规划局东区分局、区生态环境局、区农业农村和交通水利局、区文广旅局、区综合行政执法局、区市林业局；各街道（镇）</w:t>
            </w:r>
          </w:p>
          <w:p>
            <w:pPr>
              <w:spacing w:line="300" w:lineRule="exact"/>
              <w:rPr>
                <w:rFonts w:ascii="仿宋_GB2312" w:hAnsi="仿宋_GB2312" w:eastAsia="仿宋_GB2312" w:cs="仿宋_GB2312"/>
                <w:color w:val="000000" w:themeColor="text1"/>
                <w:sz w:val="24"/>
                <w:szCs w:val="24"/>
                <w:highlight w:val="none"/>
                <w14:textFill>
                  <w14:solidFill>
                    <w14:schemeClr w14:val="tx1"/>
                  </w14:solidFill>
                </w14:textFill>
              </w:rPr>
            </w:pPr>
          </w:p>
        </w:tc>
      </w:tr>
    </w:tbl>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textWrapping" w:clear="all"/>
      </w:r>
      <w:bookmarkEnd w:id="8"/>
    </w:p>
    <w:p>
      <w:pPr>
        <w:rPr>
          <w:color w:val="000000" w:themeColor="text1"/>
          <w:highlight w:val="none"/>
          <w14:textFill>
            <w14:solidFill>
              <w14:schemeClr w14:val="tx1"/>
            </w14:solidFill>
          </w14:textFill>
        </w:rPr>
        <w:sectPr>
          <w:footerReference r:id="rId4" w:type="default"/>
          <w:pgSz w:w="16838" w:h="11906" w:orient="landscape"/>
          <w:pgMar w:top="1587" w:right="2098" w:bottom="1474" w:left="1984" w:header="851" w:footer="992" w:gutter="0"/>
          <w:cols w:space="425" w:num="1"/>
          <w:docGrid w:type="lines" w:linePitch="312" w:charSpace="0"/>
        </w:sectPr>
      </w:pPr>
    </w:p>
    <w:p>
      <w:pPr>
        <w:outlineLvl w:val="0"/>
        <w:rPr>
          <w:rFonts w:eastAsia="仿宋_GB2312"/>
          <w:color w:val="000000" w:themeColor="text1"/>
          <w:szCs w:val="32"/>
          <w:highlight w:val="none"/>
          <w14:textFill>
            <w14:solidFill>
              <w14:schemeClr w14:val="tx1"/>
            </w14:solidFill>
          </w14:textFill>
        </w:rPr>
      </w:pPr>
      <w:bookmarkStart w:id="10" w:name="_Toc3717"/>
      <w:r>
        <w:rPr>
          <w:rFonts w:hint="eastAsia" w:eastAsia="仿宋_GB2312"/>
          <w:color w:val="000000" w:themeColor="text1"/>
          <w:szCs w:val="32"/>
          <w:highlight w:val="none"/>
          <w14:textFill>
            <w14:solidFill>
              <w14:schemeClr w14:val="tx1"/>
            </w14:solidFill>
          </w14:textFill>
        </w:rPr>
        <w:t xml:space="preserve">附件3  </w:t>
      </w:r>
      <w:bookmarkEnd w:id="10"/>
    </w:p>
    <w:p>
      <w:pPr>
        <w:widowControl/>
        <w:jc w:val="center"/>
        <w:textAlignment w:val="center"/>
        <w:rPr>
          <w:rFonts w:ascii="方正小标宋_GBK" w:hAnsi="方正小标宋_GBK" w:eastAsia="方正小标宋_GBK" w:cs="方正小标宋_GBK"/>
          <w:color w:val="000000" w:themeColor="text1"/>
          <w:kern w:val="0"/>
          <w:sz w:val="44"/>
          <w:szCs w:val="44"/>
          <w:highlight w:val="none"/>
          <w14:textFill>
            <w14:solidFill>
              <w14:schemeClr w14:val="tx1"/>
            </w14:solidFill>
          </w14:textFill>
        </w:rPr>
      </w:pPr>
      <w:r>
        <w:rPr>
          <w:rFonts w:hint="eastAsia" w:ascii="方正小标宋_GBK" w:hAnsi="方正小标宋_GBK" w:eastAsia="方正小标宋_GBK" w:cs="方正小标宋_GBK"/>
          <w:color w:val="000000" w:themeColor="text1"/>
          <w:kern w:val="0"/>
          <w:sz w:val="44"/>
          <w:szCs w:val="44"/>
          <w:highlight w:val="none"/>
          <w14:textFill>
            <w14:solidFill>
              <w14:schemeClr w14:val="tx1"/>
            </w14:solidFill>
          </w14:textFill>
        </w:rPr>
        <w:t>攀枝花市</w:t>
      </w:r>
      <w:r>
        <w:rPr>
          <w:rFonts w:ascii="方正小标宋_GBK" w:hAnsi="方正小标宋_GBK" w:eastAsia="方正小标宋_GBK" w:cs="方正小标宋_GBK"/>
          <w:color w:val="000000" w:themeColor="text1"/>
          <w:kern w:val="0"/>
          <w:sz w:val="44"/>
          <w:szCs w:val="44"/>
          <w:highlight w:val="none"/>
          <w14:textFill>
            <w14:solidFill>
              <w14:schemeClr w14:val="tx1"/>
            </w14:solidFill>
          </w14:textFill>
        </w:rPr>
        <w:t>东区城市</w:t>
      </w:r>
      <w:r>
        <w:rPr>
          <w:rFonts w:hint="eastAsia" w:ascii="方正小标宋_GBK" w:hAnsi="方正小标宋_GBK" w:eastAsia="方正小标宋_GBK" w:cs="方正小标宋_GBK"/>
          <w:color w:val="000000" w:themeColor="text1"/>
          <w:kern w:val="0"/>
          <w:sz w:val="44"/>
          <w:szCs w:val="44"/>
          <w:highlight w:val="none"/>
          <w14:textFill>
            <w14:solidFill>
              <w14:schemeClr w14:val="tx1"/>
            </w14:solidFill>
          </w14:textFill>
        </w:rPr>
        <w:t>更新</w:t>
      </w:r>
      <w:r>
        <w:rPr>
          <w:rFonts w:ascii="方正小标宋_GBK" w:hAnsi="方正小标宋_GBK" w:eastAsia="方正小标宋_GBK" w:cs="方正小标宋_GBK"/>
          <w:color w:val="000000" w:themeColor="text1"/>
          <w:kern w:val="0"/>
          <w:sz w:val="44"/>
          <w:szCs w:val="44"/>
          <w:highlight w:val="none"/>
          <w14:textFill>
            <w14:solidFill>
              <w14:schemeClr w14:val="tx1"/>
            </w14:solidFill>
          </w14:textFill>
        </w:rPr>
        <w:t>重点片区清单</w:t>
      </w:r>
    </w:p>
    <w:tbl>
      <w:tblPr>
        <w:tblStyle w:val="6"/>
        <w:tblW w:w="0" w:type="auto"/>
        <w:tblInd w:w="0" w:type="dxa"/>
        <w:tblLayout w:type="fixed"/>
        <w:tblCellMar>
          <w:top w:w="0" w:type="dxa"/>
          <w:left w:w="108" w:type="dxa"/>
          <w:bottom w:w="0" w:type="dxa"/>
          <w:right w:w="108" w:type="dxa"/>
        </w:tblCellMar>
      </w:tblPr>
      <w:tblGrid>
        <w:gridCol w:w="696"/>
        <w:gridCol w:w="1320"/>
        <w:gridCol w:w="1336"/>
        <w:gridCol w:w="7514"/>
        <w:gridCol w:w="1882"/>
      </w:tblGrid>
      <w:tr>
        <w:tblPrEx>
          <w:tblCellMar>
            <w:top w:w="0" w:type="dxa"/>
            <w:left w:w="108" w:type="dxa"/>
            <w:bottom w:w="0" w:type="dxa"/>
            <w:right w:w="108" w:type="dxa"/>
          </w:tblCellMar>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黑体" w:hAnsi="黑体" w:eastAsia="黑体" w:cs="黑体"/>
                <w:color w:val="000000" w:themeColor="text1"/>
                <w:sz w:val="24"/>
                <w:szCs w:val="24"/>
                <w:highlight w:val="none"/>
                <w14:textFill>
                  <w14:solidFill>
                    <w14:schemeClr w14:val="tx1"/>
                  </w14:solidFill>
                </w14:textFill>
              </w:rPr>
            </w:pPr>
            <w:r>
              <w:rPr>
                <w:rFonts w:hint="eastAsia" w:ascii="黑体" w:hAnsi="黑体" w:eastAsia="黑体" w:cs="黑体"/>
                <w:color w:val="000000" w:themeColor="text1"/>
                <w:kern w:val="0"/>
                <w:sz w:val="24"/>
                <w:szCs w:val="24"/>
                <w:highlight w:val="none"/>
                <w14:textFill>
                  <w14:solidFill>
                    <w14:schemeClr w14:val="tx1"/>
                  </w14:solidFill>
                </w14:textFill>
              </w:rPr>
              <w:t>序号</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黑体" w:hAnsi="黑体" w:eastAsia="黑体" w:cs="黑体"/>
                <w:color w:val="000000" w:themeColor="text1"/>
                <w:kern w:val="0"/>
                <w:sz w:val="24"/>
                <w:szCs w:val="24"/>
                <w:highlight w:val="none"/>
                <w14:textFill>
                  <w14:solidFill>
                    <w14:schemeClr w14:val="tx1"/>
                  </w14:solidFill>
                </w14:textFill>
              </w:rPr>
            </w:pPr>
            <w:r>
              <w:rPr>
                <w:rFonts w:hint="eastAsia" w:ascii="黑体" w:hAnsi="黑体" w:eastAsia="黑体" w:cs="黑体"/>
                <w:color w:val="000000" w:themeColor="text1"/>
                <w:kern w:val="0"/>
                <w:sz w:val="24"/>
                <w:szCs w:val="24"/>
                <w:highlight w:val="none"/>
                <w14:textFill>
                  <w14:solidFill>
                    <w14:schemeClr w14:val="tx1"/>
                  </w14:solidFill>
                </w14:textFill>
              </w:rPr>
              <w:t>点位名称</w:t>
            </w:r>
          </w:p>
        </w:tc>
        <w:tc>
          <w:tcPr>
            <w:tcW w:w="133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黑体" w:hAnsi="黑体" w:eastAsia="黑体" w:cs="黑体"/>
                <w:color w:val="000000" w:themeColor="text1"/>
                <w:kern w:val="0"/>
                <w:sz w:val="24"/>
                <w:szCs w:val="24"/>
                <w:highlight w:val="none"/>
                <w14:textFill>
                  <w14:solidFill>
                    <w14:schemeClr w14:val="tx1"/>
                  </w14:solidFill>
                </w14:textFill>
              </w:rPr>
            </w:pPr>
            <w:r>
              <w:rPr>
                <w:rFonts w:hint="eastAsia" w:ascii="黑体" w:hAnsi="黑体" w:eastAsia="黑体" w:cs="黑体"/>
                <w:color w:val="000000" w:themeColor="text1"/>
                <w:kern w:val="0"/>
                <w:sz w:val="24"/>
                <w:szCs w:val="24"/>
                <w:highlight w:val="none"/>
                <w14:textFill>
                  <w14:solidFill>
                    <w14:schemeClr w14:val="tx1"/>
                  </w14:solidFill>
                </w14:textFill>
              </w:rPr>
              <w:t>片区规模</w:t>
            </w:r>
          </w:p>
        </w:tc>
        <w:tc>
          <w:tcPr>
            <w:tcW w:w="7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黑体" w:hAnsi="黑体" w:eastAsia="黑体" w:cs="黑体"/>
                <w:color w:val="000000" w:themeColor="text1"/>
                <w:sz w:val="24"/>
                <w:szCs w:val="24"/>
                <w:highlight w:val="none"/>
                <w14:textFill>
                  <w14:solidFill>
                    <w14:schemeClr w14:val="tx1"/>
                  </w14:solidFill>
                </w14:textFill>
              </w:rPr>
            </w:pPr>
            <w:r>
              <w:rPr>
                <w:rFonts w:hint="eastAsia" w:ascii="黑体" w:hAnsi="黑体" w:eastAsia="黑体" w:cs="黑体"/>
                <w:color w:val="000000" w:themeColor="text1"/>
                <w:kern w:val="0"/>
                <w:sz w:val="24"/>
                <w:szCs w:val="24"/>
                <w:highlight w:val="none"/>
                <w14:textFill>
                  <w14:solidFill>
                    <w14:schemeClr w14:val="tx1"/>
                  </w14:solidFill>
                </w14:textFill>
              </w:rPr>
              <w:t>重点任务</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黑体" w:hAnsi="黑体" w:eastAsia="黑体" w:cs="黑体"/>
                <w:color w:val="000000" w:themeColor="text1"/>
                <w:sz w:val="24"/>
                <w:szCs w:val="24"/>
                <w:highlight w:val="none"/>
                <w14:textFill>
                  <w14:solidFill>
                    <w14:schemeClr w14:val="tx1"/>
                  </w14:solidFill>
                </w14:textFill>
              </w:rPr>
            </w:pPr>
            <w:r>
              <w:rPr>
                <w:rFonts w:hint="eastAsia" w:ascii="黑体" w:hAnsi="黑体" w:eastAsia="黑体" w:cs="黑体"/>
                <w:color w:val="000000" w:themeColor="text1"/>
                <w:kern w:val="0"/>
                <w:sz w:val="24"/>
                <w:szCs w:val="24"/>
                <w:highlight w:val="none"/>
                <w14:textFill>
                  <w14:solidFill>
                    <w14:schemeClr w14:val="tx1"/>
                  </w14:solidFill>
                </w14:textFill>
              </w:rPr>
              <w:t>计划实施年度</w:t>
            </w:r>
          </w:p>
        </w:tc>
      </w:tr>
      <w:tr>
        <w:tblPrEx>
          <w:tblCellMar>
            <w:top w:w="0" w:type="dxa"/>
            <w:left w:w="108" w:type="dxa"/>
            <w:bottom w:w="0" w:type="dxa"/>
            <w:right w:w="108" w:type="dxa"/>
          </w:tblCellMar>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大梯道望江片区</w:t>
            </w:r>
          </w:p>
        </w:tc>
        <w:tc>
          <w:tcPr>
            <w:tcW w:w="133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5</w:t>
            </w:r>
            <w:r>
              <w:rPr>
                <w:rFonts w:ascii="仿宋_GB2312" w:hAnsi="仿宋_GB2312" w:eastAsia="仿宋_GB2312" w:cs="仿宋_GB2312"/>
                <w:color w:val="000000" w:themeColor="text1"/>
                <w:kern w:val="0"/>
                <w:sz w:val="24"/>
                <w:szCs w:val="24"/>
                <w:highlight w:val="none"/>
                <w14:textFill>
                  <w14:solidFill>
                    <w14:schemeClr w14:val="tx1"/>
                  </w14:solidFill>
                </w14:textFill>
              </w:rPr>
              <w:t>9.7</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公顷</w:t>
            </w:r>
          </w:p>
        </w:tc>
        <w:tc>
          <w:tcPr>
            <w:tcW w:w="75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加快完成片区城市设计方案编制；加快完成望江片区城市更新小环线建设工程；有序开展片区内老旧小区及配套基础设施改造工程；有序开展中心广场至大梯道、人民街等区域城市公共空间更新改造项目；有序开展冷冻厂步行街至花城下街老旧街区改造项目；适时启动二街坊区域整体更新、银江湖沿线环境提升等工作；做好项目包装与储备，积极向上争取资金；做好片区内产业招商、产业导入、场景活化与可持续运营，总结提炼城市更新可复制经验，多渠道开展对外宣传推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2025年-2027年</w:t>
            </w:r>
          </w:p>
        </w:tc>
      </w:tr>
      <w:tr>
        <w:tblPrEx>
          <w:tblCellMar>
            <w:top w:w="0" w:type="dxa"/>
            <w:left w:w="108" w:type="dxa"/>
            <w:bottom w:w="0" w:type="dxa"/>
            <w:right w:w="108" w:type="dxa"/>
          </w:tblCellMar>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501电厂-大渡口片区</w:t>
            </w:r>
          </w:p>
        </w:tc>
        <w:tc>
          <w:tcPr>
            <w:tcW w:w="133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7</w:t>
            </w:r>
            <w:r>
              <w:rPr>
                <w:rFonts w:ascii="仿宋_GB2312" w:hAnsi="仿宋_GB2312" w:eastAsia="仿宋_GB2312" w:cs="仿宋_GB2312"/>
                <w:color w:val="000000" w:themeColor="text1"/>
                <w:kern w:val="0"/>
                <w:sz w:val="24"/>
                <w:szCs w:val="24"/>
                <w:highlight w:val="none"/>
                <w14:textFill>
                  <w14:solidFill>
                    <w14:schemeClr w14:val="tx1"/>
                  </w14:solidFill>
                </w14:textFill>
              </w:rPr>
              <w:t>2.2</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公顷</w:t>
            </w:r>
          </w:p>
        </w:tc>
        <w:tc>
          <w:tcPr>
            <w:tcW w:w="75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加快完成片区城市设计方案编制；确定片区内一期及2</w:t>
            </w:r>
            <w:r>
              <w:rPr>
                <w:rFonts w:ascii="仿宋_GB2312" w:hAnsi="仿宋_GB2312" w:eastAsia="仿宋_GB2312" w:cs="仿宋_GB2312"/>
                <w:color w:val="000000" w:themeColor="text1"/>
                <w:kern w:val="0"/>
                <w:sz w:val="24"/>
                <w:szCs w:val="24"/>
                <w:highlight w:val="none"/>
                <w14:textFill>
                  <w14:solidFill>
                    <w14:schemeClr w14:val="tx1"/>
                  </w14:solidFill>
                </w14:textFill>
              </w:rPr>
              <w:t>026</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w:t>
            </w:r>
            <w:r>
              <w:rPr>
                <w:rFonts w:ascii="仿宋_GB2312" w:hAnsi="仿宋_GB2312" w:eastAsia="仿宋_GB2312" w:cs="仿宋_GB2312"/>
                <w:color w:val="000000" w:themeColor="text1"/>
                <w:kern w:val="0"/>
                <w:sz w:val="24"/>
                <w:szCs w:val="24"/>
                <w:highlight w:val="none"/>
                <w14:textFill>
                  <w14:solidFill>
                    <w14:schemeClr w14:val="tx1"/>
                  </w14:solidFill>
                </w14:textFill>
              </w:rPr>
              <w:t>2027</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年分期实施范围，分步编制完成实施方案；</w:t>
            </w:r>
            <w:bookmarkStart w:id="11" w:name="_Hlk199170748"/>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有序开展片区内老旧小区及配套基础设施改造工程；</w:t>
            </w:r>
            <w:bookmarkEnd w:id="11"/>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有序开展片区内C、D级危旧房改造工程；强化片区内历史文化街区保护与利用，有序开展片区内老旧街区（厂区）、历史文化街区改造提升，实施老旧街区（厂区）配套基础设施改造工程；做好项目包装与储备，积极向上争取资金；做好片区内产业招商、产业导入、场景活化与可持续运营，总结提炼城市更新可复制经验，多渠道开展对外宣传推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12" w:name="_Hlk200378080"/>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2025年-2027年</w:t>
            </w:r>
            <w:bookmarkEnd w:id="12"/>
          </w:p>
        </w:tc>
      </w:tr>
      <w:tr>
        <w:trPr>
          <w:trHeight w:val="567"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3</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城市原点</w:t>
            </w:r>
          </w:p>
          <w:p>
            <w:pPr>
              <w:widowControl/>
              <w:spacing w:line="360" w:lineRule="exact"/>
              <w:jc w:val="center"/>
              <w:textAlignment w:val="center"/>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片区</w:t>
            </w:r>
          </w:p>
        </w:tc>
        <w:tc>
          <w:tcPr>
            <w:tcW w:w="133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1</w:t>
            </w:r>
            <w:r>
              <w:rPr>
                <w:rFonts w:ascii="仿宋_GB2312" w:hAnsi="仿宋_GB2312" w:eastAsia="仿宋_GB2312" w:cs="仿宋_GB2312"/>
                <w:color w:val="000000" w:themeColor="text1"/>
                <w:kern w:val="0"/>
                <w:sz w:val="24"/>
                <w:szCs w:val="24"/>
                <w:highlight w:val="none"/>
                <w14:textFill>
                  <w14:solidFill>
                    <w14:schemeClr w14:val="tx1"/>
                  </w14:solidFill>
                </w14:textFill>
              </w:rPr>
              <w:t>6.9</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公顷</w:t>
            </w:r>
          </w:p>
        </w:tc>
        <w:tc>
          <w:tcPr>
            <w:tcW w:w="75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加快完成</w:t>
            </w:r>
            <w:bookmarkStart w:id="13" w:name="OLE_LINK5"/>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片区城市设计方案编制；</w:t>
            </w:r>
            <w:bookmarkEnd w:id="13"/>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加快完成城市原点基础设施及工业旅游交旅融合建设项目；加快完成兰谱路历史文化街区保护提升项目；加快完成矿业公司主体及外立面施工；加快完成高速路口拓宽改造、农房及街道风貌规范整治、农贸市场提升、宣传标识标牌更新、片区内老旧小区改造及配套基础设施建设等工程；做好项目包装与储备，积极向上争取资金；做好片区内产业招商、产业导入、场景活化与可持续运营，总结提炼城市更新可复制经验，多渠道开展对外宣传推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2025年-2027年</w:t>
            </w:r>
          </w:p>
        </w:tc>
      </w:tr>
      <w:tr>
        <w:tblPrEx>
          <w:tblCellMar>
            <w:top w:w="0" w:type="dxa"/>
            <w:left w:w="108" w:type="dxa"/>
            <w:bottom w:w="0" w:type="dxa"/>
            <w:right w:w="108" w:type="dxa"/>
          </w:tblCellMar>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ascii="仿宋_GB2312" w:hAnsi="仿宋_GB2312" w:eastAsia="仿宋_GB2312" w:cs="仿宋_GB2312"/>
                <w:color w:val="000000" w:themeColor="text1"/>
                <w:kern w:val="0"/>
                <w:sz w:val="24"/>
                <w:szCs w:val="24"/>
                <w:highlight w:val="none"/>
                <w14:textFill>
                  <w14:solidFill>
                    <w14:schemeClr w14:val="tx1"/>
                  </w14:solidFill>
                </w14:textFill>
              </w:rPr>
              <w:t>4</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紫荆山鸿海巷片区</w:t>
            </w:r>
          </w:p>
        </w:tc>
        <w:tc>
          <w:tcPr>
            <w:tcW w:w="133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1</w:t>
            </w:r>
            <w:r>
              <w:rPr>
                <w:rFonts w:ascii="仿宋_GB2312" w:hAnsi="仿宋_GB2312" w:eastAsia="仿宋_GB2312" w:cs="仿宋_GB2312"/>
                <w:color w:val="000000" w:themeColor="text1"/>
                <w:kern w:val="0"/>
                <w:sz w:val="24"/>
                <w:szCs w:val="24"/>
                <w:highlight w:val="none"/>
                <w14:textFill>
                  <w14:solidFill>
                    <w14:schemeClr w14:val="tx1"/>
                  </w14:solidFill>
                </w14:textFill>
              </w:rPr>
              <w:t>2.1</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公顷</w:t>
            </w:r>
          </w:p>
        </w:tc>
        <w:tc>
          <w:tcPr>
            <w:tcW w:w="75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加快完成星悦茂地下空间项目；加快完成片区内老旧小区改造及配套基础设施建设等工程；加快完成攀枝花市东区燃气管道等老化设施更新改造工程；适时开展背街小巷整治、片区治乱与完整社区建设等工作；做好项目包装与储备，积极向上争取资金；总结提炼城市更新可复制经验，多渠道开展对外宣传推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2025年-2027年</w:t>
            </w:r>
          </w:p>
        </w:tc>
      </w:tr>
      <w:tr>
        <w:trPr>
          <w:trHeight w:val="567"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5</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桃源街片区</w:t>
            </w:r>
          </w:p>
        </w:tc>
        <w:tc>
          <w:tcPr>
            <w:tcW w:w="133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ascii="仿宋_GB2312" w:hAnsi="仿宋_GB2312" w:eastAsia="仿宋_GB2312" w:cs="仿宋_GB2312"/>
                <w:color w:val="000000" w:themeColor="text1"/>
                <w:kern w:val="0"/>
                <w:sz w:val="24"/>
                <w:szCs w:val="24"/>
                <w:highlight w:val="none"/>
                <w14:textFill>
                  <w14:solidFill>
                    <w14:schemeClr w14:val="tx1"/>
                  </w14:solidFill>
                </w14:textFill>
              </w:rPr>
              <w:t>56.8</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公顷</w:t>
            </w:r>
          </w:p>
        </w:tc>
        <w:tc>
          <w:tcPr>
            <w:tcW w:w="75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结合棚改土地利用、老旧小区以及配套基础设施建设、老旧市场、闲置低效地块等进行连片打造；</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做好项目包装与储备，积极向上争取资金；做好片区内产业招商、产业导入、场景活化与可持续运营，总结提炼城市更新可复制经验，多渠道开展对外宣传推广。</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2026年-202</w:t>
            </w:r>
            <w:r>
              <w:rPr>
                <w:rFonts w:ascii="仿宋_GB2312" w:hAnsi="仿宋_GB2312" w:eastAsia="仿宋_GB2312" w:cs="仿宋_GB2312"/>
                <w:color w:val="000000" w:themeColor="text1"/>
                <w:kern w:val="0"/>
                <w:sz w:val="24"/>
                <w:szCs w:val="24"/>
                <w:highlight w:val="none"/>
                <w14:textFill>
                  <w14:solidFill>
                    <w14:schemeClr w14:val="tx1"/>
                  </w14:solidFill>
                </w14:textFill>
              </w:rPr>
              <w:t>7</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年</w:t>
            </w:r>
          </w:p>
        </w:tc>
      </w:tr>
      <w:tr>
        <w:tblPrEx>
          <w:tblCellMar>
            <w:top w:w="0" w:type="dxa"/>
            <w:left w:w="108" w:type="dxa"/>
            <w:bottom w:w="0" w:type="dxa"/>
            <w:right w:w="108" w:type="dxa"/>
          </w:tblCellMar>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6</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阿署达片区</w:t>
            </w:r>
          </w:p>
        </w:tc>
        <w:tc>
          <w:tcPr>
            <w:tcW w:w="133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2</w:t>
            </w:r>
            <w:r>
              <w:rPr>
                <w:rFonts w:ascii="仿宋_GB2312" w:hAnsi="仿宋_GB2312" w:eastAsia="仿宋_GB2312" w:cs="仿宋_GB2312"/>
                <w:color w:val="000000" w:themeColor="text1"/>
                <w:kern w:val="0"/>
                <w:sz w:val="24"/>
                <w:szCs w:val="24"/>
                <w:highlight w:val="none"/>
                <w14:textFill>
                  <w14:solidFill>
                    <w14:schemeClr w14:val="tx1"/>
                  </w14:solidFill>
                </w14:textFill>
              </w:rPr>
              <w:t>41.2</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公顷</w:t>
            </w:r>
          </w:p>
        </w:tc>
        <w:tc>
          <w:tcPr>
            <w:tcW w:w="75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主要开展片区城中村配套设施改造以及生态功能区建设，同时对片区道路等基础设施进行提升改造；做好项目包装与储备，积极向上争取资金；做好片区内产业招商、产业导入、场景活化与可持续运营，总结提炼城市更新可复制经验，多渠道开展对外宣传推广。</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202</w:t>
            </w:r>
            <w:r>
              <w:rPr>
                <w:rFonts w:ascii="仿宋_GB2312" w:hAnsi="仿宋_GB2312" w:eastAsia="仿宋_GB2312" w:cs="仿宋_GB2312"/>
                <w:color w:val="000000" w:themeColor="text1"/>
                <w:kern w:val="0"/>
                <w:sz w:val="24"/>
                <w:szCs w:val="24"/>
                <w:highlight w:val="none"/>
                <w14:textFill>
                  <w14:solidFill>
                    <w14:schemeClr w14:val="tx1"/>
                  </w14:solidFill>
                </w14:textFill>
              </w:rPr>
              <w:t>6</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年-202</w:t>
            </w:r>
            <w:r>
              <w:rPr>
                <w:rFonts w:ascii="仿宋_GB2312" w:hAnsi="仿宋_GB2312" w:eastAsia="仿宋_GB2312" w:cs="仿宋_GB2312"/>
                <w:color w:val="000000" w:themeColor="text1"/>
                <w:kern w:val="0"/>
                <w:sz w:val="24"/>
                <w:szCs w:val="24"/>
                <w:highlight w:val="none"/>
                <w14:textFill>
                  <w14:solidFill>
                    <w14:schemeClr w14:val="tx1"/>
                  </w14:solidFill>
                </w14:textFill>
              </w:rPr>
              <w:t>8</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年</w:t>
            </w:r>
          </w:p>
        </w:tc>
      </w:tr>
      <w:tr>
        <w:tblPrEx>
          <w:tblCellMar>
            <w:top w:w="0" w:type="dxa"/>
            <w:left w:w="108" w:type="dxa"/>
            <w:bottom w:w="0" w:type="dxa"/>
            <w:right w:w="108" w:type="dxa"/>
          </w:tblCellMar>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7</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银江湖6号桥片区</w:t>
            </w:r>
          </w:p>
        </w:tc>
        <w:tc>
          <w:tcPr>
            <w:tcW w:w="133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1</w:t>
            </w:r>
            <w:r>
              <w:rPr>
                <w:rFonts w:ascii="仿宋_GB2312" w:hAnsi="仿宋_GB2312" w:eastAsia="仿宋_GB2312" w:cs="仿宋_GB2312"/>
                <w:color w:val="000000" w:themeColor="text1"/>
                <w:kern w:val="0"/>
                <w:sz w:val="24"/>
                <w:szCs w:val="24"/>
                <w:highlight w:val="none"/>
                <w14:textFill>
                  <w14:solidFill>
                    <w14:schemeClr w14:val="tx1"/>
                  </w14:solidFill>
                </w14:textFill>
              </w:rPr>
              <w:t>9.1</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公顷</w:t>
            </w:r>
          </w:p>
        </w:tc>
        <w:tc>
          <w:tcPr>
            <w:tcW w:w="75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结合雨污水管网改造项目，对片区基础设施整体提升；</w:t>
            </w:r>
            <w:r>
              <w:rPr>
                <w:rFonts w:ascii="仿宋_GB2312" w:hAnsi="仿宋_GB2312" w:eastAsia="仿宋_GB2312" w:cs="仿宋_GB2312"/>
                <w:color w:val="000000" w:themeColor="text1"/>
                <w:kern w:val="0"/>
                <w:sz w:val="24"/>
                <w:szCs w:val="24"/>
                <w:highlight w:val="none"/>
                <w14:textFill>
                  <w14:solidFill>
                    <w14:schemeClr w14:val="tx1"/>
                  </w14:solidFill>
                </w14:textFill>
              </w:rPr>
              <w:t>推进城市沿江休闲</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生境</w:t>
            </w:r>
            <w:r>
              <w:rPr>
                <w:rFonts w:ascii="仿宋_GB2312" w:hAnsi="仿宋_GB2312" w:eastAsia="仿宋_GB2312" w:cs="仿宋_GB2312"/>
                <w:color w:val="000000" w:themeColor="text1"/>
                <w:kern w:val="0"/>
                <w:sz w:val="24"/>
                <w:szCs w:val="24"/>
                <w:highlight w:val="none"/>
                <w14:textFill>
                  <w14:solidFill>
                    <w14:schemeClr w14:val="tx1"/>
                  </w14:solidFill>
                </w14:textFill>
              </w:rPr>
              <w:t>建设，打造生态、休闲、旅游等功能复合的滨水空间</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w:t>
            </w:r>
            <w:bookmarkStart w:id="14" w:name="OLE_LINK6"/>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做好项目包装与储备，积极向上争取资金；总结提炼城市更新可复制经验，多渠道开展对外宣传推广。</w:t>
            </w:r>
            <w:bookmarkEnd w:id="14"/>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202</w:t>
            </w:r>
            <w:r>
              <w:rPr>
                <w:rFonts w:ascii="仿宋_GB2312" w:hAnsi="仿宋_GB2312" w:eastAsia="仿宋_GB2312" w:cs="仿宋_GB2312"/>
                <w:color w:val="000000" w:themeColor="text1"/>
                <w:kern w:val="0"/>
                <w:sz w:val="24"/>
                <w:szCs w:val="24"/>
                <w:highlight w:val="none"/>
                <w14:textFill>
                  <w14:solidFill>
                    <w14:schemeClr w14:val="tx1"/>
                  </w14:solidFill>
                </w14:textFill>
              </w:rPr>
              <w:t>6</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年-202</w:t>
            </w:r>
            <w:r>
              <w:rPr>
                <w:rFonts w:ascii="仿宋_GB2312" w:hAnsi="仿宋_GB2312" w:eastAsia="仿宋_GB2312" w:cs="仿宋_GB2312"/>
                <w:color w:val="000000" w:themeColor="text1"/>
                <w:kern w:val="0"/>
                <w:sz w:val="24"/>
                <w:szCs w:val="24"/>
                <w:highlight w:val="none"/>
                <w14:textFill>
                  <w14:solidFill>
                    <w14:schemeClr w14:val="tx1"/>
                  </w14:solidFill>
                </w14:textFill>
              </w:rPr>
              <w:t>8</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年</w:t>
            </w:r>
          </w:p>
        </w:tc>
      </w:tr>
      <w:tr>
        <w:tblPrEx>
          <w:tblCellMar>
            <w:top w:w="0" w:type="dxa"/>
            <w:left w:w="108" w:type="dxa"/>
            <w:bottom w:w="0" w:type="dxa"/>
            <w:right w:w="108" w:type="dxa"/>
          </w:tblCellMar>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ascii="仿宋_GB2312" w:hAnsi="仿宋_GB2312" w:eastAsia="仿宋_GB2312" w:cs="仿宋_GB2312"/>
                <w:color w:val="000000" w:themeColor="text1"/>
                <w:kern w:val="0"/>
                <w:sz w:val="24"/>
                <w:szCs w:val="24"/>
                <w:highlight w:val="none"/>
                <w14:textFill>
                  <w14:solidFill>
                    <w14:schemeClr w14:val="tx1"/>
                  </w14:solidFill>
                </w14:textFill>
              </w:rPr>
              <w:t>8</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小攀枝花</w:t>
            </w:r>
          </w:p>
          <w:p>
            <w:pPr>
              <w:widowControl/>
              <w:spacing w:line="360" w:lineRule="exact"/>
              <w:jc w:val="center"/>
              <w:textAlignment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片区</w:t>
            </w:r>
          </w:p>
        </w:tc>
        <w:tc>
          <w:tcPr>
            <w:tcW w:w="133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3</w:t>
            </w:r>
            <w:r>
              <w:rPr>
                <w:rFonts w:ascii="仿宋_GB2312" w:hAnsi="仿宋_GB2312" w:eastAsia="仿宋_GB2312" w:cs="仿宋_GB2312"/>
                <w:color w:val="000000" w:themeColor="text1"/>
                <w:kern w:val="0"/>
                <w:sz w:val="24"/>
                <w:szCs w:val="24"/>
                <w:highlight w:val="none"/>
                <w14:textFill>
                  <w14:solidFill>
                    <w14:schemeClr w14:val="tx1"/>
                  </w14:solidFill>
                </w14:textFill>
              </w:rPr>
              <w:t>6.1</w:t>
            </w:r>
          </w:p>
        </w:tc>
        <w:tc>
          <w:tcPr>
            <w:tcW w:w="75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对隆庆路及周边进行城中村配套设施改造，含配套道路、绿化、居民活动场所、改建停车场等；适时开展老旧小区改造及配套基础设施建设、背街小巷整治、片区治乱与完整社区建设等工作；做好项目包装与储备，积极向上争取资金；总结提炼城市更新可复制经验，多渠道开展对外宣传推广。</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2027年-2029年</w:t>
            </w:r>
          </w:p>
        </w:tc>
      </w:tr>
      <w:tr>
        <w:trPr>
          <w:trHeight w:val="567"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9</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高梁坪老工矿片区</w:t>
            </w:r>
          </w:p>
        </w:tc>
        <w:tc>
          <w:tcPr>
            <w:tcW w:w="133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1</w:t>
            </w:r>
            <w:r>
              <w:rPr>
                <w:rFonts w:ascii="仿宋_GB2312" w:hAnsi="仿宋_GB2312" w:eastAsia="仿宋_GB2312" w:cs="仿宋_GB2312"/>
                <w:color w:val="000000" w:themeColor="text1"/>
                <w:kern w:val="0"/>
                <w:sz w:val="24"/>
                <w:szCs w:val="24"/>
                <w:highlight w:val="none"/>
                <w14:textFill>
                  <w14:solidFill>
                    <w14:schemeClr w14:val="tx1"/>
                  </w14:solidFill>
                </w14:textFill>
              </w:rPr>
              <w:t>99.2</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公顷</w:t>
            </w:r>
          </w:p>
        </w:tc>
        <w:tc>
          <w:tcPr>
            <w:tcW w:w="75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重点对片区老旧小区以及基础配套设施等进行连片打造；做好项目包装与储备，积极向上争取资金；总结提炼城市更新可复制经验，多渠道开展对外宣传推广。</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2027年-2029年</w:t>
            </w:r>
          </w:p>
        </w:tc>
      </w:tr>
      <w:tr>
        <w:trPr>
          <w:trHeight w:val="567"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10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五道河老工矿片区</w:t>
            </w:r>
          </w:p>
        </w:tc>
        <w:tc>
          <w:tcPr>
            <w:tcW w:w="133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1</w:t>
            </w:r>
            <w:r>
              <w:rPr>
                <w:rFonts w:ascii="仿宋_GB2312" w:hAnsi="仿宋_GB2312" w:eastAsia="仿宋_GB2312" w:cs="仿宋_GB2312"/>
                <w:color w:val="000000" w:themeColor="text1"/>
                <w:kern w:val="0"/>
                <w:sz w:val="24"/>
                <w:szCs w:val="24"/>
                <w:highlight w:val="none"/>
                <w14:textFill>
                  <w14:solidFill>
                    <w14:schemeClr w14:val="tx1"/>
                  </w14:solidFill>
                </w14:textFill>
              </w:rPr>
              <w:t>97.6</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公顷</w:t>
            </w:r>
          </w:p>
        </w:tc>
        <w:tc>
          <w:tcPr>
            <w:tcW w:w="75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重点对片区老旧小区以及基础配套设施等进行连片打造；做好项目包装与储备，积极向上争取资金；总结提炼城市更新可复制经验，多渠道开展对外宣传推广。</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2027年-2029年</w:t>
            </w:r>
          </w:p>
        </w:tc>
      </w:tr>
    </w:tbl>
    <w:p>
      <w:pPr>
        <w:autoSpaceDE w:val="0"/>
        <w:spacing w:line="576" w:lineRule="exact"/>
        <w:outlineLvl w:val="1"/>
        <w:rPr>
          <w:rFonts w:ascii="仿宋" w:hAnsi="仿宋" w:cs="仿宋"/>
          <w:color w:val="000000" w:themeColor="text1"/>
          <w:szCs w:val="32"/>
          <w:highlight w:val="none"/>
          <w:lang w:bidi="ar"/>
          <w14:textFill>
            <w14:solidFill>
              <w14:schemeClr w14:val="tx1"/>
            </w14:solidFill>
          </w14:textFill>
        </w:rPr>
      </w:pPr>
    </w:p>
    <w:sectPr>
      <w:pgSz w:w="16838" w:h="11906" w:orient="landscape"/>
      <w:pgMar w:top="1587" w:right="2098" w:bottom="1474" w:left="198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CNfcMGwIAACcEAAAOAAAAAAAAAAEAIAAAADU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M2MmJiNjJkYzRmNTZjNTI4NWNiYTQxNjgyYmE2MjQifQ=="/>
  </w:docVars>
  <w:rsids>
    <w:rsidRoot w:val="60387797"/>
    <w:rsid w:val="000A4DC0"/>
    <w:rsid w:val="000D3561"/>
    <w:rsid w:val="000E1799"/>
    <w:rsid w:val="000E714F"/>
    <w:rsid w:val="000F73B5"/>
    <w:rsid w:val="00107F46"/>
    <w:rsid w:val="00193DD0"/>
    <w:rsid w:val="00196A19"/>
    <w:rsid w:val="001A356D"/>
    <w:rsid w:val="001B49EF"/>
    <w:rsid w:val="001D774E"/>
    <w:rsid w:val="002138B0"/>
    <w:rsid w:val="002266F8"/>
    <w:rsid w:val="00227192"/>
    <w:rsid w:val="00234BF0"/>
    <w:rsid w:val="00263280"/>
    <w:rsid w:val="002706AA"/>
    <w:rsid w:val="0029087D"/>
    <w:rsid w:val="0029098B"/>
    <w:rsid w:val="002B4F8C"/>
    <w:rsid w:val="00313BAB"/>
    <w:rsid w:val="00357B9D"/>
    <w:rsid w:val="003805B7"/>
    <w:rsid w:val="00382611"/>
    <w:rsid w:val="0038530A"/>
    <w:rsid w:val="0038730E"/>
    <w:rsid w:val="003A2A62"/>
    <w:rsid w:val="003B218D"/>
    <w:rsid w:val="003D480C"/>
    <w:rsid w:val="003E0674"/>
    <w:rsid w:val="00432A73"/>
    <w:rsid w:val="004410AD"/>
    <w:rsid w:val="004415D5"/>
    <w:rsid w:val="00480FC1"/>
    <w:rsid w:val="00562B6D"/>
    <w:rsid w:val="005705D3"/>
    <w:rsid w:val="005C11EF"/>
    <w:rsid w:val="00607CE3"/>
    <w:rsid w:val="006416E7"/>
    <w:rsid w:val="00643402"/>
    <w:rsid w:val="00666A67"/>
    <w:rsid w:val="00694346"/>
    <w:rsid w:val="006C7032"/>
    <w:rsid w:val="0071783B"/>
    <w:rsid w:val="00727E6E"/>
    <w:rsid w:val="00737C29"/>
    <w:rsid w:val="00752250"/>
    <w:rsid w:val="00753605"/>
    <w:rsid w:val="007723D3"/>
    <w:rsid w:val="007C3C9B"/>
    <w:rsid w:val="007D71E4"/>
    <w:rsid w:val="00810347"/>
    <w:rsid w:val="00810B63"/>
    <w:rsid w:val="00820C9A"/>
    <w:rsid w:val="008303F5"/>
    <w:rsid w:val="00833047"/>
    <w:rsid w:val="008810B4"/>
    <w:rsid w:val="008B2437"/>
    <w:rsid w:val="008C6891"/>
    <w:rsid w:val="00902D57"/>
    <w:rsid w:val="00937440"/>
    <w:rsid w:val="00945328"/>
    <w:rsid w:val="00950DDF"/>
    <w:rsid w:val="009B4611"/>
    <w:rsid w:val="009E76EF"/>
    <w:rsid w:val="009F0E0F"/>
    <w:rsid w:val="009F4683"/>
    <w:rsid w:val="009F72A6"/>
    <w:rsid w:val="00AB3B89"/>
    <w:rsid w:val="00AD4F42"/>
    <w:rsid w:val="00AE473B"/>
    <w:rsid w:val="00AF0D35"/>
    <w:rsid w:val="00B138E2"/>
    <w:rsid w:val="00B35ED8"/>
    <w:rsid w:val="00B363B2"/>
    <w:rsid w:val="00B55DE1"/>
    <w:rsid w:val="00B976F8"/>
    <w:rsid w:val="00BA70B2"/>
    <w:rsid w:val="00BD75C5"/>
    <w:rsid w:val="00BE3313"/>
    <w:rsid w:val="00BE60E2"/>
    <w:rsid w:val="00BF1331"/>
    <w:rsid w:val="00BF4DA3"/>
    <w:rsid w:val="00CA288A"/>
    <w:rsid w:val="00CC752D"/>
    <w:rsid w:val="00CE42E3"/>
    <w:rsid w:val="00CE47F7"/>
    <w:rsid w:val="00CF3DBA"/>
    <w:rsid w:val="00D80989"/>
    <w:rsid w:val="00E07FCC"/>
    <w:rsid w:val="00E96051"/>
    <w:rsid w:val="00E96FF8"/>
    <w:rsid w:val="00EA2E26"/>
    <w:rsid w:val="00EA7B75"/>
    <w:rsid w:val="00EC03BE"/>
    <w:rsid w:val="00EC4944"/>
    <w:rsid w:val="00EF6534"/>
    <w:rsid w:val="00F652A1"/>
    <w:rsid w:val="00F85E68"/>
    <w:rsid w:val="00F87B66"/>
    <w:rsid w:val="0B14133A"/>
    <w:rsid w:val="16D9178F"/>
    <w:rsid w:val="17576DD9"/>
    <w:rsid w:val="18EE19B5"/>
    <w:rsid w:val="1DFB6F81"/>
    <w:rsid w:val="1E766B76"/>
    <w:rsid w:val="1ECC0558"/>
    <w:rsid w:val="1FFE437A"/>
    <w:rsid w:val="22BB2DED"/>
    <w:rsid w:val="29FE4F87"/>
    <w:rsid w:val="2CF85F9A"/>
    <w:rsid w:val="31A5531A"/>
    <w:rsid w:val="33DF48FD"/>
    <w:rsid w:val="39DE7B3A"/>
    <w:rsid w:val="3BDEEFFB"/>
    <w:rsid w:val="3BDF0384"/>
    <w:rsid w:val="3BE9394F"/>
    <w:rsid w:val="3D4F10FF"/>
    <w:rsid w:val="3F5F26BB"/>
    <w:rsid w:val="3F756507"/>
    <w:rsid w:val="3FAEB0ED"/>
    <w:rsid w:val="4BFDACF6"/>
    <w:rsid w:val="4EB93D61"/>
    <w:rsid w:val="4FDF3194"/>
    <w:rsid w:val="52750FF9"/>
    <w:rsid w:val="53DB33D4"/>
    <w:rsid w:val="57F70CC3"/>
    <w:rsid w:val="5A7D63B9"/>
    <w:rsid w:val="5BFEDA0C"/>
    <w:rsid w:val="5BFF61C2"/>
    <w:rsid w:val="5D9B3A0D"/>
    <w:rsid w:val="5EFF0240"/>
    <w:rsid w:val="5F5FDB67"/>
    <w:rsid w:val="5FA7192A"/>
    <w:rsid w:val="60387797"/>
    <w:rsid w:val="663F7958"/>
    <w:rsid w:val="675B89FD"/>
    <w:rsid w:val="6D6B5068"/>
    <w:rsid w:val="6EF7FF7B"/>
    <w:rsid w:val="6EFE3FE3"/>
    <w:rsid w:val="6FE5A1BD"/>
    <w:rsid w:val="6FEFE289"/>
    <w:rsid w:val="6FFC3CAB"/>
    <w:rsid w:val="6FFFE83E"/>
    <w:rsid w:val="75C3B1B0"/>
    <w:rsid w:val="75FF7739"/>
    <w:rsid w:val="75FF9A9B"/>
    <w:rsid w:val="77AEB1ED"/>
    <w:rsid w:val="796F0D01"/>
    <w:rsid w:val="7B897286"/>
    <w:rsid w:val="7D9F608E"/>
    <w:rsid w:val="7E5E3FF3"/>
    <w:rsid w:val="7EF756E3"/>
    <w:rsid w:val="7FBF06AF"/>
    <w:rsid w:val="7FEBAE78"/>
    <w:rsid w:val="7FFE5A7D"/>
    <w:rsid w:val="7FFF1E73"/>
    <w:rsid w:val="9DBE1F5E"/>
    <w:rsid w:val="AF65AB1E"/>
    <w:rsid w:val="B7BD8B02"/>
    <w:rsid w:val="BDB6FF1B"/>
    <w:rsid w:val="BDB75CD4"/>
    <w:rsid w:val="BEFF7ABA"/>
    <w:rsid w:val="CCEE5FD8"/>
    <w:rsid w:val="CF7BF719"/>
    <w:rsid w:val="D3AE7F4D"/>
    <w:rsid w:val="D4ECA49E"/>
    <w:rsid w:val="D4FEE1A7"/>
    <w:rsid w:val="D7EE167F"/>
    <w:rsid w:val="D7FFECEF"/>
    <w:rsid w:val="DAE57657"/>
    <w:rsid w:val="DD9EBD56"/>
    <w:rsid w:val="DE77D4D0"/>
    <w:rsid w:val="EEF7B572"/>
    <w:rsid w:val="EEFF0296"/>
    <w:rsid w:val="EF9E1218"/>
    <w:rsid w:val="EFEB13D1"/>
    <w:rsid w:val="EFF7DF0A"/>
    <w:rsid w:val="F337E2D6"/>
    <w:rsid w:val="F3EF6DA9"/>
    <w:rsid w:val="F49D82E2"/>
    <w:rsid w:val="F72B320C"/>
    <w:rsid w:val="FA796AA1"/>
    <w:rsid w:val="FA7B769E"/>
    <w:rsid w:val="FCCF9659"/>
    <w:rsid w:val="FD3FA587"/>
    <w:rsid w:val="FDEF01BE"/>
    <w:rsid w:val="FE79E62B"/>
    <w:rsid w:val="FEBF52CD"/>
    <w:rsid w:val="FF0C6675"/>
    <w:rsid w:val="FFB19DB2"/>
    <w:rsid w:val="FFED0A78"/>
    <w:rsid w:val="FFFAF610"/>
    <w:rsid w:val="FFFDFF1A"/>
    <w:rsid w:val="FFFEB5FD"/>
    <w:rsid w:val="FFFF1903"/>
    <w:rsid w:val="FFFFCCE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32"/>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customStyle="1" w:styleId="10">
    <w:name w:val="NormalCharacter"/>
    <w:link w:val="11"/>
    <w:semiHidden/>
    <w:qFormat/>
    <w:uiPriority w:val="0"/>
    <w:rPr>
      <w:szCs w:val="20"/>
    </w:rPr>
  </w:style>
  <w:style w:type="paragraph" w:customStyle="1" w:styleId="11">
    <w:name w:val="UserStyle_1"/>
    <w:basedOn w:val="1"/>
    <w:link w:val="10"/>
    <w:qFormat/>
    <w:uiPriority w:val="0"/>
    <w:pPr>
      <w:widowControl/>
      <w:textAlignment w:val="baseline"/>
    </w:pPr>
    <w:rPr>
      <w:szCs w:val="20"/>
    </w:rPr>
  </w:style>
  <w:style w:type="character" w:customStyle="1" w:styleId="12">
    <w:name w:val="font91"/>
    <w:basedOn w:val="8"/>
    <w:qFormat/>
    <w:uiPriority w:val="0"/>
    <w:rPr>
      <w:rFonts w:hint="default" w:ascii="Times New Roman" w:hAnsi="Times New Roman" w:cs="Times New Roman"/>
      <w:color w:val="000000"/>
      <w:sz w:val="18"/>
      <w:szCs w:val="18"/>
      <w:u w:val="none"/>
    </w:rPr>
  </w:style>
  <w:style w:type="character" w:customStyle="1" w:styleId="13">
    <w:name w:val="font81"/>
    <w:basedOn w:val="8"/>
    <w:qFormat/>
    <w:uiPriority w:val="0"/>
    <w:rPr>
      <w:rFonts w:hint="eastAsia" w:ascii="宋体" w:hAnsi="宋体" w:eastAsia="宋体" w:cs="宋体"/>
      <w:color w:val="000000"/>
      <w:sz w:val="18"/>
      <w:szCs w:val="18"/>
      <w:u w:val="none"/>
    </w:rPr>
  </w:style>
  <w:style w:type="character" w:customStyle="1" w:styleId="14">
    <w:name w:val="font101"/>
    <w:basedOn w:val="8"/>
    <w:qFormat/>
    <w:uiPriority w:val="0"/>
    <w:rPr>
      <w:rFonts w:hint="default" w:ascii="Times New Roman" w:hAnsi="Times New Roman" w:cs="Times New Roman"/>
      <w:b/>
      <w:bCs/>
      <w:color w:val="000000"/>
      <w:sz w:val="18"/>
      <w:szCs w:val="18"/>
      <w:u w:val="none"/>
    </w:rPr>
  </w:style>
  <w:style w:type="character" w:customStyle="1" w:styleId="15">
    <w:name w:val="font141"/>
    <w:basedOn w:val="8"/>
    <w:qFormat/>
    <w:uiPriority w:val="0"/>
    <w:rPr>
      <w:rFonts w:hint="eastAsia" w:ascii="宋体" w:hAnsi="宋体" w:eastAsia="宋体" w:cs="宋体"/>
      <w:b/>
      <w:bCs/>
      <w:color w:val="FF0000"/>
      <w:sz w:val="18"/>
      <w:szCs w:val="18"/>
      <w:u w:val="none"/>
    </w:rPr>
  </w:style>
  <w:style w:type="character" w:customStyle="1" w:styleId="16">
    <w:name w:val="font151"/>
    <w:basedOn w:val="8"/>
    <w:qFormat/>
    <w:uiPriority w:val="0"/>
    <w:rPr>
      <w:rFonts w:hint="default" w:ascii="Times New Roman" w:hAnsi="Times New Roman" w:cs="Times New Roman"/>
      <w:b/>
      <w:bCs/>
      <w:color w:val="FF0000"/>
      <w:sz w:val="18"/>
      <w:szCs w:val="18"/>
      <w:u w:val="none"/>
    </w:rPr>
  </w:style>
  <w:style w:type="character" w:customStyle="1" w:styleId="17">
    <w:name w:val="font71"/>
    <w:basedOn w:val="8"/>
    <w:qFormat/>
    <w:uiPriority w:val="0"/>
    <w:rPr>
      <w:rFonts w:hint="eastAsia" w:ascii="宋体" w:hAnsi="宋体" w:eastAsia="宋体" w:cs="宋体"/>
      <w:b/>
      <w:bCs/>
      <w:color w:val="000000"/>
      <w:sz w:val="18"/>
      <w:szCs w:val="18"/>
      <w:u w:val="none"/>
    </w:rPr>
  </w:style>
  <w:style w:type="character" w:customStyle="1" w:styleId="18">
    <w:name w:val="font161"/>
    <w:basedOn w:val="8"/>
    <w:qFormat/>
    <w:uiPriority w:val="0"/>
    <w:rPr>
      <w:rFonts w:hint="eastAsia" w:ascii="宋体" w:hAnsi="宋体" w:eastAsia="宋体" w:cs="宋体"/>
      <w:color w:val="000000"/>
      <w:sz w:val="18"/>
      <w:szCs w:val="18"/>
      <w:u w:val="none"/>
      <w:vertAlign w:val="superscript"/>
    </w:rPr>
  </w:style>
  <w:style w:type="paragraph" w:styleId="1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2573</Words>
  <Characters>14671</Characters>
  <Lines>122</Lines>
  <Paragraphs>34</Paragraphs>
  <TotalTime>0</TotalTime>
  <ScaleCrop>false</ScaleCrop>
  <LinksUpToDate>false</LinksUpToDate>
  <CharactersWithSpaces>17210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2025-06-24T05:16:00Z</dcterms:created>
  <dc:creator>张晓洁</dc:creator>
  <cp:lastModifiedBy>gly</cp:lastModifiedBy>
  <cp:lastPrinted>2025-06-12T10:46:00Z</cp:lastPrinted>
  <dcterms:modified xsi:type="dcterms:W3CDTF">2025-06-25T12:00:04Z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BE96DC283702455D8296C2D9BF2F783B_13</vt:lpwstr>
  </property>
  <property fmtid="{D5CDD505-2E9C-101B-9397-08002B2CF9AE}" pid="4" name="KSOTemplateDocerSaveRecord">
    <vt:lpwstr>eyJoZGlkIjoiZmQzYjc4NDkyMjY5ZWY2ZTFlZGE5MDRjNjFiNGQ3NmUiLCJ1c2VySWQiOiI0MTE2MzIxNTAifQ==</vt:lpwstr>
  </property>
</Properties>
</file>