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eastAsia="黑体"/>
          <w:szCs w:val="32"/>
          <w:lang w:val="zh-CN"/>
        </w:rPr>
      </w:pPr>
      <w:r>
        <w:rPr>
          <w:rFonts w:eastAsia="黑体"/>
          <w:szCs w:val="32"/>
          <w:lang w:val="zh-CN"/>
        </w:rPr>
        <w:t>附件</w:t>
      </w:r>
      <w:r>
        <w:rPr>
          <w:rFonts w:eastAsia="黑体"/>
          <w:szCs w:val="32"/>
        </w:rPr>
        <w:t>2</w:t>
      </w:r>
    </w:p>
    <w:p>
      <w:pPr>
        <w:widowControl/>
        <w:spacing w:line="580" w:lineRule="exact"/>
        <w:contextualSpacing/>
        <w:jc w:val="center"/>
        <w:rPr>
          <w:rFonts w:hint="eastAsia" w:eastAsia="宋体"/>
          <w:b/>
          <w:sz w:val="44"/>
          <w:szCs w:val="44"/>
          <w:shd w:val="clear" w:color="auto" w:fill="FFFFFF"/>
          <w:lang w:val="en-US" w:eastAsia="zh-CN"/>
        </w:rPr>
      </w:pPr>
      <w:r>
        <w:rPr>
          <w:rFonts w:hint="eastAsia" w:eastAsia="宋体"/>
          <w:b/>
          <w:sz w:val="44"/>
          <w:szCs w:val="44"/>
          <w:shd w:val="clear" w:color="auto" w:fill="FFFFFF"/>
          <w:lang w:val="en-US" w:eastAsia="zh-CN"/>
        </w:rPr>
        <w:t>攀枝花市花城外国语学校</w:t>
      </w:r>
    </w:p>
    <w:p>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202</w:t>
      </w:r>
      <w:r>
        <w:rPr>
          <w:rFonts w:hint="eastAsia" w:eastAsia="宋体"/>
          <w:b/>
          <w:sz w:val="44"/>
          <w:szCs w:val="44"/>
          <w:shd w:val="clear" w:color="auto" w:fill="FFFFFF"/>
          <w:lang w:val="en-US" w:eastAsia="zh-CN"/>
        </w:rPr>
        <w:t>3</w:t>
      </w:r>
      <w:r>
        <w:rPr>
          <w:rFonts w:hint="eastAsia" w:eastAsia="宋体"/>
          <w:b/>
          <w:sz w:val="44"/>
          <w:szCs w:val="44"/>
          <w:shd w:val="clear" w:color="auto" w:fill="FFFFFF"/>
        </w:rPr>
        <w:t>年度区</w:t>
      </w:r>
      <w:r>
        <w:rPr>
          <w:rFonts w:eastAsia="宋体"/>
          <w:b/>
          <w:sz w:val="44"/>
          <w:szCs w:val="44"/>
          <w:shd w:val="clear" w:color="auto" w:fill="FFFFFF"/>
        </w:rPr>
        <w:t>级部门整体支出绩效评价报告</w:t>
      </w:r>
    </w:p>
    <w:p>
      <w:pPr>
        <w:widowControl/>
        <w:adjustRightInd w:val="0"/>
        <w:snapToGrid w:val="0"/>
        <w:spacing w:line="580" w:lineRule="exact"/>
        <w:ind w:firstLine="480" w:firstLineChars="200"/>
        <w:contextualSpacing/>
        <w:jc w:val="left"/>
        <w:rPr>
          <w:rFonts w:eastAsia="黑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lang w:val="zh-CN"/>
        </w:rPr>
      </w:pPr>
      <w:r>
        <w:rPr>
          <w:rFonts w:eastAsia="黑体"/>
          <w:color w:val="000000"/>
          <w:kern w:val="0"/>
          <w:szCs w:val="32"/>
          <w:shd w:val="clear" w:color="auto" w:fill="FFFFFF"/>
        </w:rPr>
        <w:t>一、</w:t>
      </w:r>
      <w:r>
        <w:rPr>
          <w:rFonts w:eastAsia="黑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ascii="仿宋_GB2312" w:hAnsi="仿宋_GB2312" w:eastAsia="仿宋_GB2312" w:cs="仿宋_GB2312"/>
          <w:sz w:val="32"/>
          <w:szCs w:val="32"/>
        </w:rPr>
        <w:t>攀枝花市</w:t>
      </w:r>
      <w:r>
        <w:rPr>
          <w:rFonts w:hint="eastAsia" w:ascii="仿宋_GB2312" w:hAnsi="仿宋_GB2312" w:eastAsia="仿宋_GB2312" w:cs="仿宋_GB2312"/>
          <w:sz w:val="32"/>
          <w:szCs w:val="32"/>
          <w:lang w:val="en-US" w:eastAsia="zh-CN"/>
        </w:rPr>
        <w:t>花城</w:t>
      </w:r>
      <w:r>
        <w:rPr>
          <w:rFonts w:hint="eastAsia" w:ascii="仿宋_GB2312" w:hAnsi="仿宋_GB2312" w:eastAsia="仿宋_GB2312" w:cs="仿宋_GB2312"/>
          <w:sz w:val="32"/>
          <w:szCs w:val="32"/>
        </w:rPr>
        <w:t>外国语学校是经攀枝花市东区机构编制委员会批准成立的独立法人机构，</w:t>
      </w:r>
      <w:r>
        <w:rPr>
          <w:rStyle w:val="19"/>
          <w:rFonts w:hint="eastAsia"/>
        </w:rPr>
        <w:t>是经费独立核算单位，隶属于攀枝花市东区教育和体育局，实施九年义务教育</w:t>
      </w:r>
      <w:r>
        <w:rPr>
          <w:rFonts w:hint="eastAsia" w:ascii="仿宋_GB2312" w:hAnsi="仿宋_GB2312" w:eastAsia="仿宋_GB2312" w:cs="仿宋_GB2312"/>
          <w:sz w:val="32"/>
          <w:szCs w:val="32"/>
        </w:rPr>
        <w:t>。</w:t>
      </w:r>
    </w:p>
    <w:p>
      <w:pPr>
        <w:widowControl/>
        <w:numPr>
          <w:ilvl w:val="0"/>
          <w:numId w:val="1"/>
        </w:numPr>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机构职能。</w:t>
      </w:r>
    </w:p>
    <w:p>
      <w:pPr>
        <w:widowControl/>
        <w:numPr>
          <w:ilvl w:val="0"/>
          <w:numId w:val="0"/>
        </w:numPr>
        <w:adjustRightInd w:val="0"/>
        <w:snapToGrid w:val="0"/>
        <w:spacing w:line="580" w:lineRule="exact"/>
        <w:ind w:firstLine="640" w:firstLineChars="200"/>
        <w:contextualSpacing/>
        <w:jc w:val="left"/>
        <w:rPr>
          <w:color w:val="000000"/>
          <w:kern w:val="0"/>
          <w:szCs w:val="32"/>
          <w:shd w:val="clear" w:color="auto" w:fill="FFFFFF"/>
          <w:lang w:val="zh-CN"/>
        </w:rPr>
      </w:pPr>
      <w:r>
        <w:rPr>
          <w:rFonts w:hint="eastAsia" w:ascii="仿宋_GB2312" w:hAnsi="仿宋_GB2312" w:cs="仿宋_GB2312"/>
          <w:sz w:val="32"/>
          <w:szCs w:val="32"/>
          <w:lang w:val="en-US" w:eastAsia="zh-CN"/>
        </w:rPr>
        <w:t>攀枝花市花城外国语</w:t>
      </w:r>
      <w:r>
        <w:rPr>
          <w:rFonts w:hint="eastAsia" w:ascii="仿宋_GB2312" w:hAnsi="仿宋_GB2312" w:eastAsia="仿宋_GB2312" w:cs="仿宋_GB2312"/>
          <w:sz w:val="32"/>
          <w:szCs w:val="32"/>
        </w:rPr>
        <w:t>学校的主要工作职能是</w:t>
      </w:r>
      <w:r>
        <w:rPr>
          <w:rFonts w:hint="eastAsia" w:ascii="仿宋_GB2312" w:hAnsi="仿宋_GB2312" w:eastAsia="仿宋_GB2312" w:cs="仿宋_GB2312"/>
          <w:sz w:val="32"/>
          <w:szCs w:val="32"/>
          <w:lang w:val="en-US" w:eastAsia="zh-CN"/>
        </w:rPr>
        <w:t>促进基础教育发展、初中和小学学历教育</w:t>
      </w:r>
      <w:r>
        <w:rPr>
          <w:rFonts w:hint="eastAsia" w:ascii="仿宋_GB2312" w:hAnsi="仿宋_GB2312" w:eastAsia="仿宋_GB2312" w:cs="仿宋_GB2312"/>
          <w:sz w:val="32"/>
          <w:szCs w:val="32"/>
        </w:rPr>
        <w:t>。</w:t>
      </w:r>
    </w:p>
    <w:p>
      <w:pPr>
        <w:pStyle w:val="22"/>
        <w:numPr>
          <w:ilvl w:val="0"/>
          <w:numId w:val="1"/>
        </w:numPr>
        <w:ind w:left="0" w:leftChars="0" w:firstLine="640" w:firstLineChars="200"/>
        <w:rPr>
          <w:color w:val="000000"/>
          <w:kern w:val="0"/>
          <w:szCs w:val="32"/>
          <w:shd w:val="clear" w:color="auto" w:fill="FFFFFF"/>
          <w:lang w:val="zh-CN"/>
        </w:rPr>
      </w:pPr>
      <w:r>
        <w:rPr>
          <w:color w:val="000000"/>
          <w:kern w:val="0"/>
          <w:szCs w:val="32"/>
          <w:shd w:val="clear" w:color="auto" w:fill="FFFFFF"/>
          <w:lang w:val="zh-CN"/>
        </w:rPr>
        <w:t>人员概况。</w:t>
      </w:r>
    </w:p>
    <w:p>
      <w:pPr>
        <w:pStyle w:val="22"/>
        <w:numPr>
          <w:ilvl w:val="0"/>
          <w:numId w:val="0"/>
        </w:numPr>
        <w:ind w:firstLine="640" w:firstLineChars="200"/>
        <w:rPr>
          <w:color w:val="000000"/>
          <w:kern w:val="0"/>
          <w:szCs w:val="32"/>
          <w:shd w:val="clear" w:color="auto" w:fill="FFFFFF"/>
          <w:lang w:val="zh-CN"/>
        </w:rPr>
      </w:pPr>
      <w:r>
        <w:rPr>
          <w:rFonts w:hint="eastAsia"/>
        </w:rPr>
        <w:t>攀枝花市</w:t>
      </w:r>
      <w:r>
        <w:rPr>
          <w:rFonts w:hint="eastAsia"/>
          <w:lang w:val="en-US" w:eastAsia="zh-CN"/>
        </w:rPr>
        <w:t>花城</w:t>
      </w:r>
      <w:r>
        <w:rPr>
          <w:rFonts w:hint="eastAsia"/>
        </w:rPr>
        <w:t>外国语学校</w:t>
      </w:r>
      <w:r>
        <w:rPr>
          <w:rFonts w:hint="eastAsia"/>
          <w:lang w:val="en-US" w:eastAsia="zh-CN"/>
        </w:rPr>
        <w:t>年末</w:t>
      </w:r>
      <w:r>
        <w:rPr>
          <w:rFonts w:hint="eastAsia" w:ascii="仿宋_GB2312" w:hAnsi="仿宋_GB2312" w:eastAsia="仿宋_GB2312" w:cs="仿宋_GB2312"/>
          <w:kern w:val="2"/>
          <w:sz w:val="32"/>
          <w:szCs w:val="32"/>
        </w:rPr>
        <w:t>实有</w:t>
      </w:r>
      <w:r>
        <w:rPr>
          <w:rFonts w:hint="eastAsia" w:ascii="仿宋_GB2312" w:hAnsi="仿宋_GB2312" w:eastAsia="仿宋_GB2312" w:cs="仿宋_GB2312"/>
          <w:kern w:val="2"/>
          <w:sz w:val="32"/>
          <w:szCs w:val="32"/>
          <w:lang w:val="en-US" w:eastAsia="zh-CN"/>
        </w:rPr>
        <w:t>在职教职工</w:t>
      </w:r>
      <w:r>
        <w:rPr>
          <w:rFonts w:hint="eastAsia" w:cs="仿宋_GB2312"/>
          <w:kern w:val="2"/>
          <w:sz w:val="32"/>
          <w:szCs w:val="32"/>
          <w:lang w:val="en-US" w:eastAsia="zh-CN"/>
        </w:rPr>
        <w:t>291</w:t>
      </w:r>
      <w:r>
        <w:rPr>
          <w:rFonts w:hint="eastAsia" w:ascii="仿宋_GB2312" w:hAnsi="仿宋_GB2312" w:eastAsia="仿宋_GB2312" w:cs="仿宋_GB2312"/>
          <w:kern w:val="2"/>
          <w:sz w:val="32"/>
          <w:szCs w:val="32"/>
          <w:lang w:val="en-US" w:eastAsia="zh-CN"/>
        </w:rPr>
        <w:t>人、离退休人员</w:t>
      </w:r>
      <w:r>
        <w:rPr>
          <w:rFonts w:hint="eastAsia" w:cs="仿宋_GB2312"/>
          <w:kern w:val="2"/>
          <w:sz w:val="32"/>
          <w:szCs w:val="32"/>
          <w:lang w:val="en-US" w:eastAsia="zh-CN"/>
        </w:rPr>
        <w:t>3</w:t>
      </w:r>
      <w:r>
        <w:rPr>
          <w:rFonts w:hint="eastAsia" w:ascii="仿宋_GB2312" w:hAnsi="仿宋_GB2312" w:eastAsia="仿宋_GB2312" w:cs="仿宋_GB2312"/>
          <w:kern w:val="2"/>
          <w:sz w:val="32"/>
          <w:szCs w:val="32"/>
          <w:lang w:val="en-US" w:eastAsia="zh-CN"/>
        </w:rPr>
        <w:t>人、财政临聘人员</w:t>
      </w:r>
      <w:r>
        <w:rPr>
          <w:rFonts w:hint="eastAsia" w:cs="仿宋_GB2312"/>
          <w:kern w:val="2"/>
          <w:sz w:val="32"/>
          <w:szCs w:val="32"/>
          <w:lang w:val="en-US" w:eastAsia="zh-CN"/>
        </w:rPr>
        <w:t>2</w:t>
      </w:r>
      <w:r>
        <w:rPr>
          <w:rFonts w:hint="eastAsia" w:ascii="仿宋_GB2312" w:hAnsi="仿宋_GB2312" w:eastAsia="仿宋_GB2312" w:cs="仿宋_GB2312"/>
          <w:kern w:val="2"/>
          <w:sz w:val="32"/>
          <w:szCs w:val="32"/>
        </w:rPr>
        <w:t>人</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学校自聘人员</w:t>
      </w:r>
      <w:r>
        <w:rPr>
          <w:rFonts w:hint="eastAsia" w:cs="仿宋_GB2312"/>
          <w:kern w:val="2"/>
          <w:sz w:val="32"/>
          <w:szCs w:val="32"/>
          <w:lang w:val="en-US" w:eastAsia="zh-CN"/>
        </w:rPr>
        <w:t>15</w:t>
      </w:r>
      <w:r>
        <w:rPr>
          <w:rFonts w:hint="eastAsia" w:ascii="仿宋_GB2312" w:hAnsi="仿宋_GB2312" w:eastAsia="仿宋_GB2312" w:cs="仿宋_GB2312"/>
          <w:kern w:val="2"/>
          <w:sz w:val="32"/>
          <w:szCs w:val="32"/>
          <w:lang w:val="en-US" w:eastAsia="zh-CN"/>
        </w:rPr>
        <w:t>人。</w:t>
      </w:r>
      <w:r>
        <w:t>学生人数</w:t>
      </w:r>
      <w:r>
        <w:rPr>
          <w:rFonts w:hint="eastAsia"/>
          <w:lang w:val="en-US" w:eastAsia="zh-CN"/>
        </w:rPr>
        <w:t>4373</w:t>
      </w:r>
      <w:r>
        <w:t>人（小学</w:t>
      </w:r>
      <w:r>
        <w:rPr>
          <w:rFonts w:hint="eastAsia"/>
          <w:lang w:val="en-US" w:eastAsia="zh-CN"/>
        </w:rPr>
        <w:t>3359</w:t>
      </w:r>
      <w:r>
        <w:t>人，初中</w:t>
      </w:r>
      <w:r>
        <w:rPr>
          <w:rFonts w:hint="eastAsia"/>
          <w:lang w:val="en-US" w:eastAsia="zh-CN"/>
        </w:rPr>
        <w:t>1553</w:t>
      </w:r>
      <w:r>
        <w:t>人）</w:t>
      </w:r>
      <w:r>
        <w:rPr>
          <w:rFonts w:hint="eastAsia" w:ascii="仿宋_GB2312" w:hAnsi="仿宋_GB2312" w:eastAsia="仿宋_GB2312" w:cs="仿宋_GB2312"/>
          <w:kern w:val="2"/>
          <w:sz w:val="32"/>
          <w:szCs w:val="32"/>
          <w:lang w:val="en-US" w:eastAsia="zh-CN"/>
        </w:rPr>
        <w:t>学校</w:t>
      </w:r>
      <w:r>
        <w:rPr>
          <w:rFonts w:hint="eastAsia" w:ascii="仿宋_GB2312" w:hAnsi="仿宋_GB2312" w:eastAsia="仿宋_GB2312" w:cs="仿宋_GB2312"/>
          <w:kern w:val="2"/>
          <w:sz w:val="32"/>
          <w:szCs w:val="32"/>
        </w:rPr>
        <w:t>核定的内设机构</w:t>
      </w:r>
      <w:r>
        <w:rPr>
          <w:rFonts w:hint="eastAsia" w:cs="仿宋_GB2312"/>
          <w:kern w:val="2"/>
          <w:sz w:val="32"/>
          <w:szCs w:val="32"/>
          <w:lang w:val="en-US" w:eastAsia="zh-CN"/>
        </w:rPr>
        <w:t>12</w:t>
      </w:r>
      <w:r>
        <w:rPr>
          <w:rFonts w:hint="eastAsia" w:ascii="仿宋_GB2312" w:hAnsi="仿宋_GB2312" w:eastAsia="仿宋_GB2312" w:cs="仿宋_GB2312"/>
          <w:kern w:val="2"/>
          <w:sz w:val="32"/>
          <w:szCs w:val="32"/>
          <w:lang w:val="en-US" w:eastAsia="zh-CN"/>
        </w:rPr>
        <w:t>个</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学校现有公务</w:t>
      </w:r>
      <w:r>
        <w:rPr>
          <w:rFonts w:hint="eastAsia" w:ascii="仿宋_GB2312" w:hAnsi="仿宋_GB2312" w:eastAsia="仿宋_GB2312" w:cs="仿宋_GB2312"/>
          <w:kern w:val="2"/>
          <w:sz w:val="32"/>
          <w:szCs w:val="32"/>
        </w:rPr>
        <w:t>车</w:t>
      </w:r>
      <w:r>
        <w:rPr>
          <w:rFonts w:hint="eastAsia" w:ascii="仿宋_GB2312" w:hAnsi="仿宋_GB2312" w:eastAsia="仿宋_GB2312" w:cs="仿宋_GB2312"/>
          <w:kern w:val="2"/>
          <w:sz w:val="32"/>
          <w:szCs w:val="32"/>
          <w:lang w:val="en-US" w:eastAsia="zh-CN"/>
        </w:rPr>
        <w:t>0</w:t>
      </w:r>
      <w:r>
        <w:rPr>
          <w:rFonts w:hint="eastAsia" w:ascii="仿宋_GB2312" w:hAnsi="仿宋_GB2312" w:eastAsia="仿宋_GB2312" w:cs="仿宋_GB2312"/>
          <w:kern w:val="2"/>
          <w:sz w:val="32"/>
          <w:szCs w:val="32"/>
        </w:rPr>
        <w:t>辆。</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pPr>
        <w:pStyle w:val="22"/>
        <w:ind w:left="0" w:leftChars="0" w:firstLine="640" w:firstLineChars="200"/>
        <w:rPr>
          <w:color w:val="000000"/>
          <w:kern w:val="0"/>
          <w:szCs w:val="32"/>
          <w:shd w:val="clear" w:color="auto" w:fill="FFFFFF"/>
          <w:lang w:val="zh-CN"/>
        </w:rPr>
      </w:pPr>
      <w:r>
        <w:rPr>
          <w:color w:val="000000"/>
          <w:kern w:val="0"/>
          <w:szCs w:val="32"/>
          <w:shd w:val="clear" w:color="auto" w:fill="FFFFFF"/>
          <w:lang w:val="zh-CN"/>
        </w:rPr>
        <w:t>（一）部门财政资金收入情况。</w:t>
      </w:r>
    </w:p>
    <w:p>
      <w:pPr>
        <w:pStyle w:val="22"/>
        <w:ind w:left="0" w:leftChars="0" w:firstLine="640" w:firstLineChars="200"/>
        <w:rPr>
          <w:color w:val="000000"/>
          <w:kern w:val="0"/>
          <w:szCs w:val="32"/>
          <w:shd w:val="clear" w:color="auto" w:fill="FFFFFF"/>
          <w:lang w:val="zh-CN"/>
        </w:rPr>
      </w:pPr>
      <w:r>
        <w:rPr>
          <w:rFonts w:hint="eastAsia"/>
          <w:color w:val="000000"/>
          <w:kern w:val="0"/>
          <w:szCs w:val="32"/>
          <w:shd w:val="clear" w:color="auto" w:fill="FFFFFF"/>
          <w:lang w:val="en-US" w:eastAsia="zh-CN"/>
        </w:rPr>
        <w:t>2</w:t>
      </w:r>
      <w:r>
        <w:rPr>
          <w:rFonts w:hint="eastAsia"/>
          <w:lang w:val="en-US" w:eastAsia="zh-CN"/>
        </w:rPr>
        <w:t>023年财政资金预算数4181.27万元，全年实际收入4473.9万元，其中一般公共预算财政拨款收入4473.9万元。</w:t>
      </w:r>
    </w:p>
    <w:p>
      <w:pPr>
        <w:pStyle w:val="22"/>
        <w:numPr>
          <w:ilvl w:val="0"/>
          <w:numId w:val="2"/>
        </w:numPr>
        <w:ind w:left="0" w:leftChars="0" w:firstLine="640" w:firstLineChars="200"/>
        <w:rPr>
          <w:color w:val="000000"/>
          <w:kern w:val="0"/>
          <w:szCs w:val="32"/>
          <w:shd w:val="clear" w:color="auto" w:fill="FFFFFF"/>
          <w:lang w:val="zh-CN"/>
        </w:rPr>
      </w:pPr>
      <w:r>
        <w:rPr>
          <w:color w:val="000000"/>
          <w:kern w:val="0"/>
          <w:szCs w:val="32"/>
          <w:shd w:val="clear" w:color="auto" w:fill="FFFFFF"/>
          <w:lang w:val="zh-CN"/>
        </w:rPr>
        <w:t>部门财政资金支出情况。</w:t>
      </w:r>
    </w:p>
    <w:p>
      <w:pPr>
        <w:pStyle w:val="22"/>
        <w:numPr>
          <w:ilvl w:val="0"/>
          <w:numId w:val="0"/>
        </w:numPr>
        <w:ind w:firstLine="640" w:firstLineChars="200"/>
        <w:rPr>
          <w:color w:val="000000"/>
          <w:kern w:val="0"/>
          <w:szCs w:val="32"/>
          <w:shd w:val="clear" w:color="auto" w:fill="FFFFFF"/>
          <w:lang w:val="zh-CN"/>
        </w:rPr>
      </w:pPr>
      <w:r>
        <w:rPr>
          <w:rFonts w:hint="eastAsia"/>
          <w:lang w:val="en-US" w:eastAsia="zh-CN"/>
        </w:rPr>
        <w:t>2023年财政资金拨款支出合计为4473.9万元。基本支出4471.11万元，其中人员类支出4026.68万元，公用类支出51.19万元；项目支出396.03万元。</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三、部门整体预算绩效管理情况（根据适用指标体系进行调整）</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（一）部门预算项目绩效管理。</w:t>
      </w:r>
    </w:p>
    <w:p>
      <w:pPr>
        <w:pStyle w:val="22"/>
        <w:numPr>
          <w:ilvl w:val="0"/>
          <w:numId w:val="3"/>
        </w:numPr>
        <w:ind w:left="0" w:leftChars="0" w:firstLine="640" w:firstLineChars="200"/>
        <w:rPr>
          <w:rFonts w:hint="eastAsia"/>
          <w:lang w:val="en-US" w:eastAsia="zh-CN"/>
        </w:rPr>
      </w:pPr>
      <w:r>
        <w:rPr>
          <w:rFonts w:hint="eastAsia"/>
          <w:lang w:val="en-US" w:eastAsia="zh-CN"/>
        </w:rPr>
        <w:t>人员类支出安排及使用情况</w:t>
      </w:r>
    </w:p>
    <w:p>
      <w:pPr>
        <w:pStyle w:val="22"/>
        <w:numPr>
          <w:ilvl w:val="0"/>
          <w:numId w:val="0"/>
        </w:numPr>
        <w:ind w:firstLine="640" w:firstLineChars="200"/>
        <w:rPr>
          <w:rFonts w:hint="default"/>
          <w:lang w:val="en-US" w:eastAsia="zh-CN"/>
        </w:rPr>
      </w:pPr>
      <w:r>
        <w:rPr>
          <w:rFonts w:hint="eastAsia"/>
          <w:lang w:val="en-US" w:eastAsia="zh-CN"/>
        </w:rPr>
        <w:t>2023</w:t>
      </w:r>
      <w:r>
        <w:rPr>
          <w:rFonts w:hint="default"/>
          <w:lang w:val="en-US" w:eastAsia="zh-CN"/>
        </w:rPr>
        <w:t>年</w:t>
      </w:r>
      <w:r>
        <w:rPr>
          <w:rFonts w:hint="eastAsia"/>
          <w:lang w:val="en-US" w:eastAsia="zh-CN"/>
        </w:rPr>
        <w:t>年</w:t>
      </w:r>
      <w:r>
        <w:rPr>
          <w:rFonts w:hint="default"/>
          <w:lang w:val="en-US" w:eastAsia="zh-CN"/>
        </w:rPr>
        <w:t>初预算</w:t>
      </w:r>
      <w:r>
        <w:rPr>
          <w:rFonts w:hint="eastAsia"/>
          <w:lang w:val="en-US" w:eastAsia="zh-CN"/>
        </w:rPr>
        <w:t>工资福利</w:t>
      </w:r>
      <w:r>
        <w:rPr>
          <w:rFonts w:hint="default"/>
          <w:lang w:val="en-US" w:eastAsia="zh-CN"/>
        </w:rPr>
        <w:t>支出</w:t>
      </w:r>
      <w:r>
        <w:rPr>
          <w:rFonts w:hint="eastAsia"/>
          <w:lang w:val="en-US" w:eastAsia="zh-CN"/>
        </w:rPr>
        <w:t>3744.5万元，</w:t>
      </w:r>
      <w:r>
        <w:rPr>
          <w:rFonts w:hint="default"/>
          <w:lang w:val="en-US" w:eastAsia="zh-CN"/>
        </w:rPr>
        <w:t>全年实际支出</w:t>
      </w:r>
      <w:r>
        <w:rPr>
          <w:rFonts w:hint="eastAsia"/>
          <w:lang w:val="en-US" w:eastAsia="zh-CN"/>
        </w:rPr>
        <w:t>4026.68</w:t>
      </w:r>
      <w:r>
        <w:rPr>
          <w:rFonts w:hint="default"/>
          <w:lang w:val="en-US" w:eastAsia="zh-CN"/>
        </w:rPr>
        <w:t>万元（其中追加</w:t>
      </w:r>
      <w:r>
        <w:rPr>
          <w:rFonts w:hint="eastAsia"/>
          <w:lang w:val="en-US" w:eastAsia="zh-CN"/>
        </w:rPr>
        <w:t>282.18</w:t>
      </w:r>
      <w:r>
        <w:rPr>
          <w:rFonts w:hint="default"/>
          <w:lang w:val="en-US" w:eastAsia="zh-CN"/>
        </w:rPr>
        <w:t>万元）</w:t>
      </w:r>
      <w:r>
        <w:rPr>
          <w:rFonts w:hint="eastAsia"/>
          <w:lang w:val="en-US" w:eastAsia="zh-CN"/>
        </w:rPr>
        <w:t>，主要原因学校规模扩大调入新增教职人员43人。具体支出分析如下：</w:t>
      </w:r>
    </w:p>
    <w:p>
      <w:pPr>
        <w:pStyle w:val="22"/>
        <w:numPr>
          <w:ilvl w:val="0"/>
          <w:numId w:val="0"/>
        </w:numPr>
        <w:ind w:firstLine="640" w:firstLineChars="200"/>
        <w:rPr>
          <w:rFonts w:hint="default"/>
          <w:lang w:val="en-US" w:eastAsia="zh-CN"/>
        </w:rPr>
      </w:pPr>
      <w:r>
        <w:rPr>
          <w:rFonts w:hint="eastAsia"/>
          <w:lang w:val="en-US" w:eastAsia="zh-CN"/>
        </w:rPr>
        <w:t>目标制定：绩效目标编制</w:t>
      </w:r>
      <w:r>
        <w:rPr>
          <w:rFonts w:hint="eastAsia"/>
          <w:lang w:val="zh-CN" w:eastAsia="zh-CN"/>
        </w:rPr>
        <w:t>要素完整，通过了学校办公会集体决策，具有可实现性；</w:t>
      </w:r>
    </w:p>
    <w:p>
      <w:pPr>
        <w:pStyle w:val="22"/>
        <w:ind w:left="0" w:leftChars="0" w:firstLine="640" w:firstLineChars="200"/>
        <w:rPr>
          <w:rFonts w:hint="eastAsia"/>
          <w:lang w:val="zh-CN" w:eastAsia="zh-CN"/>
        </w:rPr>
      </w:pPr>
      <w:r>
        <w:rPr>
          <w:rFonts w:hint="eastAsia"/>
          <w:lang w:val="en-US" w:eastAsia="zh-CN"/>
        </w:rPr>
        <w:t>目标实现：超</w:t>
      </w:r>
      <w:r>
        <w:rPr>
          <w:rFonts w:hint="eastAsia"/>
          <w:lang w:val="zh-CN" w:eastAsia="zh-CN"/>
        </w:rPr>
        <w:t>预算项目</w:t>
      </w:r>
      <w:r>
        <w:rPr>
          <w:rFonts w:hint="eastAsia"/>
          <w:lang w:val="en-US" w:eastAsia="zh-CN"/>
        </w:rPr>
        <w:t>完成预期</w:t>
      </w:r>
      <w:r>
        <w:rPr>
          <w:rFonts w:hint="eastAsia"/>
          <w:lang w:val="zh-CN" w:eastAsia="zh-CN"/>
        </w:rPr>
        <w:t>目标值；</w:t>
      </w:r>
    </w:p>
    <w:p>
      <w:pPr>
        <w:pStyle w:val="22"/>
        <w:ind w:left="0" w:leftChars="0" w:firstLine="640" w:firstLineChars="200"/>
        <w:rPr>
          <w:rFonts w:hint="eastAsia"/>
          <w:lang w:val="en-US" w:eastAsia="zh-CN"/>
        </w:rPr>
      </w:pPr>
      <w:r>
        <w:rPr>
          <w:rFonts w:hint="eastAsia"/>
          <w:lang w:val="en-US" w:eastAsia="zh-CN"/>
        </w:rPr>
        <w:t>支出控制：超出预算数7.54%；</w:t>
      </w:r>
    </w:p>
    <w:p>
      <w:pPr>
        <w:pStyle w:val="22"/>
        <w:ind w:left="0" w:leftChars="0" w:firstLine="640" w:firstLineChars="200"/>
        <w:rPr>
          <w:rFonts w:hint="default"/>
          <w:lang w:val="en-US" w:eastAsia="zh-CN"/>
        </w:rPr>
      </w:pPr>
      <w:r>
        <w:rPr>
          <w:rFonts w:hint="eastAsia"/>
          <w:lang w:val="en-US" w:eastAsia="zh-CN"/>
        </w:rPr>
        <w:t>及时处置：我校在工资福利支出</w:t>
      </w:r>
      <w:r>
        <w:rPr>
          <w:rFonts w:hint="eastAsia"/>
          <w:lang w:val="zh-CN" w:eastAsia="zh-CN"/>
        </w:rPr>
        <w:t>出现偏差时，及时向财政部门</w:t>
      </w:r>
      <w:r>
        <w:rPr>
          <w:rFonts w:hint="eastAsia"/>
          <w:lang w:val="en-US" w:eastAsia="zh-CN"/>
        </w:rPr>
        <w:t>申请</w:t>
      </w:r>
      <w:r>
        <w:rPr>
          <w:rFonts w:hint="eastAsia"/>
          <w:lang w:val="zh-CN" w:eastAsia="zh-CN"/>
        </w:rPr>
        <w:t>进行资金调整，</w:t>
      </w:r>
      <w:r>
        <w:rPr>
          <w:rFonts w:hint="eastAsia"/>
          <w:lang w:val="en-US" w:eastAsia="zh-CN"/>
        </w:rPr>
        <w:t>以保障当年人员工资福利的支出</w:t>
      </w:r>
      <w:r>
        <w:rPr>
          <w:rFonts w:hint="eastAsia"/>
          <w:lang w:val="zh-CN" w:eastAsia="zh-CN"/>
        </w:rPr>
        <w:t>；</w:t>
      </w:r>
    </w:p>
    <w:p>
      <w:pPr>
        <w:pStyle w:val="22"/>
        <w:ind w:left="0" w:leftChars="0" w:firstLine="640" w:firstLineChars="200"/>
        <w:rPr>
          <w:rFonts w:hint="eastAsia"/>
          <w:lang w:val="zh-CN" w:eastAsia="zh-CN"/>
        </w:rPr>
      </w:pPr>
      <w:r>
        <w:rPr>
          <w:rFonts w:hint="eastAsia"/>
          <w:lang w:val="en-US" w:eastAsia="zh-CN"/>
        </w:rPr>
        <w:t>执行进度：</w:t>
      </w:r>
      <w:r>
        <w:rPr>
          <w:rFonts w:hint="eastAsia"/>
          <w:lang w:val="zh-CN" w:eastAsia="zh-CN"/>
        </w:rPr>
        <w:t>预算执行进度在6、9、11月实际支出进度分别达到</w:t>
      </w:r>
      <w:r>
        <w:rPr>
          <w:rFonts w:hint="eastAsia"/>
          <w:lang w:val="en-US" w:eastAsia="zh-CN"/>
        </w:rPr>
        <w:t>56.28%、79.77%、98.84%</w:t>
      </w:r>
      <w:r>
        <w:rPr>
          <w:rFonts w:hint="eastAsia"/>
          <w:lang w:val="zh-CN" w:eastAsia="zh-CN"/>
        </w:rPr>
        <w:t>。</w:t>
      </w:r>
    </w:p>
    <w:p>
      <w:pPr>
        <w:pStyle w:val="22"/>
        <w:ind w:left="0" w:leftChars="0" w:firstLine="640" w:firstLineChars="200"/>
        <w:rPr>
          <w:rFonts w:hint="default"/>
          <w:lang w:val="en-US" w:eastAsia="zh-CN"/>
        </w:rPr>
      </w:pPr>
      <w:r>
        <w:rPr>
          <w:rFonts w:hint="eastAsia"/>
          <w:lang w:val="en-US" w:eastAsia="zh-CN"/>
        </w:rPr>
        <w:t>预算完成情况：完成率107.54%</w:t>
      </w:r>
    </w:p>
    <w:p>
      <w:pPr>
        <w:pStyle w:val="22"/>
        <w:ind w:left="0" w:leftChars="0" w:firstLine="640" w:firstLineChars="200"/>
        <w:rPr>
          <w:rFonts w:hint="default"/>
          <w:lang w:val="en-US" w:eastAsia="zh-CN"/>
        </w:rPr>
      </w:pPr>
      <w:r>
        <w:rPr>
          <w:rFonts w:hint="eastAsia"/>
          <w:lang w:val="zh-CN" w:eastAsia="zh-CN"/>
        </w:rPr>
        <w:t>资金结余率：</w:t>
      </w:r>
      <w:r>
        <w:rPr>
          <w:rFonts w:hint="eastAsia"/>
          <w:lang w:val="en-US" w:eastAsia="zh-CN"/>
        </w:rPr>
        <w:t>0%</w:t>
      </w:r>
    </w:p>
    <w:p>
      <w:pPr>
        <w:pStyle w:val="22"/>
        <w:ind w:left="0" w:leftChars="0" w:firstLine="640" w:firstLineChars="200"/>
        <w:rPr>
          <w:rFonts w:hint="eastAsia"/>
          <w:lang w:val="zh-CN" w:eastAsia="zh-CN"/>
        </w:rPr>
      </w:pPr>
      <w:r>
        <w:rPr>
          <w:rFonts w:hint="eastAsia"/>
          <w:lang w:val="zh-CN" w:eastAsia="zh-CN"/>
        </w:rPr>
        <w:t>违规记录：在各级各部门抽查工作中无违规记录</w:t>
      </w:r>
    </w:p>
    <w:p>
      <w:pPr>
        <w:pStyle w:val="22"/>
        <w:numPr>
          <w:ilvl w:val="0"/>
          <w:numId w:val="3"/>
        </w:numPr>
        <w:ind w:left="0" w:leftChars="0" w:firstLine="640" w:firstLineChars="200"/>
        <w:rPr>
          <w:rFonts w:hint="eastAsia"/>
          <w:lang w:val="en-US" w:eastAsia="zh-CN"/>
        </w:rPr>
      </w:pPr>
      <w:r>
        <w:rPr>
          <w:rFonts w:hint="eastAsia"/>
          <w:lang w:val="en-US" w:eastAsia="zh-CN"/>
        </w:rPr>
        <w:t>运转类支出安排及使用情况</w:t>
      </w:r>
    </w:p>
    <w:p>
      <w:pPr>
        <w:pStyle w:val="22"/>
        <w:numPr>
          <w:ilvl w:val="0"/>
          <w:numId w:val="0"/>
        </w:numPr>
        <w:ind w:firstLine="640" w:firstLineChars="200"/>
        <w:rPr>
          <w:rFonts w:hint="default"/>
          <w:lang w:val="en-US" w:eastAsia="zh-CN"/>
        </w:rPr>
      </w:pPr>
      <w:r>
        <w:rPr>
          <w:rFonts w:hint="eastAsia"/>
          <w:lang w:val="en-US" w:eastAsia="zh-CN"/>
        </w:rPr>
        <w:t>2023</w:t>
      </w:r>
      <w:r>
        <w:rPr>
          <w:rFonts w:hint="default"/>
          <w:lang w:val="en-US" w:eastAsia="zh-CN"/>
        </w:rPr>
        <w:t>年</w:t>
      </w:r>
      <w:r>
        <w:rPr>
          <w:rFonts w:hint="eastAsia"/>
          <w:lang w:val="en-US" w:eastAsia="zh-CN"/>
        </w:rPr>
        <w:t>年</w:t>
      </w:r>
      <w:r>
        <w:rPr>
          <w:rFonts w:hint="default"/>
          <w:lang w:val="en-US" w:eastAsia="zh-CN"/>
        </w:rPr>
        <w:t>初预算</w:t>
      </w:r>
      <w:r>
        <w:rPr>
          <w:rFonts w:hint="eastAsia"/>
          <w:lang w:val="en-US" w:eastAsia="zh-CN"/>
        </w:rPr>
        <w:t>运转类</w:t>
      </w:r>
      <w:r>
        <w:rPr>
          <w:rFonts w:hint="default"/>
          <w:lang w:val="en-US" w:eastAsia="zh-CN"/>
        </w:rPr>
        <w:t>支出</w:t>
      </w:r>
      <w:r>
        <w:rPr>
          <w:rFonts w:hint="eastAsia"/>
          <w:lang w:val="en-US" w:eastAsia="zh-CN"/>
        </w:rPr>
        <w:t>422.31万元，</w:t>
      </w:r>
      <w:r>
        <w:rPr>
          <w:rFonts w:hint="default"/>
          <w:lang w:val="en-US" w:eastAsia="zh-CN"/>
        </w:rPr>
        <w:t>全年实际支出</w:t>
      </w:r>
      <w:r>
        <w:rPr>
          <w:rFonts w:hint="eastAsia"/>
          <w:lang w:val="en-US" w:eastAsia="zh-CN"/>
        </w:rPr>
        <w:t>437.5</w:t>
      </w:r>
      <w:r>
        <w:rPr>
          <w:rFonts w:hint="default"/>
          <w:lang w:val="en-US" w:eastAsia="zh-CN"/>
        </w:rPr>
        <w:t>万元</w:t>
      </w:r>
      <w:r>
        <w:rPr>
          <w:rFonts w:hint="eastAsia"/>
          <w:lang w:val="en-US" w:eastAsia="zh-CN"/>
        </w:rPr>
        <w:t>，主要原因是2023年生均公用经费指标提高，财政补下达提高部分的生均公用经费指标。具体支出分析如下：</w:t>
      </w:r>
    </w:p>
    <w:p>
      <w:pPr>
        <w:pStyle w:val="22"/>
        <w:numPr>
          <w:ilvl w:val="0"/>
          <w:numId w:val="0"/>
        </w:numPr>
        <w:ind w:firstLine="640" w:firstLineChars="200"/>
        <w:rPr>
          <w:rFonts w:hint="default"/>
          <w:lang w:val="en-US" w:eastAsia="zh-CN"/>
        </w:rPr>
      </w:pPr>
      <w:r>
        <w:rPr>
          <w:rFonts w:hint="eastAsia"/>
          <w:lang w:val="en-US" w:eastAsia="zh-CN"/>
        </w:rPr>
        <w:t>目标制定：绩效目标编制</w:t>
      </w:r>
      <w:r>
        <w:rPr>
          <w:rFonts w:hint="eastAsia"/>
          <w:lang w:val="zh-CN" w:eastAsia="zh-CN"/>
        </w:rPr>
        <w:t>要素完整，通过了学校办公会集体决策，具有可实现性；</w:t>
      </w:r>
    </w:p>
    <w:p>
      <w:pPr>
        <w:pStyle w:val="22"/>
        <w:ind w:left="0" w:leftChars="0" w:firstLine="640" w:firstLineChars="200"/>
        <w:rPr>
          <w:rFonts w:hint="eastAsia"/>
          <w:lang w:val="zh-CN" w:eastAsia="zh-CN"/>
        </w:rPr>
      </w:pPr>
      <w:r>
        <w:rPr>
          <w:rFonts w:hint="eastAsia"/>
          <w:lang w:val="en-US" w:eastAsia="zh-CN"/>
        </w:rPr>
        <w:t>目标实现：超</w:t>
      </w:r>
      <w:r>
        <w:rPr>
          <w:rFonts w:hint="eastAsia"/>
          <w:lang w:val="zh-CN" w:eastAsia="zh-CN"/>
        </w:rPr>
        <w:t>预算项目</w:t>
      </w:r>
      <w:r>
        <w:rPr>
          <w:rFonts w:hint="eastAsia"/>
          <w:lang w:val="en-US" w:eastAsia="zh-CN"/>
        </w:rPr>
        <w:t>完成预期</w:t>
      </w:r>
      <w:r>
        <w:rPr>
          <w:rFonts w:hint="eastAsia"/>
          <w:lang w:val="zh-CN" w:eastAsia="zh-CN"/>
        </w:rPr>
        <w:t>目标值；</w:t>
      </w:r>
    </w:p>
    <w:p>
      <w:pPr>
        <w:pStyle w:val="22"/>
        <w:ind w:left="0" w:leftChars="0" w:firstLine="640" w:firstLineChars="200"/>
        <w:rPr>
          <w:rFonts w:hint="eastAsia"/>
          <w:lang w:val="en-US" w:eastAsia="zh-CN"/>
        </w:rPr>
      </w:pPr>
      <w:r>
        <w:rPr>
          <w:rFonts w:hint="eastAsia"/>
          <w:lang w:val="en-US" w:eastAsia="zh-CN"/>
        </w:rPr>
        <w:t>支出控制：超出预算数3.6%；</w:t>
      </w:r>
    </w:p>
    <w:p>
      <w:pPr>
        <w:pStyle w:val="22"/>
        <w:ind w:left="0" w:leftChars="0" w:firstLine="640" w:firstLineChars="200"/>
        <w:rPr>
          <w:rFonts w:hint="eastAsia"/>
          <w:lang w:val="en-US" w:eastAsia="zh-CN"/>
        </w:rPr>
      </w:pPr>
      <w:r>
        <w:rPr>
          <w:rFonts w:hint="eastAsia"/>
          <w:lang w:val="en-US" w:eastAsia="zh-CN"/>
        </w:rPr>
        <w:t>及时处置：财政及时下达提高部分的生均公用经费指标；</w:t>
      </w:r>
    </w:p>
    <w:p>
      <w:pPr>
        <w:pStyle w:val="22"/>
        <w:ind w:left="0" w:leftChars="0" w:firstLine="640" w:firstLineChars="200"/>
        <w:rPr>
          <w:rFonts w:hint="eastAsia"/>
          <w:lang w:val="zh-CN" w:eastAsia="zh-CN"/>
        </w:rPr>
      </w:pPr>
      <w:r>
        <w:rPr>
          <w:rFonts w:hint="eastAsia"/>
          <w:lang w:val="en-US" w:eastAsia="zh-CN"/>
        </w:rPr>
        <w:t>执行进度：</w:t>
      </w:r>
      <w:r>
        <w:rPr>
          <w:rFonts w:hint="eastAsia"/>
          <w:lang w:val="zh-CN" w:eastAsia="zh-CN"/>
        </w:rPr>
        <w:t>预算执行进度在6、9、11月实际支出进度分别达到</w:t>
      </w:r>
      <w:r>
        <w:rPr>
          <w:rFonts w:hint="eastAsia"/>
          <w:lang w:val="en-US" w:eastAsia="zh-CN"/>
        </w:rPr>
        <w:t>33.14%、43.56%、62.77%</w:t>
      </w:r>
      <w:r>
        <w:rPr>
          <w:rFonts w:hint="eastAsia"/>
          <w:lang w:val="zh-CN" w:eastAsia="zh-CN"/>
        </w:rPr>
        <w:t>。</w:t>
      </w:r>
    </w:p>
    <w:p>
      <w:pPr>
        <w:pStyle w:val="22"/>
        <w:ind w:left="0" w:leftChars="0" w:firstLine="640" w:firstLineChars="200"/>
        <w:rPr>
          <w:rFonts w:hint="default"/>
          <w:lang w:val="en-US" w:eastAsia="zh-CN"/>
        </w:rPr>
      </w:pPr>
      <w:r>
        <w:rPr>
          <w:rFonts w:hint="eastAsia"/>
          <w:lang w:val="en-US" w:eastAsia="zh-CN"/>
        </w:rPr>
        <w:t>预算完成情况：完成率103.6%</w:t>
      </w:r>
    </w:p>
    <w:p>
      <w:pPr>
        <w:pStyle w:val="22"/>
        <w:ind w:left="0" w:leftChars="0" w:firstLine="640" w:firstLineChars="200"/>
        <w:rPr>
          <w:rFonts w:hint="default"/>
          <w:lang w:val="en-US" w:eastAsia="zh-CN"/>
        </w:rPr>
      </w:pPr>
      <w:r>
        <w:rPr>
          <w:rFonts w:hint="eastAsia"/>
          <w:lang w:val="zh-CN" w:eastAsia="zh-CN"/>
        </w:rPr>
        <w:t>资金结余率：</w:t>
      </w:r>
      <w:r>
        <w:rPr>
          <w:rFonts w:hint="eastAsia"/>
          <w:lang w:val="en-US" w:eastAsia="zh-CN"/>
        </w:rPr>
        <w:t>0%</w:t>
      </w:r>
    </w:p>
    <w:p>
      <w:pPr>
        <w:pStyle w:val="22"/>
        <w:ind w:left="0" w:leftChars="0" w:firstLine="640" w:firstLineChars="200"/>
        <w:rPr>
          <w:rFonts w:hint="eastAsia"/>
          <w:lang w:val="zh-CN" w:eastAsia="zh-CN"/>
        </w:rPr>
      </w:pPr>
      <w:r>
        <w:rPr>
          <w:rFonts w:hint="eastAsia"/>
          <w:lang w:val="zh-CN" w:eastAsia="zh-CN"/>
        </w:rPr>
        <w:t>违规记录：在各级各部门抽查工作中无违规记录</w:t>
      </w:r>
    </w:p>
    <w:p>
      <w:pPr>
        <w:pStyle w:val="22"/>
        <w:numPr>
          <w:ilvl w:val="0"/>
          <w:numId w:val="3"/>
        </w:numPr>
        <w:ind w:left="0" w:leftChars="0" w:firstLine="640" w:firstLineChars="200"/>
        <w:rPr>
          <w:rFonts w:hint="eastAsia"/>
          <w:lang w:val="en-US" w:eastAsia="zh-CN"/>
        </w:rPr>
      </w:pPr>
      <w:r>
        <w:rPr>
          <w:rFonts w:hint="eastAsia"/>
          <w:lang w:val="en-US" w:eastAsia="zh-CN"/>
        </w:rPr>
        <w:t>特定目标类支出安排及使用情况</w:t>
      </w:r>
    </w:p>
    <w:p>
      <w:pPr>
        <w:pStyle w:val="22"/>
        <w:numPr>
          <w:ilvl w:val="0"/>
          <w:numId w:val="0"/>
        </w:numPr>
        <w:ind w:firstLine="640" w:firstLineChars="200"/>
        <w:rPr>
          <w:rFonts w:hint="default"/>
          <w:lang w:val="en-US" w:eastAsia="zh-CN"/>
        </w:rPr>
      </w:pPr>
      <w:r>
        <w:rPr>
          <w:rFonts w:hint="eastAsia"/>
          <w:lang w:val="en-US" w:eastAsia="zh-CN"/>
        </w:rPr>
        <w:t>2023</w:t>
      </w:r>
      <w:r>
        <w:rPr>
          <w:rFonts w:hint="default"/>
          <w:lang w:val="en-US" w:eastAsia="zh-CN"/>
        </w:rPr>
        <w:t>年</w:t>
      </w:r>
      <w:r>
        <w:rPr>
          <w:rFonts w:hint="eastAsia"/>
          <w:lang w:val="en-US" w:eastAsia="zh-CN"/>
        </w:rPr>
        <w:t>年</w:t>
      </w:r>
      <w:r>
        <w:rPr>
          <w:rFonts w:hint="default"/>
          <w:lang w:val="en-US" w:eastAsia="zh-CN"/>
        </w:rPr>
        <w:t>初预算</w:t>
      </w:r>
      <w:r>
        <w:rPr>
          <w:rFonts w:hint="eastAsia"/>
          <w:lang w:val="en-US" w:eastAsia="zh-CN"/>
        </w:rPr>
        <w:t>特定目标类</w:t>
      </w:r>
      <w:r>
        <w:rPr>
          <w:rFonts w:hint="default"/>
          <w:lang w:val="en-US" w:eastAsia="zh-CN"/>
        </w:rPr>
        <w:t>支出</w:t>
      </w:r>
      <w:r>
        <w:rPr>
          <w:rFonts w:hint="eastAsia"/>
          <w:lang w:val="en-US" w:eastAsia="zh-CN"/>
        </w:rPr>
        <w:t>14.46万元，</w:t>
      </w:r>
      <w:r>
        <w:rPr>
          <w:rFonts w:hint="default"/>
          <w:lang w:val="en-US" w:eastAsia="zh-CN"/>
        </w:rPr>
        <w:t>全年实际支出</w:t>
      </w:r>
      <w:r>
        <w:rPr>
          <w:rFonts w:hint="eastAsia"/>
          <w:lang w:val="en-US" w:eastAsia="zh-CN"/>
        </w:rPr>
        <w:t>9.72</w:t>
      </w:r>
      <w:r>
        <w:rPr>
          <w:rFonts w:hint="default"/>
          <w:lang w:val="en-US" w:eastAsia="zh-CN"/>
        </w:rPr>
        <w:t>万元</w:t>
      </w:r>
      <w:r>
        <w:rPr>
          <w:rFonts w:hint="eastAsia"/>
          <w:lang w:val="en-US" w:eastAsia="zh-CN"/>
        </w:rPr>
        <w:t>，主要原因是一2023年秋季学期的免作业本费全部由区教育局支付，所以剩余指标7.54万元全部调整至区教育局，二2023年收到体育赛事经费4.37万元。具体支出分析如下：</w:t>
      </w:r>
    </w:p>
    <w:p>
      <w:pPr>
        <w:pStyle w:val="22"/>
        <w:numPr>
          <w:ilvl w:val="0"/>
          <w:numId w:val="0"/>
        </w:numPr>
        <w:ind w:firstLine="640" w:firstLineChars="200"/>
        <w:rPr>
          <w:rFonts w:hint="default"/>
          <w:lang w:val="en-US" w:eastAsia="zh-CN"/>
        </w:rPr>
      </w:pPr>
      <w:r>
        <w:rPr>
          <w:rFonts w:hint="eastAsia"/>
          <w:lang w:val="en-US" w:eastAsia="zh-CN"/>
        </w:rPr>
        <w:t>目标制定：绩效目标编制</w:t>
      </w:r>
      <w:r>
        <w:rPr>
          <w:rFonts w:hint="eastAsia"/>
          <w:lang w:val="zh-CN" w:eastAsia="zh-CN"/>
        </w:rPr>
        <w:t>要素完整，通过了学校办公会集体决策，具有可实现性；</w:t>
      </w:r>
    </w:p>
    <w:p>
      <w:pPr>
        <w:pStyle w:val="22"/>
        <w:ind w:left="0" w:leftChars="0" w:firstLine="640" w:firstLineChars="200"/>
        <w:rPr>
          <w:rFonts w:hint="eastAsia"/>
          <w:lang w:val="zh-CN" w:eastAsia="zh-CN"/>
        </w:rPr>
      </w:pPr>
      <w:r>
        <w:rPr>
          <w:rFonts w:hint="eastAsia"/>
          <w:lang w:val="en-US" w:eastAsia="zh-CN"/>
        </w:rPr>
        <w:t>目标实现：未完成</w:t>
      </w:r>
      <w:r>
        <w:rPr>
          <w:rFonts w:hint="eastAsia"/>
          <w:lang w:val="zh-CN" w:eastAsia="zh-CN"/>
        </w:rPr>
        <w:t>预算项目</w:t>
      </w:r>
      <w:r>
        <w:rPr>
          <w:rFonts w:hint="eastAsia"/>
          <w:lang w:val="en-US" w:eastAsia="zh-CN"/>
        </w:rPr>
        <w:t>预期</w:t>
      </w:r>
      <w:r>
        <w:rPr>
          <w:rFonts w:hint="eastAsia"/>
          <w:lang w:val="zh-CN" w:eastAsia="zh-CN"/>
        </w:rPr>
        <w:t>目标值；</w:t>
      </w:r>
    </w:p>
    <w:p>
      <w:pPr>
        <w:pStyle w:val="22"/>
        <w:ind w:left="0" w:leftChars="0" w:firstLine="640" w:firstLineChars="200"/>
        <w:rPr>
          <w:rFonts w:hint="eastAsia"/>
          <w:lang w:val="en-US" w:eastAsia="zh-CN"/>
        </w:rPr>
      </w:pPr>
      <w:r>
        <w:rPr>
          <w:rFonts w:hint="eastAsia"/>
          <w:lang w:val="en-US" w:eastAsia="zh-CN"/>
        </w:rPr>
        <w:t>支出控制：与预算数偏差-32.78%；</w:t>
      </w:r>
    </w:p>
    <w:p>
      <w:pPr>
        <w:pStyle w:val="22"/>
        <w:ind w:left="0" w:leftChars="0" w:firstLine="640" w:firstLineChars="200"/>
        <w:rPr>
          <w:rFonts w:hint="eastAsia"/>
          <w:lang w:val="en-US" w:eastAsia="zh-CN"/>
        </w:rPr>
      </w:pPr>
      <w:r>
        <w:rPr>
          <w:rFonts w:hint="eastAsia"/>
          <w:lang w:val="en-US" w:eastAsia="zh-CN"/>
        </w:rPr>
        <w:t>及时处置：根据上级部门要求，及时进行资金调整；</w:t>
      </w:r>
    </w:p>
    <w:p>
      <w:pPr>
        <w:pStyle w:val="22"/>
        <w:ind w:left="0" w:leftChars="0" w:firstLine="640" w:firstLineChars="200"/>
        <w:rPr>
          <w:rFonts w:hint="eastAsia"/>
          <w:lang w:val="zh-CN" w:eastAsia="zh-CN"/>
        </w:rPr>
      </w:pPr>
      <w:r>
        <w:rPr>
          <w:rFonts w:hint="eastAsia"/>
          <w:lang w:val="en-US" w:eastAsia="zh-CN"/>
        </w:rPr>
        <w:t>执行进度：</w:t>
      </w:r>
      <w:r>
        <w:rPr>
          <w:rFonts w:hint="eastAsia"/>
          <w:lang w:val="zh-CN" w:eastAsia="zh-CN"/>
        </w:rPr>
        <w:t>预算执行进度在6、9、11月实际支出进度分别达到</w:t>
      </w:r>
      <w:r>
        <w:rPr>
          <w:rFonts w:hint="eastAsia"/>
          <w:lang w:val="en-US" w:eastAsia="zh-CN"/>
        </w:rPr>
        <w:t>47.93%、47.93%、49.86%</w:t>
      </w:r>
      <w:r>
        <w:rPr>
          <w:rFonts w:hint="eastAsia"/>
          <w:lang w:val="zh-CN" w:eastAsia="zh-CN"/>
        </w:rPr>
        <w:t>。</w:t>
      </w:r>
    </w:p>
    <w:p>
      <w:pPr>
        <w:pStyle w:val="22"/>
        <w:ind w:left="0" w:leftChars="0" w:firstLine="640" w:firstLineChars="200"/>
        <w:rPr>
          <w:rFonts w:hint="default"/>
          <w:lang w:val="en-US" w:eastAsia="zh-CN"/>
        </w:rPr>
      </w:pPr>
      <w:r>
        <w:rPr>
          <w:rFonts w:hint="eastAsia"/>
          <w:lang w:val="en-US" w:eastAsia="zh-CN"/>
        </w:rPr>
        <w:t>预算完成情况：完成率67.22%</w:t>
      </w:r>
    </w:p>
    <w:p>
      <w:pPr>
        <w:pStyle w:val="22"/>
        <w:ind w:left="0" w:leftChars="0" w:firstLine="640" w:firstLineChars="200"/>
        <w:rPr>
          <w:rFonts w:hint="default"/>
          <w:lang w:val="en-US" w:eastAsia="zh-CN"/>
        </w:rPr>
      </w:pPr>
      <w:r>
        <w:rPr>
          <w:rFonts w:hint="eastAsia"/>
          <w:lang w:val="zh-CN" w:eastAsia="zh-CN"/>
        </w:rPr>
        <w:t>资金结余率：</w:t>
      </w:r>
      <w:r>
        <w:rPr>
          <w:rFonts w:hint="eastAsia"/>
          <w:lang w:val="en-US" w:eastAsia="zh-CN"/>
        </w:rPr>
        <w:t>0%</w:t>
      </w:r>
    </w:p>
    <w:p>
      <w:pPr>
        <w:pStyle w:val="22"/>
        <w:ind w:left="0" w:leftChars="0" w:firstLine="640" w:firstLineChars="200"/>
        <w:rPr>
          <w:rFonts w:hint="default"/>
          <w:lang w:val="en-US" w:eastAsia="zh-CN"/>
        </w:rPr>
      </w:pPr>
      <w:r>
        <w:rPr>
          <w:rFonts w:hint="eastAsia"/>
          <w:lang w:val="zh-CN" w:eastAsia="zh-CN"/>
        </w:rPr>
        <w:t>违规记录：在各级各部门抽查工作中无违规记录</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（二）结果应用情况。</w:t>
      </w:r>
    </w:p>
    <w:p>
      <w:pPr>
        <w:pStyle w:val="22"/>
        <w:numPr>
          <w:ilvl w:val="0"/>
          <w:numId w:val="0"/>
        </w:numPr>
        <w:ind w:leftChars="200"/>
        <w:rPr>
          <w:rFonts w:hint="eastAsia"/>
          <w:lang w:val="en-US" w:eastAsia="zh-CN"/>
        </w:rPr>
      </w:pPr>
      <w:r>
        <w:rPr>
          <w:rFonts w:hint="eastAsia"/>
          <w:color w:val="000000"/>
          <w:kern w:val="0"/>
          <w:szCs w:val="32"/>
          <w:shd w:val="clear" w:color="auto" w:fill="FFFFFF"/>
          <w:lang w:val="en-US" w:eastAsia="zh-CN"/>
        </w:rPr>
        <w:t>1、</w:t>
      </w:r>
      <w:r>
        <w:rPr>
          <w:rFonts w:hint="eastAsia"/>
          <w:lang w:val="en-US" w:eastAsia="zh-CN"/>
        </w:rPr>
        <w:t>内部应用：</w:t>
      </w:r>
    </w:p>
    <w:p>
      <w:pPr>
        <w:pStyle w:val="22"/>
        <w:numPr>
          <w:ilvl w:val="0"/>
          <w:numId w:val="0"/>
        </w:numPr>
        <w:ind w:firstLine="640" w:firstLineChars="200"/>
        <w:rPr>
          <w:rFonts w:hint="eastAsia"/>
        </w:rPr>
      </w:pPr>
      <w:r>
        <w:rPr>
          <w:rFonts w:hint="eastAsia"/>
        </w:rPr>
        <w:t>学校高度重视绩效评价结果的应用工作，着力提高绩效意识和财政资金使用效益。将自评结果作为下一年度预算安排和编制的依据，将有力提高预算制定的科学性和有效性。</w:t>
      </w:r>
    </w:p>
    <w:p>
      <w:pPr>
        <w:pStyle w:val="22"/>
        <w:numPr>
          <w:ilvl w:val="0"/>
          <w:numId w:val="0"/>
        </w:numPr>
        <w:ind w:leftChars="200"/>
        <w:rPr>
          <w:rFonts w:hint="eastAsia"/>
          <w:lang w:val="en-US" w:eastAsia="zh-CN"/>
        </w:rPr>
      </w:pPr>
      <w:r>
        <w:rPr>
          <w:rFonts w:hint="eastAsia"/>
          <w:lang w:val="en-US" w:eastAsia="zh-CN"/>
        </w:rPr>
        <w:t>2、自评公开：</w:t>
      </w:r>
    </w:p>
    <w:p>
      <w:pPr>
        <w:pStyle w:val="22"/>
        <w:numPr>
          <w:ilvl w:val="0"/>
          <w:numId w:val="0"/>
        </w:numPr>
        <w:ind w:firstLine="640" w:firstLineChars="200"/>
        <w:rPr>
          <w:rFonts w:hint="eastAsia"/>
        </w:rPr>
      </w:pPr>
      <w:r>
        <w:rPr>
          <w:rFonts w:hint="eastAsia"/>
        </w:rPr>
        <w:t>学校</w:t>
      </w:r>
      <w:r>
        <w:rPr>
          <w:rFonts w:hint="eastAsia"/>
          <w:lang w:val="en-US" w:eastAsia="zh-CN"/>
        </w:rPr>
        <w:t>按上级</w:t>
      </w:r>
      <w:r>
        <w:rPr>
          <w:rFonts w:hint="eastAsia"/>
        </w:rPr>
        <w:t>要求</w:t>
      </w:r>
      <w:r>
        <w:rPr>
          <w:rFonts w:hint="eastAsia" w:hAnsi="楷体"/>
        </w:rPr>
        <w:t>在</w:t>
      </w:r>
      <w:r>
        <w:rPr>
          <w:rFonts w:hint="eastAsia" w:cs="仿宋_GB2312"/>
          <w:sz w:val="32"/>
          <w:szCs w:val="32"/>
          <w:lang w:val="en-US" w:eastAsia="zh-CN"/>
        </w:rPr>
        <w:t>规定的</w:t>
      </w:r>
      <w:r>
        <w:rPr>
          <w:rFonts w:hint="eastAsia" w:ascii="仿宋_GB2312" w:hAnsi="仿宋_GB2312" w:eastAsia="仿宋_GB2312" w:cs="仿宋_GB2312"/>
          <w:sz w:val="32"/>
          <w:szCs w:val="32"/>
          <w:lang w:val="en-US" w:eastAsia="zh-CN"/>
        </w:rPr>
        <w:t>网站公开自评报告</w:t>
      </w:r>
      <w:r>
        <w:rPr>
          <w:rFonts w:hint="eastAsia"/>
        </w:rPr>
        <w:t>，接受社会大众监督。</w:t>
      </w:r>
    </w:p>
    <w:p>
      <w:pPr>
        <w:pStyle w:val="22"/>
        <w:numPr>
          <w:ilvl w:val="0"/>
          <w:numId w:val="0"/>
        </w:numPr>
        <w:ind w:leftChars="200"/>
        <w:rPr>
          <w:rFonts w:hint="eastAsia"/>
          <w:lang w:val="en-US" w:eastAsia="zh-CN"/>
        </w:rPr>
      </w:pPr>
      <w:r>
        <w:rPr>
          <w:rFonts w:hint="eastAsia"/>
          <w:lang w:val="en-US" w:eastAsia="zh-CN"/>
        </w:rPr>
        <w:t>3、整改反馈：</w:t>
      </w:r>
    </w:p>
    <w:p>
      <w:pPr>
        <w:pStyle w:val="22"/>
        <w:numPr>
          <w:ilvl w:val="0"/>
          <w:numId w:val="0"/>
        </w:numPr>
        <w:ind w:firstLine="640" w:firstLineChars="200"/>
        <w:rPr>
          <w:color w:val="000000"/>
          <w:kern w:val="0"/>
          <w:szCs w:val="32"/>
          <w:shd w:val="clear" w:color="auto" w:fill="FFFFFF"/>
          <w:lang w:val="zh-CN"/>
        </w:rPr>
      </w:pPr>
      <w:r>
        <w:rPr>
          <w:rFonts w:hint="eastAsia"/>
          <w:color w:val="000000"/>
          <w:kern w:val="0"/>
          <w:szCs w:val="32"/>
          <w:shd w:val="clear" w:color="auto" w:fill="FFFFFF"/>
          <w:lang w:val="zh-CN"/>
        </w:rPr>
        <w:t>预算执行过程中进行绩效监控，发现问题及时处理并与财政部门沟通和信息反馈。</w:t>
      </w:r>
    </w:p>
    <w:p>
      <w:pPr>
        <w:widowControl/>
        <w:numPr>
          <w:ilvl w:val="0"/>
          <w:numId w:val="4"/>
        </w:numPr>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自评质量</w:t>
      </w:r>
      <w:r>
        <w:rPr>
          <w:rFonts w:hint="eastAsia"/>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color w:val="000000"/>
          <w:kern w:val="0"/>
          <w:szCs w:val="32"/>
          <w:shd w:val="clear" w:color="auto" w:fill="FFFFFF"/>
        </w:rPr>
      </w:pPr>
      <w:r>
        <w:rPr>
          <w:rFonts w:hint="eastAsia"/>
          <w:color w:val="000000"/>
          <w:kern w:val="0"/>
          <w:szCs w:val="32"/>
          <w:shd w:val="clear" w:color="auto" w:fill="FFFFFF"/>
          <w:lang w:val="en-US" w:eastAsia="zh-CN"/>
        </w:rPr>
        <w:t>我校在规定时间内完成自评材料报送工作，所报送的自评材料真实、表格内容填写齐全，自评报告内容全面详细，自评评分表自评得分客观、真实。</w:t>
      </w:r>
    </w:p>
    <w:p>
      <w:pPr>
        <w:widowControl/>
        <w:adjustRightInd w:val="0"/>
        <w:snapToGrid w:val="0"/>
        <w:spacing w:line="580"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default"/>
          <w:color w:val="000000"/>
          <w:kern w:val="0"/>
          <w:szCs w:val="32"/>
          <w:shd w:val="clear" w:color="auto" w:fill="FFFFFF"/>
          <w:lang w:val="en-US" w:eastAsia="zh-CN"/>
        </w:rPr>
      </w:pPr>
      <w:r>
        <w:rPr>
          <w:rFonts w:hint="eastAsia"/>
          <w:color w:val="000000"/>
          <w:kern w:val="0"/>
          <w:szCs w:val="32"/>
          <w:shd w:val="clear" w:color="auto" w:fill="FFFFFF"/>
          <w:lang w:val="en-US" w:eastAsia="zh-CN"/>
        </w:rPr>
        <w:t>随着政府财政透明度和管理效率的要求不断提高，部门整体支出绩效评价成为财务工作的重要组成部分，通过对部门整体支出绩效的深入评价，识别存在的问题，提出改进措施，以达到优化支出结构、提高资金使用效益、促进部门工作效能提升的目标。部门整体支出绩</w:t>
      </w:r>
      <w:r>
        <w:rPr>
          <w:rFonts w:hint="eastAsia"/>
          <w:color w:val="000000"/>
          <w:kern w:val="0"/>
          <w:szCs w:val="32"/>
          <w:highlight w:val="none"/>
          <w:shd w:val="clear" w:color="auto" w:fill="FFFFFF"/>
          <w:lang w:val="en-US" w:eastAsia="zh-CN"/>
        </w:rPr>
        <w:t>效评价得分</w:t>
      </w:r>
      <w:r>
        <w:rPr>
          <w:rFonts w:hint="eastAsia"/>
          <w:color w:val="auto"/>
          <w:kern w:val="0"/>
          <w:szCs w:val="32"/>
          <w:highlight w:val="none"/>
          <w:shd w:val="clear" w:color="auto" w:fill="FFFFFF"/>
          <w:lang w:val="en-US" w:eastAsia="zh-CN"/>
        </w:rPr>
        <w:t>92</w:t>
      </w:r>
      <w:r>
        <w:rPr>
          <w:rFonts w:hint="eastAsia"/>
          <w:color w:val="000000"/>
          <w:kern w:val="0"/>
          <w:szCs w:val="32"/>
          <w:highlight w:val="none"/>
          <w:shd w:val="clear" w:color="auto" w:fill="FFFFFF"/>
          <w:lang w:val="en-US" w:eastAsia="zh-CN"/>
        </w:rPr>
        <w:t>分</w:t>
      </w:r>
      <w:r>
        <w:rPr>
          <w:rFonts w:hint="eastAsia" w:hAnsi="宋体" w:cs="宋体"/>
          <w:kern w:val="0"/>
          <w:sz w:val="28"/>
          <w:szCs w:val="28"/>
          <w:lang w:eastAsia="zh-CN"/>
        </w:rPr>
        <w:t>。</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color w:val="000000"/>
          <w:kern w:val="0"/>
          <w:szCs w:val="32"/>
          <w:shd w:val="clear" w:color="auto" w:fill="FFFFFF"/>
          <w:lang w:val="zh-CN"/>
        </w:rPr>
        <w:t>（二）存在问题。</w:t>
      </w:r>
      <w:bookmarkStart w:id="0" w:name="_GoBack"/>
      <w:bookmarkEnd w:id="0"/>
    </w:p>
    <w:p>
      <w:pPr>
        <w:widowControl/>
        <w:adjustRightInd w:val="0"/>
        <w:snapToGrid w:val="0"/>
        <w:spacing w:line="580" w:lineRule="exact"/>
        <w:ind w:firstLine="640" w:firstLineChars="200"/>
        <w:contextualSpacing/>
        <w:jc w:val="left"/>
        <w:rPr>
          <w:rFonts w:hint="default"/>
          <w:color w:val="000000"/>
          <w:kern w:val="0"/>
          <w:szCs w:val="32"/>
          <w:shd w:val="clear" w:color="auto" w:fill="FFFFFF"/>
          <w:lang w:val="en-US" w:eastAsia="zh-CN"/>
        </w:rPr>
      </w:pPr>
      <w:r>
        <w:rPr>
          <w:rFonts w:hint="eastAsia"/>
          <w:color w:val="000000"/>
          <w:kern w:val="0"/>
          <w:szCs w:val="32"/>
          <w:shd w:val="clear" w:color="auto" w:fill="FFFFFF"/>
          <w:lang w:val="en-US" w:eastAsia="zh-CN"/>
        </w:rPr>
        <w:t>通过评价发现，部门在预算管理方面存在部分问题，预算编制不够准确、执行进度偏差较大、绩效评价机制不够完善。</w:t>
      </w:r>
    </w:p>
    <w:p>
      <w:pPr>
        <w:widowControl/>
        <w:adjustRightInd w:val="0"/>
        <w:snapToGrid w:val="0"/>
        <w:spacing w:line="580" w:lineRule="exact"/>
        <w:ind w:firstLine="640" w:firstLineChars="200"/>
        <w:contextualSpacing/>
        <w:jc w:val="left"/>
        <w:rPr>
          <w:rFonts w:hint="eastAsia" w:ascii="Times New Roman" w:hAnsi="Times New Roman" w:eastAsia="仿宋_GB2312" w:cs="Times New Roman"/>
          <w:color w:val="000000"/>
          <w:kern w:val="0"/>
          <w:sz w:val="32"/>
          <w:szCs w:val="32"/>
          <w:shd w:val="clear" w:color="auto" w:fill="FFFFFF"/>
          <w:lang w:val="zh-CN" w:eastAsia="zh-CN" w:bidi="ar-SA"/>
        </w:rPr>
      </w:pPr>
      <w:r>
        <w:rPr>
          <w:rFonts w:hint="eastAsia" w:ascii="Times New Roman" w:hAnsi="Times New Roman" w:eastAsia="仿宋_GB2312" w:cs="Times New Roman"/>
          <w:color w:val="000000"/>
          <w:kern w:val="0"/>
          <w:sz w:val="32"/>
          <w:szCs w:val="32"/>
          <w:shd w:val="clear" w:color="auto" w:fill="FFFFFF"/>
          <w:lang w:val="zh-CN" w:eastAsia="zh-CN" w:bidi="ar-SA"/>
        </w:rPr>
        <w:t>（三）改进建议。</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50" w:lineRule="atLeast"/>
        <w:ind w:left="0" w:right="0" w:firstLine="640" w:firstLineChars="200"/>
        <w:rPr>
          <w:rFonts w:hint="eastAsia" w:ascii="Times New Roman" w:hAnsi="Times New Roman" w:eastAsia="仿宋_GB2312" w:cs="Times New Roman"/>
          <w:color w:val="000000"/>
          <w:kern w:val="0"/>
          <w:sz w:val="32"/>
          <w:szCs w:val="32"/>
          <w:shd w:val="clear" w:color="auto" w:fill="FFFFFF"/>
          <w:lang w:val="en-US" w:eastAsia="zh-CN" w:bidi="ar-SA"/>
        </w:rPr>
      </w:pPr>
      <w:r>
        <w:rPr>
          <w:rFonts w:hint="eastAsia" w:ascii="Times New Roman" w:hAnsi="Times New Roman" w:eastAsia="仿宋_GB2312" w:cs="Times New Roman"/>
          <w:color w:val="000000"/>
          <w:kern w:val="0"/>
          <w:sz w:val="32"/>
          <w:szCs w:val="32"/>
          <w:shd w:val="clear" w:color="auto" w:fill="FFFFFF"/>
          <w:lang w:val="en-US" w:eastAsia="zh-CN" w:bidi="ar-SA"/>
        </w:rPr>
        <w:t>1</w:t>
      </w:r>
      <w:r>
        <w:rPr>
          <w:rFonts w:hint="eastAsia" w:cs="Times New Roman"/>
          <w:color w:val="000000"/>
          <w:kern w:val="0"/>
          <w:sz w:val="32"/>
          <w:szCs w:val="32"/>
          <w:shd w:val="clear" w:color="auto" w:fill="FFFFFF"/>
          <w:lang w:val="en-US" w:eastAsia="zh-CN" w:bidi="ar-SA"/>
        </w:rPr>
        <w:t>、</w:t>
      </w:r>
      <w:r>
        <w:rPr>
          <w:rFonts w:hint="eastAsia" w:ascii="Times New Roman" w:hAnsi="Times New Roman" w:eastAsia="仿宋_GB2312" w:cs="Times New Roman"/>
          <w:color w:val="000000"/>
          <w:kern w:val="0"/>
          <w:sz w:val="32"/>
          <w:szCs w:val="32"/>
          <w:shd w:val="clear" w:color="auto" w:fill="FFFFFF"/>
          <w:lang w:val="en-US" w:eastAsia="zh-CN" w:bidi="ar-SA"/>
        </w:rPr>
        <w:t>加强预算编制的科学性和规范性，完善预算审核流程，提高预算的合理性和可操作性；</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50" w:lineRule="atLeast"/>
        <w:ind w:left="0" w:right="0" w:firstLine="640" w:firstLineChars="200"/>
        <w:rPr>
          <w:rFonts w:hint="eastAsia" w:ascii="Times New Roman" w:hAnsi="Times New Roman" w:eastAsia="仿宋_GB2312" w:cs="Times New Roman"/>
          <w:color w:val="000000"/>
          <w:kern w:val="0"/>
          <w:sz w:val="32"/>
          <w:szCs w:val="32"/>
          <w:shd w:val="clear" w:color="auto" w:fill="FFFFFF"/>
          <w:lang w:val="en-US" w:eastAsia="zh-CN" w:bidi="ar-SA"/>
        </w:rPr>
      </w:pPr>
      <w:r>
        <w:rPr>
          <w:rFonts w:hint="eastAsia" w:ascii="Times New Roman" w:hAnsi="Times New Roman" w:eastAsia="仿宋_GB2312" w:cs="Times New Roman"/>
          <w:color w:val="000000"/>
          <w:kern w:val="0"/>
          <w:sz w:val="32"/>
          <w:szCs w:val="32"/>
          <w:shd w:val="clear" w:color="auto" w:fill="FFFFFF"/>
          <w:lang w:val="en-US" w:eastAsia="zh-CN" w:bidi="ar-SA"/>
        </w:rPr>
        <w:t>2</w:t>
      </w:r>
      <w:r>
        <w:rPr>
          <w:rFonts w:hint="eastAsia" w:cs="Times New Roman"/>
          <w:color w:val="000000"/>
          <w:kern w:val="0"/>
          <w:sz w:val="32"/>
          <w:szCs w:val="32"/>
          <w:shd w:val="clear" w:color="auto" w:fill="FFFFFF"/>
          <w:lang w:val="en-US" w:eastAsia="zh-CN" w:bidi="ar-SA"/>
        </w:rPr>
        <w:t>、</w:t>
      </w:r>
      <w:r>
        <w:rPr>
          <w:rFonts w:hint="eastAsia" w:ascii="Times New Roman" w:hAnsi="Times New Roman" w:eastAsia="仿宋_GB2312" w:cs="Times New Roman"/>
          <w:color w:val="000000"/>
          <w:kern w:val="0"/>
          <w:sz w:val="32"/>
          <w:szCs w:val="32"/>
          <w:shd w:val="clear" w:color="auto" w:fill="FFFFFF"/>
          <w:lang w:val="en-US" w:eastAsia="zh-CN" w:bidi="ar-SA"/>
        </w:rPr>
        <w:t>建立完善的绩效评价机制，定期对部门支出绩效进行评价，及时发现问题并进行整改。</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50" w:lineRule="atLeast"/>
        <w:ind w:left="0" w:right="0" w:firstLine="640" w:firstLineChars="200"/>
        <w:rPr>
          <w:rFonts w:hint="default" w:ascii="Times New Roman" w:hAnsi="Times New Roman" w:eastAsia="仿宋_GB2312" w:cs="Times New Roman"/>
          <w:color w:val="000000"/>
          <w:kern w:val="0"/>
          <w:sz w:val="32"/>
          <w:szCs w:val="32"/>
          <w:shd w:val="clear" w:color="auto" w:fill="FFFFFF"/>
          <w:lang w:val="en-US" w:eastAsia="zh-CN" w:bidi="ar-SA"/>
        </w:rPr>
      </w:pPr>
      <w:r>
        <w:rPr>
          <w:rFonts w:hint="eastAsia" w:ascii="Times New Roman" w:hAnsi="Times New Roman" w:eastAsia="仿宋_GB2312" w:cs="Times New Roman"/>
          <w:color w:val="000000"/>
          <w:kern w:val="0"/>
          <w:sz w:val="32"/>
          <w:szCs w:val="32"/>
          <w:shd w:val="clear" w:color="auto" w:fill="FFFFFF"/>
          <w:lang w:val="en-US" w:eastAsia="zh-CN" w:bidi="ar-SA"/>
        </w:rPr>
        <w:t>3</w:t>
      </w:r>
      <w:r>
        <w:rPr>
          <w:rFonts w:hint="eastAsia" w:cs="Times New Roman"/>
          <w:color w:val="000000"/>
          <w:kern w:val="0"/>
          <w:sz w:val="32"/>
          <w:szCs w:val="32"/>
          <w:shd w:val="clear" w:color="auto" w:fill="FFFFFF"/>
          <w:lang w:val="en-US" w:eastAsia="zh-CN" w:bidi="ar-SA"/>
        </w:rPr>
        <w:t>、</w:t>
      </w:r>
      <w:r>
        <w:rPr>
          <w:rFonts w:hint="eastAsia" w:ascii="Times New Roman" w:hAnsi="Times New Roman" w:eastAsia="仿宋_GB2312" w:cs="Times New Roman"/>
          <w:color w:val="000000"/>
          <w:kern w:val="0"/>
          <w:sz w:val="32"/>
          <w:szCs w:val="32"/>
          <w:shd w:val="clear" w:color="auto" w:fill="FFFFFF"/>
          <w:lang w:val="en-US" w:eastAsia="zh-CN" w:bidi="ar-SA"/>
        </w:rPr>
        <w:t>加强内部管理，提高财务管理水平，确保资金使用的合规性和有效性。</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pPr>
          <w:pStyle w:val="6"/>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6"/>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F1B16"/>
    <w:multiLevelType w:val="singleLevel"/>
    <w:tmpl w:val="F86F1B16"/>
    <w:lvl w:ilvl="0" w:tentative="0">
      <w:start w:val="2"/>
      <w:numFmt w:val="chineseCounting"/>
      <w:suff w:val="nothing"/>
      <w:lvlText w:val="（%1）"/>
      <w:lvlJc w:val="left"/>
      <w:rPr>
        <w:rFonts w:hint="eastAsia"/>
      </w:rPr>
    </w:lvl>
  </w:abstractNum>
  <w:abstractNum w:abstractNumId="1">
    <w:nsid w:val="3E794925"/>
    <w:multiLevelType w:val="singleLevel"/>
    <w:tmpl w:val="3E794925"/>
    <w:lvl w:ilvl="0" w:tentative="0">
      <w:start w:val="3"/>
      <w:numFmt w:val="chineseCounting"/>
      <w:suff w:val="nothing"/>
      <w:lvlText w:val="（%1）"/>
      <w:lvlJc w:val="left"/>
      <w:rPr>
        <w:rFonts w:hint="eastAsia"/>
      </w:rPr>
    </w:lvl>
  </w:abstractNum>
  <w:abstractNum w:abstractNumId="2">
    <w:nsid w:val="69CDB327"/>
    <w:multiLevelType w:val="singleLevel"/>
    <w:tmpl w:val="69CDB327"/>
    <w:lvl w:ilvl="0" w:tentative="0">
      <w:start w:val="2"/>
      <w:numFmt w:val="chineseCounting"/>
      <w:suff w:val="nothing"/>
      <w:lvlText w:val="（%1）"/>
      <w:lvlJc w:val="left"/>
      <w:rPr>
        <w:rFonts w:hint="eastAsia"/>
      </w:rPr>
    </w:lvl>
  </w:abstractNum>
  <w:abstractNum w:abstractNumId="3">
    <w:nsid w:val="7476C262"/>
    <w:multiLevelType w:val="singleLevel"/>
    <w:tmpl w:val="7476C262"/>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5YmNjZDU2ZjgxMTgxYTg3N2IyOWM5NTY5Y2QwYTE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18F4"/>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A3FA9"/>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30B6"/>
    <w:rsid w:val="002C59D0"/>
    <w:rsid w:val="002D1A18"/>
    <w:rsid w:val="002D6C79"/>
    <w:rsid w:val="002E09F1"/>
    <w:rsid w:val="002E1104"/>
    <w:rsid w:val="002E3FDD"/>
    <w:rsid w:val="00300EF4"/>
    <w:rsid w:val="00301353"/>
    <w:rsid w:val="00305FF6"/>
    <w:rsid w:val="00307568"/>
    <w:rsid w:val="00311506"/>
    <w:rsid w:val="00316ADB"/>
    <w:rsid w:val="00317623"/>
    <w:rsid w:val="00335F67"/>
    <w:rsid w:val="003361E9"/>
    <w:rsid w:val="00350A65"/>
    <w:rsid w:val="00361C85"/>
    <w:rsid w:val="00371352"/>
    <w:rsid w:val="00376753"/>
    <w:rsid w:val="0038541D"/>
    <w:rsid w:val="00387818"/>
    <w:rsid w:val="00391A13"/>
    <w:rsid w:val="00391FD0"/>
    <w:rsid w:val="003A1D7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102F"/>
    <w:rsid w:val="00634DFF"/>
    <w:rsid w:val="00635337"/>
    <w:rsid w:val="0064265B"/>
    <w:rsid w:val="0064519C"/>
    <w:rsid w:val="0065082E"/>
    <w:rsid w:val="006512D0"/>
    <w:rsid w:val="006560A3"/>
    <w:rsid w:val="00656301"/>
    <w:rsid w:val="006600C9"/>
    <w:rsid w:val="006664F1"/>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4463"/>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961DA"/>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03AD"/>
    <w:rsid w:val="00A5432A"/>
    <w:rsid w:val="00A55F8A"/>
    <w:rsid w:val="00A9670E"/>
    <w:rsid w:val="00AA1423"/>
    <w:rsid w:val="00AB7996"/>
    <w:rsid w:val="00AC43C3"/>
    <w:rsid w:val="00AE2EAD"/>
    <w:rsid w:val="00AF77BE"/>
    <w:rsid w:val="00B11CEE"/>
    <w:rsid w:val="00B23428"/>
    <w:rsid w:val="00B264BF"/>
    <w:rsid w:val="00B3387B"/>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42B49"/>
    <w:rsid w:val="00C53721"/>
    <w:rsid w:val="00C64D2E"/>
    <w:rsid w:val="00C70F97"/>
    <w:rsid w:val="00C7497C"/>
    <w:rsid w:val="00C757A2"/>
    <w:rsid w:val="00C75966"/>
    <w:rsid w:val="00C76577"/>
    <w:rsid w:val="00C765A0"/>
    <w:rsid w:val="00C80225"/>
    <w:rsid w:val="00C80B66"/>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96DD4"/>
    <w:rsid w:val="00DA0236"/>
    <w:rsid w:val="00DA5D51"/>
    <w:rsid w:val="00DA5E29"/>
    <w:rsid w:val="00DA61CA"/>
    <w:rsid w:val="00DB66BB"/>
    <w:rsid w:val="00DB73AF"/>
    <w:rsid w:val="00DC2865"/>
    <w:rsid w:val="00DD0894"/>
    <w:rsid w:val="00DE1888"/>
    <w:rsid w:val="00DF1250"/>
    <w:rsid w:val="00DF6EF7"/>
    <w:rsid w:val="00E05454"/>
    <w:rsid w:val="00E074C3"/>
    <w:rsid w:val="00E230FA"/>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DC31556"/>
    <w:rsid w:val="1A3D6143"/>
    <w:rsid w:val="1C013801"/>
    <w:rsid w:val="2D527252"/>
    <w:rsid w:val="2EAE55F2"/>
    <w:rsid w:val="2EDF4302"/>
    <w:rsid w:val="30175DFF"/>
    <w:rsid w:val="463C470D"/>
    <w:rsid w:val="47550EBA"/>
    <w:rsid w:val="5D8E49E6"/>
    <w:rsid w:val="640E6363"/>
    <w:rsid w:val="6636451A"/>
    <w:rsid w:val="6ED3703B"/>
    <w:rsid w:val="6EF65E9C"/>
    <w:rsid w:val="71397E03"/>
    <w:rsid w:val="77FFA8F9"/>
    <w:rsid w:val="7A9314AC"/>
    <w:rsid w:val="7C631402"/>
    <w:rsid w:val="7E140770"/>
    <w:rsid w:val="7FEFB5DD"/>
    <w:rsid w:val="B5F66F24"/>
    <w:rsid w:val="C5B3F496"/>
    <w:rsid w:val="DDD7453A"/>
    <w:rsid w:val="DFE75A3D"/>
    <w:rsid w:val="DFEF594B"/>
    <w:rsid w:val="F1F9A9B5"/>
    <w:rsid w:val="FABF7411"/>
    <w:rsid w:val="FEFD95B3"/>
    <w:rsid w:val="FF2E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1">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Document Map"/>
    <w:basedOn w:val="1"/>
    <w:link w:val="15"/>
    <w:qFormat/>
    <w:uiPriority w:val="0"/>
    <w:rPr>
      <w:rFonts w:ascii="宋体" w:eastAsia="宋体"/>
      <w:sz w:val="18"/>
      <w:szCs w:val="18"/>
    </w:rPr>
  </w:style>
  <w:style w:type="paragraph" w:styleId="4">
    <w:name w:val="Plain Text"/>
    <w:basedOn w:val="1"/>
    <w:link w:val="20"/>
    <w:uiPriority w:val="0"/>
    <w:rPr>
      <w:rFonts w:ascii="宋体" w:hAnsi="Courier New"/>
    </w:rPr>
  </w:style>
  <w:style w:type="paragraph" w:styleId="5">
    <w:name w:val="Balloon Text"/>
    <w:basedOn w:val="1"/>
    <w:semiHidden/>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rFonts w:eastAsia="宋体"/>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customStyle="1" w:styleId="13">
    <w:name w:val="四号正文"/>
    <w:basedOn w:val="1"/>
    <w:link w:val="14"/>
    <w:qFormat/>
    <w:uiPriority w:val="0"/>
    <w:pPr>
      <w:spacing w:line="360" w:lineRule="auto"/>
    </w:pPr>
    <w:rPr>
      <w:rFonts w:ascii="??" w:hAnsi="??" w:eastAsia="宋体" w:cs="宋体"/>
      <w:color w:val="000000"/>
      <w:kern w:val="0"/>
      <w:sz w:val="28"/>
      <w:szCs w:val="21"/>
    </w:rPr>
  </w:style>
  <w:style w:type="character" w:customStyle="1" w:styleId="14">
    <w:name w:val="四号正文 Char"/>
    <w:basedOn w:val="11"/>
    <w:link w:val="13"/>
    <w:qFormat/>
    <w:uiPriority w:val="0"/>
    <w:rPr>
      <w:rFonts w:ascii="??" w:hAnsi="??" w:eastAsia="宋体" w:cs="宋体"/>
      <w:color w:val="000000"/>
      <w:sz w:val="28"/>
      <w:szCs w:val="21"/>
      <w:lang w:val="en-US" w:eastAsia="zh-CN" w:bidi="ar-SA"/>
    </w:rPr>
  </w:style>
  <w:style w:type="character" w:customStyle="1" w:styleId="15">
    <w:name w:val="文档结构图 字符"/>
    <w:basedOn w:val="11"/>
    <w:link w:val="3"/>
    <w:autoRedefine/>
    <w:qFormat/>
    <w:uiPriority w:val="0"/>
    <w:rPr>
      <w:rFonts w:ascii="宋体"/>
      <w:kern w:val="2"/>
      <w:sz w:val="18"/>
      <w:szCs w:val="18"/>
    </w:rPr>
  </w:style>
  <w:style w:type="paragraph" w:customStyle="1" w:styleId="16">
    <w:name w:val="a"/>
    <w:basedOn w:val="1"/>
    <w:autoRedefine/>
    <w:qFormat/>
    <w:uiPriority w:val="0"/>
    <w:pPr>
      <w:widowControl/>
      <w:spacing w:before="100" w:beforeAutospacing="1" w:after="100" w:afterAutospacing="1"/>
      <w:jc w:val="left"/>
    </w:pPr>
    <w:rPr>
      <w:rFonts w:ascii="宋体" w:hAnsi="宋体" w:eastAsia="宋体" w:cs="宋体"/>
      <w:kern w:val="0"/>
      <w:sz w:val="24"/>
    </w:rPr>
  </w:style>
  <w:style w:type="character" w:customStyle="1" w:styleId="17">
    <w:name w:val="页脚 字符"/>
    <w:basedOn w:val="11"/>
    <w:link w:val="6"/>
    <w:autoRedefine/>
    <w:qFormat/>
    <w:uiPriority w:val="99"/>
    <w:rPr>
      <w:kern w:val="2"/>
      <w:sz w:val="18"/>
      <w:szCs w:val="18"/>
    </w:rPr>
  </w:style>
  <w:style w:type="character" w:customStyle="1" w:styleId="18">
    <w:name w:val="font31"/>
    <w:basedOn w:val="11"/>
    <w:qFormat/>
    <w:uiPriority w:val="0"/>
    <w:rPr>
      <w:rFonts w:hint="eastAsia" w:ascii="宋体" w:hAnsi="宋体" w:eastAsia="宋体" w:cs="宋体"/>
      <w:color w:val="000000"/>
      <w:sz w:val="24"/>
      <w:szCs w:val="24"/>
      <w:u w:val="none"/>
    </w:rPr>
  </w:style>
  <w:style w:type="character" w:customStyle="1" w:styleId="19">
    <w:name w:val="纯文本 + 仿宋_GB2312 Char"/>
    <w:basedOn w:val="20"/>
    <w:link w:val="21"/>
    <w:qFormat/>
    <w:uiPriority w:val="0"/>
    <w:rPr>
      <w:rFonts w:ascii="仿宋_GB2312" w:hAnsi="仿宋_GB2312" w:eastAsia="仿宋_GB2312" w:cs="仿宋_GB2312"/>
      <w:sz w:val="32"/>
      <w:szCs w:val="32"/>
    </w:rPr>
  </w:style>
  <w:style w:type="character" w:customStyle="1" w:styleId="20">
    <w:name w:val="纯文本 Char"/>
    <w:basedOn w:val="11"/>
    <w:link w:val="4"/>
    <w:qFormat/>
    <w:uiPriority w:val="0"/>
    <w:rPr>
      <w:rFonts w:ascii="宋体" w:hAnsi="Courier New"/>
    </w:rPr>
  </w:style>
  <w:style w:type="paragraph" w:customStyle="1" w:styleId="21">
    <w:name w:val="纯文本 + 仿宋_GB2312"/>
    <w:basedOn w:val="4"/>
    <w:link w:val="19"/>
    <w:autoRedefine/>
    <w:qFormat/>
    <w:uiPriority w:val="0"/>
    <w:pPr>
      <w:spacing w:line="600" w:lineRule="exact"/>
      <w:ind w:left="160" w:leftChars="76" w:firstLine="800" w:firstLineChars="250"/>
      <w:jc w:val="left"/>
    </w:pPr>
    <w:rPr>
      <w:rFonts w:ascii="仿宋_GB2312" w:hAnsi="仿宋_GB2312" w:eastAsia="仿宋_GB2312" w:cs="仿宋_GB2312"/>
      <w:sz w:val="32"/>
      <w:szCs w:val="32"/>
    </w:rPr>
  </w:style>
  <w:style w:type="paragraph" w:customStyle="1" w:styleId="22">
    <w:name w:val="纯文本 + (西文) Calibri"/>
    <w:basedOn w:val="4"/>
    <w:autoRedefine/>
    <w:qFormat/>
    <w:uiPriority w:val="0"/>
    <w:pPr>
      <w:spacing w:line="600" w:lineRule="exact"/>
      <w:ind w:left="160" w:leftChars="76" w:firstLine="800" w:firstLineChars="250"/>
      <w:jc w:val="left"/>
    </w:pPr>
    <w:rPr>
      <w:rFonts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5</Pages>
  <Words>52</Words>
  <Characters>302</Characters>
  <Lines>2</Lines>
  <Paragraphs>1</Paragraphs>
  <TotalTime>104</TotalTime>
  <ScaleCrop>false</ScaleCrop>
  <LinksUpToDate>false</LinksUpToDate>
  <CharactersWithSpaces>353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2019-05-16T11:06:00Z</dcterms:created>
  <dc:creator>陈萍</dc:creator>
  <cp:lastModifiedBy>洋洋洋妹</cp:lastModifiedBy>
  <cp:lastPrinted>2023-04-07T02:36:00Z</cp:lastPrinted>
  <dcterms:modified xsi:type="dcterms:W3CDTF">2024-06-17T03:40:28Z</dcterms:modified>
  <dc:title>区域性就业培训基地建设项目</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83CB796F42FB46F881865F91D6A07C99</vt:lpwstr>
  </property>
</Properties>
</file>