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contextualSpacing/>
        <w:rPr>
          <w:rFonts w:eastAsia="黑体"/>
          <w:szCs w:val="32"/>
          <w:lang w:val="zh-CN"/>
        </w:rPr>
      </w:pPr>
      <w:r>
        <w:rPr>
          <w:rFonts w:eastAsia="黑体"/>
          <w:szCs w:val="32"/>
          <w:lang w:val="zh-CN"/>
        </w:rPr>
        <w:t>附件</w:t>
      </w:r>
      <w:r>
        <w:rPr>
          <w:rFonts w:eastAsia="黑体"/>
          <w:szCs w:val="32"/>
        </w:rPr>
        <w:t>2</w:t>
      </w:r>
    </w:p>
    <w:p>
      <w:pPr>
        <w:widowControl/>
        <w:spacing w:line="580" w:lineRule="exact"/>
        <w:contextualSpacing/>
        <w:jc w:val="center"/>
        <w:rPr>
          <w:rFonts w:hint="eastAsia" w:eastAsia="宋体"/>
          <w:b/>
          <w:sz w:val="44"/>
          <w:szCs w:val="44"/>
          <w:shd w:val="clear" w:color="auto" w:fill="FFFFFF"/>
          <w:lang w:val="en-US" w:eastAsia="zh-CN"/>
        </w:rPr>
      </w:pPr>
      <w:r>
        <w:rPr>
          <w:rFonts w:hint="eastAsia" w:eastAsia="宋体"/>
          <w:b/>
          <w:sz w:val="44"/>
          <w:szCs w:val="44"/>
          <w:shd w:val="clear" w:color="auto" w:fill="FFFFFF"/>
          <w:lang w:val="en-US" w:eastAsia="zh-CN"/>
        </w:rPr>
        <w:t>攀枝花市第十五中学校</w:t>
      </w:r>
    </w:p>
    <w:p>
      <w:pPr>
        <w:widowControl/>
        <w:spacing w:line="580" w:lineRule="exact"/>
        <w:contextualSpacing/>
        <w:jc w:val="center"/>
        <w:rPr>
          <w:szCs w:val="32"/>
          <w:shd w:val="clear" w:color="auto" w:fill="FFFFFF"/>
        </w:rPr>
      </w:pPr>
      <w:r>
        <w:rPr>
          <w:rFonts w:eastAsia="宋体"/>
          <w:b/>
          <w:sz w:val="44"/>
          <w:szCs w:val="44"/>
          <w:shd w:val="clear" w:color="auto" w:fill="FFFFFF"/>
        </w:rPr>
        <w:t>202</w:t>
      </w:r>
      <w:r>
        <w:rPr>
          <w:rFonts w:hint="eastAsia" w:eastAsia="宋体"/>
          <w:b/>
          <w:sz w:val="44"/>
          <w:szCs w:val="44"/>
          <w:shd w:val="clear" w:color="auto" w:fill="FFFFFF"/>
          <w:lang w:val="en-US" w:eastAsia="zh-CN"/>
        </w:rPr>
        <w:t>3</w:t>
      </w:r>
      <w:r>
        <w:rPr>
          <w:rFonts w:hint="eastAsia" w:eastAsia="宋体"/>
          <w:b/>
          <w:sz w:val="44"/>
          <w:szCs w:val="44"/>
          <w:shd w:val="clear" w:color="auto" w:fill="FFFFFF"/>
        </w:rPr>
        <w:t>年度区</w:t>
      </w:r>
      <w:r>
        <w:rPr>
          <w:rFonts w:eastAsia="宋体"/>
          <w:b/>
          <w:sz w:val="44"/>
          <w:szCs w:val="44"/>
          <w:shd w:val="clear" w:color="auto" w:fill="FFFFFF"/>
        </w:rPr>
        <w:t>级部门整体支出绩效评价报告</w:t>
      </w:r>
    </w:p>
    <w:p>
      <w:pPr>
        <w:widowControl/>
        <w:adjustRightInd w:val="0"/>
        <w:snapToGrid w:val="0"/>
        <w:spacing w:line="580" w:lineRule="exact"/>
        <w:ind w:firstLine="480" w:firstLineChars="200"/>
        <w:contextualSpacing/>
        <w:jc w:val="left"/>
        <w:rPr>
          <w:rFonts w:eastAsia="黑体"/>
          <w:color w:val="000000"/>
          <w:kern w:val="0"/>
          <w:sz w:val="24"/>
          <w:szCs w:val="32"/>
          <w:shd w:val="clear" w:color="auto" w:fill="FFFFFF"/>
        </w:rPr>
      </w:pP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eastAsia="黑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eastAsia="黑体"/>
          <w:color w:val="000000"/>
          <w:kern w:val="0"/>
          <w:szCs w:val="32"/>
          <w:shd w:val="clear" w:color="auto" w:fill="FFFFFF"/>
        </w:rPr>
        <w:t>一、</w:t>
      </w:r>
      <w:r>
        <w:rPr>
          <w:rFonts w:eastAsia="黑体"/>
          <w:color w:val="000000"/>
          <w:kern w:val="0"/>
          <w:szCs w:val="32"/>
          <w:shd w:val="clear" w:color="auto" w:fill="FFFFFF"/>
          <w:lang w:val="zh-CN"/>
        </w:rPr>
        <w:t>单位概况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>
        <w:rPr>
          <w:color w:val="000000"/>
          <w:kern w:val="0"/>
          <w:szCs w:val="32"/>
          <w:shd w:val="clear" w:color="auto" w:fill="FFFFFF"/>
          <w:lang w:val="zh-CN"/>
        </w:rPr>
        <w:t>（一）机构组成。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攀枝花市第十五中学校内设机构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个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分别为党政办公室、总务处、教务处、德育处、教研室、信息中心、艺体教育部</w:t>
      </w:r>
      <w:r>
        <w:rPr>
          <w:rFonts w:hint="eastAsia" w:cs="Times New Roman"/>
          <w:sz w:val="32"/>
          <w:szCs w:val="32"/>
          <w:lang w:val="en-US" w:eastAsia="zh-CN"/>
        </w:rPr>
        <w:t>。</w:t>
      </w:r>
    </w:p>
    <w:p>
      <w:pPr>
        <w:widowControl/>
        <w:numPr>
          <w:ilvl w:val="0"/>
          <w:numId w:val="1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>
        <w:rPr>
          <w:color w:val="000000"/>
          <w:kern w:val="0"/>
          <w:szCs w:val="32"/>
          <w:shd w:val="clear" w:color="auto" w:fill="FFFFFF"/>
          <w:lang w:val="zh-CN"/>
        </w:rPr>
        <w:t>机构职能。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实施中学教育，促进基础教育发展。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>
        <w:rPr>
          <w:color w:val="000000"/>
          <w:kern w:val="0"/>
          <w:szCs w:val="32"/>
          <w:shd w:val="clear" w:color="auto" w:fill="FFFFFF"/>
          <w:lang w:val="zh-CN"/>
        </w:rPr>
        <w:t>（三）人员概况。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eastAsia="仿宋_GB2312"/>
          <w:color w:val="000000"/>
          <w:kern w:val="0"/>
          <w:szCs w:val="32"/>
          <w:shd w:val="clear" w:color="auto" w:fill="FFFFFF"/>
          <w:lang w:val="zh-CN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攀枝花市第十五中学校现有事业单位编制为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318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人，学校实有人数为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324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人，在职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324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人（备注：退休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177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人，在社保局领取退休金），学生人数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3891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人，其中，初中生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744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人，高中生3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174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人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eastAsia="黑体"/>
          <w:color w:val="000000"/>
          <w:kern w:val="0"/>
          <w:szCs w:val="32"/>
          <w:shd w:val="clear" w:color="auto" w:fill="FFFFFF"/>
        </w:rPr>
      </w:pPr>
      <w:r>
        <w:rPr>
          <w:rFonts w:eastAsia="黑体"/>
          <w:color w:val="000000"/>
          <w:kern w:val="0"/>
          <w:szCs w:val="32"/>
          <w:shd w:val="clear" w:color="auto" w:fill="FFFFFF"/>
        </w:rPr>
        <w:t>二、部门财政资金收支情况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>
        <w:rPr>
          <w:color w:val="000000"/>
          <w:kern w:val="0"/>
          <w:szCs w:val="32"/>
          <w:shd w:val="clear" w:color="auto" w:fill="FFFFFF"/>
          <w:lang w:val="zh-CN"/>
        </w:rPr>
        <w:t>（一）部门财政资金收入情况。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年学校财政资金年初预算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5941.35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万元，全年实际预算收入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6083.50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万元，其中一般公共预算拨款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6083.50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万元，上年结转和结余资金</w:t>
      </w:r>
      <w:r>
        <w:rPr>
          <w:rFonts w:hint="eastAsia" w:cs="Times New Roman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万元。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（</w:t>
      </w:r>
      <w:r>
        <w:rPr>
          <w:rFonts w:hint="eastAsia"/>
          <w:color w:val="000000"/>
          <w:kern w:val="0"/>
          <w:szCs w:val="32"/>
          <w:shd w:val="clear" w:color="auto" w:fill="FFFFFF"/>
          <w:lang w:val="en-US" w:eastAsia="zh-CN"/>
        </w:rPr>
        <w:t>二</w:t>
      </w:r>
      <w:r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）</w:t>
      </w:r>
      <w:r>
        <w:rPr>
          <w:color w:val="000000"/>
          <w:kern w:val="0"/>
          <w:szCs w:val="32"/>
          <w:shd w:val="clear" w:color="auto" w:fill="FFFFFF"/>
          <w:lang w:val="zh-CN"/>
        </w:rPr>
        <w:t>部门财政资金支出情况。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202</w:t>
      </w:r>
      <w:r>
        <w:rPr>
          <w:rFonts w:hint="eastAsia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年财政资金拨款支出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年初预算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合计</w:t>
      </w:r>
      <w:r>
        <w:rPr>
          <w:rFonts w:hint="eastAsia" w:cs="Times New Roman"/>
          <w:sz w:val="32"/>
          <w:szCs w:val="32"/>
          <w:highlight w:val="none"/>
          <w:lang w:val="en-US" w:eastAsia="zh-CN"/>
        </w:rPr>
        <w:t>5941.35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为万元</w:t>
      </w:r>
      <w:r>
        <w:rPr>
          <w:rFonts w:hint="eastAsia" w:cs="Times New Roman"/>
          <w:sz w:val="32"/>
          <w:szCs w:val="32"/>
          <w:highlight w:val="none"/>
          <w:lang w:eastAsia="zh-CN"/>
        </w:rPr>
        <w:t>，</w:t>
      </w:r>
      <w:r>
        <w:rPr>
          <w:rFonts w:hint="eastAsia" w:cs="Times New Roman"/>
          <w:sz w:val="32"/>
          <w:szCs w:val="32"/>
          <w:highlight w:val="none"/>
          <w:lang w:val="en-US" w:eastAsia="zh-CN"/>
        </w:rPr>
        <w:t>其中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基本支出</w:t>
      </w:r>
      <w:r>
        <w:rPr>
          <w:rFonts w:hint="eastAsia" w:cs="Times New Roman"/>
          <w:sz w:val="32"/>
          <w:szCs w:val="32"/>
          <w:highlight w:val="none"/>
          <w:lang w:val="en-US" w:eastAsia="zh-CN"/>
        </w:rPr>
        <w:t>5938.81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万元</w:t>
      </w:r>
      <w:r>
        <w:rPr>
          <w:rFonts w:hint="eastAsia" w:cs="Times New Roman"/>
          <w:sz w:val="32"/>
          <w:szCs w:val="32"/>
          <w:highlight w:val="none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（其中人员类支出</w:t>
      </w:r>
      <w:r>
        <w:rPr>
          <w:rFonts w:hint="eastAsia" w:cs="Times New Roman"/>
          <w:sz w:val="32"/>
          <w:szCs w:val="32"/>
          <w:highlight w:val="none"/>
          <w:lang w:val="en-US" w:eastAsia="zh-CN"/>
        </w:rPr>
        <w:t>5109.32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万元，公用类支出</w:t>
      </w:r>
      <w:r>
        <w:rPr>
          <w:rFonts w:hint="eastAsia" w:cs="Times New Roman"/>
          <w:sz w:val="32"/>
          <w:szCs w:val="32"/>
          <w:highlight w:val="none"/>
          <w:lang w:val="en-US" w:eastAsia="zh-CN"/>
        </w:rPr>
        <w:t>829.49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万元），部门项目支出</w:t>
      </w:r>
      <w:r>
        <w:rPr>
          <w:rFonts w:hint="eastAsia" w:cs="Times New Roman"/>
          <w:sz w:val="32"/>
          <w:szCs w:val="32"/>
          <w:highlight w:val="none"/>
          <w:lang w:val="en-US" w:eastAsia="zh-CN"/>
        </w:rPr>
        <w:t>2.54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万元</w:t>
      </w:r>
      <w:r>
        <w:rPr>
          <w:rFonts w:hint="eastAsia" w:cs="Times New Roman"/>
          <w:sz w:val="32"/>
          <w:szCs w:val="32"/>
          <w:highlight w:val="none"/>
          <w:lang w:eastAsia="zh-CN"/>
        </w:rPr>
        <w:t>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eastAsia="黑体"/>
          <w:color w:val="000000"/>
          <w:kern w:val="0"/>
          <w:szCs w:val="32"/>
          <w:shd w:val="clear" w:color="auto" w:fill="FFFFFF"/>
        </w:rPr>
      </w:pPr>
      <w:r>
        <w:rPr>
          <w:rFonts w:eastAsia="黑体"/>
          <w:color w:val="000000"/>
          <w:kern w:val="0"/>
          <w:szCs w:val="32"/>
          <w:shd w:val="clear" w:color="auto" w:fill="FFFFFF"/>
        </w:rPr>
        <w:t>三、部门整体预算绩效管理情况（根据适用指标体系进行调整）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Cs w:val="32"/>
          <w:highlight w:val="yellow"/>
          <w:shd w:val="clear" w:color="auto" w:fill="FFFFFF"/>
          <w:lang w:val="zh-CN"/>
        </w:rPr>
      </w:pPr>
      <w:r>
        <w:rPr>
          <w:color w:val="000000"/>
          <w:kern w:val="0"/>
          <w:szCs w:val="32"/>
          <w:shd w:val="clear" w:color="auto" w:fill="FFFFFF"/>
          <w:lang w:val="zh-CN"/>
        </w:rPr>
        <w:t>（一）部门预算项目绩效管理。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Cs w:val="32"/>
          <w:highlight w:val="none"/>
          <w:shd w:val="clear" w:color="auto" w:fill="FFFFFF"/>
          <w:lang w:val="zh-CN"/>
        </w:rPr>
      </w:pPr>
      <w:r>
        <w:rPr>
          <w:color w:val="000000"/>
          <w:kern w:val="0"/>
          <w:szCs w:val="32"/>
          <w:highlight w:val="none"/>
          <w:shd w:val="clear" w:color="auto" w:fill="FFFFFF"/>
          <w:lang w:val="zh-CN"/>
        </w:rPr>
        <w:t>202</w:t>
      </w:r>
      <w:r>
        <w:rPr>
          <w:rFonts w:hint="eastAsia"/>
          <w:color w:val="000000"/>
          <w:kern w:val="0"/>
          <w:szCs w:val="32"/>
          <w:highlight w:val="none"/>
          <w:shd w:val="clear" w:color="auto" w:fill="FFFFFF"/>
          <w:lang w:val="en-US" w:eastAsia="zh-CN"/>
        </w:rPr>
        <w:t>3</w:t>
      </w:r>
      <w:r>
        <w:rPr>
          <w:color w:val="000000"/>
          <w:kern w:val="0"/>
          <w:szCs w:val="32"/>
          <w:highlight w:val="none"/>
          <w:shd w:val="clear" w:color="auto" w:fill="FFFFFF"/>
          <w:lang w:val="zh-CN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攀枝花市第十五中学校</w:t>
      </w:r>
      <w:r>
        <w:rPr>
          <w:color w:val="000000"/>
          <w:kern w:val="0"/>
          <w:szCs w:val="32"/>
          <w:highlight w:val="none"/>
          <w:shd w:val="clear" w:color="auto" w:fill="FFFFFF"/>
          <w:lang w:val="zh-CN"/>
        </w:rPr>
        <w:t>部门绩效目标制定、目标实现方面，预算按人员类</w:t>
      </w:r>
      <w:r>
        <w:rPr>
          <w:rFonts w:hint="eastAsia" w:cs="Times New Roman"/>
          <w:sz w:val="32"/>
          <w:szCs w:val="32"/>
          <w:highlight w:val="none"/>
          <w:lang w:val="en-US" w:eastAsia="zh-CN"/>
        </w:rPr>
        <w:t>5109.32</w:t>
      </w:r>
      <w:r>
        <w:rPr>
          <w:color w:val="000000"/>
          <w:kern w:val="0"/>
          <w:szCs w:val="32"/>
          <w:highlight w:val="none"/>
          <w:shd w:val="clear" w:color="auto" w:fill="FFFFFF"/>
          <w:lang w:val="zh-CN"/>
        </w:rPr>
        <w:t>万元，运转类是</w:t>
      </w:r>
      <w:r>
        <w:rPr>
          <w:rFonts w:hint="eastAsia"/>
          <w:color w:val="000000"/>
          <w:kern w:val="0"/>
          <w:szCs w:val="32"/>
          <w:highlight w:val="none"/>
          <w:shd w:val="clear" w:color="auto" w:fill="FFFFFF"/>
          <w:lang w:val="en-US" w:eastAsia="zh-CN"/>
        </w:rPr>
        <w:t>829.32</w:t>
      </w:r>
      <w:r>
        <w:rPr>
          <w:color w:val="000000"/>
          <w:kern w:val="0"/>
          <w:szCs w:val="32"/>
          <w:highlight w:val="none"/>
          <w:shd w:val="clear" w:color="auto" w:fill="FFFFFF"/>
          <w:lang w:val="zh-CN"/>
        </w:rPr>
        <w:t>万元，特定目标类</w:t>
      </w:r>
      <w:r>
        <w:rPr>
          <w:rFonts w:hint="eastAsia"/>
          <w:color w:val="000000"/>
          <w:kern w:val="0"/>
          <w:szCs w:val="32"/>
          <w:highlight w:val="none"/>
          <w:shd w:val="clear" w:color="auto" w:fill="FFFFFF"/>
          <w:lang w:val="en-US" w:eastAsia="zh-CN"/>
        </w:rPr>
        <w:t>2.54</w:t>
      </w:r>
      <w:r>
        <w:rPr>
          <w:color w:val="000000"/>
          <w:kern w:val="0"/>
          <w:szCs w:val="32"/>
          <w:highlight w:val="none"/>
          <w:shd w:val="clear" w:color="auto" w:fill="FFFFFF"/>
          <w:lang w:val="zh-CN"/>
        </w:rPr>
        <w:t>万元。其中人员类已完成预算，运转类</w:t>
      </w:r>
      <w:r>
        <w:rPr>
          <w:rFonts w:hint="eastAsia"/>
          <w:color w:val="000000"/>
          <w:kern w:val="0"/>
          <w:szCs w:val="32"/>
          <w:highlight w:val="none"/>
          <w:shd w:val="clear" w:color="auto" w:fill="FFFFFF"/>
          <w:lang w:val="zh-CN"/>
        </w:rPr>
        <w:t>、</w:t>
      </w:r>
      <w:r>
        <w:rPr>
          <w:color w:val="000000"/>
          <w:kern w:val="0"/>
          <w:szCs w:val="32"/>
          <w:highlight w:val="none"/>
          <w:shd w:val="clear" w:color="auto" w:fill="FFFFFF"/>
          <w:lang w:val="zh-CN"/>
        </w:rPr>
        <w:t>特定目标类未能完成预算，支出控制、及时处置、执行进度等都按要求完成，资金结余率（低效无效率）方面，学校本年度很低，无违规情况。具体分析如下：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1.目标管理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15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分，自评得分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1</w:t>
      </w:r>
      <w:r>
        <w:rPr>
          <w:rFonts w:hint="eastAsia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分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目标制定：要素完整，通过了学校</w:t>
      </w:r>
      <w:r>
        <w:rPr>
          <w:rFonts w:hint="eastAsia" w:cs="Times New Roman"/>
          <w:sz w:val="32"/>
          <w:szCs w:val="32"/>
          <w:lang w:val="en-US" w:eastAsia="zh-CN"/>
        </w:rPr>
        <w:t>党委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会集体决策，具有可实现性，自评得满分；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目标实现：预算</w:t>
      </w:r>
      <w:r>
        <w:rPr>
          <w:color w:val="000000"/>
          <w:kern w:val="0"/>
          <w:szCs w:val="32"/>
          <w:highlight w:val="none"/>
          <w:shd w:val="clear" w:color="auto" w:fill="FFFFFF"/>
          <w:lang w:val="zh-CN"/>
        </w:rPr>
        <w:t>人员类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全部完成预期目标值，</w:t>
      </w:r>
      <w:r>
        <w:rPr>
          <w:color w:val="000000"/>
          <w:kern w:val="0"/>
          <w:szCs w:val="32"/>
          <w:highlight w:val="none"/>
          <w:shd w:val="clear" w:color="auto" w:fill="FFFFFF"/>
          <w:lang w:val="zh-CN"/>
        </w:rPr>
        <w:t>运转类</w:t>
      </w:r>
      <w:r>
        <w:rPr>
          <w:rFonts w:hint="eastAsia"/>
          <w:color w:val="000000"/>
          <w:kern w:val="0"/>
          <w:szCs w:val="32"/>
          <w:highlight w:val="none"/>
          <w:shd w:val="clear" w:color="auto" w:fill="FFFFFF"/>
          <w:lang w:val="zh-CN"/>
        </w:rPr>
        <w:t>、</w:t>
      </w:r>
      <w:r>
        <w:rPr>
          <w:color w:val="000000"/>
          <w:kern w:val="0"/>
          <w:szCs w:val="32"/>
          <w:highlight w:val="none"/>
          <w:shd w:val="clear" w:color="auto" w:fill="FFFFFF"/>
          <w:lang w:val="zh-CN"/>
        </w:rPr>
        <w:t>特定目标类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项目未完成预期目标值，自评未得满分。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2.动态调整10分，自评得分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10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分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支出控制：项目支出中“办公费、印刷费、水费、电费、物业管理费”等年初预算与决算数偏差不大，自评得满分；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及时处置：我校在人员类支出、公用经费类支出中出现偏差时，及时向财政部门进行资金调整申请，使人员类、公用经费总体支出无偏差，自评得满分；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Times New Roman" w:hAnsi="Times New Roman" w:eastAsia="仿宋_GB2312" w:cs="Times New Roman"/>
          <w:sz w:val="32"/>
          <w:szCs w:val="32"/>
          <w:highlight w:val="yellow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执行进度：</w:t>
      </w:r>
      <w:r>
        <w:rPr>
          <w:rFonts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参照年初预算数，控制全年支出进度，基本达到量化指标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；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3.完成效率15分，自评得分13分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预算完成：特定目标类项目年初预算</w:t>
      </w:r>
      <w:r>
        <w:rPr>
          <w:rFonts w:hint="eastAsia" w:cs="Times New Roman"/>
          <w:sz w:val="32"/>
          <w:szCs w:val="32"/>
          <w:lang w:val="en-US" w:eastAsia="zh-CN"/>
        </w:rPr>
        <w:t>2.54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万元，决算数</w:t>
      </w:r>
      <w:r>
        <w:rPr>
          <w:rFonts w:hint="eastAsia" w:cs="Times New Roman"/>
          <w:sz w:val="32"/>
          <w:szCs w:val="32"/>
          <w:lang w:eastAsia="zh-CN"/>
        </w:rPr>
        <w:t>、</w:t>
      </w:r>
      <w:r>
        <w:rPr>
          <w:rFonts w:hint="eastAsia" w:cs="Times New Roman"/>
          <w:sz w:val="32"/>
          <w:szCs w:val="32"/>
          <w:lang w:val="en-US" w:eastAsia="zh-CN"/>
        </w:rPr>
        <w:t>1.51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万元，占年初预算数</w:t>
      </w:r>
      <w:r>
        <w:rPr>
          <w:rFonts w:hint="eastAsia" w:cs="Times New Roman"/>
          <w:sz w:val="32"/>
          <w:szCs w:val="32"/>
          <w:lang w:val="en-US" w:eastAsia="zh-CN"/>
        </w:rPr>
        <w:t>59.45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%，未完成预期目标，该项自评未得满分；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资金结余率：项目资金年终无结余；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default" w:ascii="Times New Roman" w:hAnsi="Times New Roman" w:eastAsia="仿宋_GB2312" w:cs="Times New Roman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违规记录：在各级各部门抽查工作中无违规记录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>
        <w:rPr>
          <w:color w:val="000000"/>
          <w:kern w:val="0"/>
          <w:szCs w:val="32"/>
          <w:shd w:val="clear" w:color="auto" w:fill="FFFFFF"/>
          <w:lang w:val="zh-CN"/>
        </w:rPr>
        <w:t>（二）结果应用情况。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>
        <w:rPr>
          <w:color w:val="000000"/>
          <w:kern w:val="0"/>
          <w:szCs w:val="32"/>
          <w:shd w:val="clear" w:color="auto" w:fill="FFFFFF"/>
          <w:lang w:val="zh-CN"/>
        </w:rPr>
        <w:t>包括内部应用、自评公开、问题整改和应用反馈等情况。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/>
          <w:color w:val="000000"/>
          <w:kern w:val="0"/>
          <w:szCs w:val="32"/>
          <w:highlight w:val="none"/>
          <w:shd w:val="clear" w:color="auto" w:fill="FFFFFF"/>
          <w:lang w:val="zh-CN"/>
        </w:rPr>
      </w:pPr>
      <w:r>
        <w:rPr>
          <w:rFonts w:hint="default"/>
          <w:color w:val="000000"/>
          <w:kern w:val="0"/>
          <w:szCs w:val="32"/>
          <w:shd w:val="clear" w:color="auto" w:fill="FFFFFF"/>
          <w:lang w:val="zh-CN"/>
        </w:rPr>
        <w:t>1</w:t>
      </w:r>
      <w:r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、</w:t>
      </w:r>
      <w:r>
        <w:rPr>
          <w:rFonts w:hint="eastAsia"/>
          <w:color w:val="000000"/>
          <w:kern w:val="0"/>
          <w:szCs w:val="32"/>
          <w:highlight w:val="none"/>
          <w:shd w:val="clear" w:color="auto" w:fill="FFFFFF"/>
          <w:lang w:val="zh-CN"/>
        </w:rPr>
        <w:t>内部应用：自评得分</w:t>
      </w:r>
      <w:r>
        <w:rPr>
          <w:rFonts w:hint="default"/>
          <w:color w:val="000000"/>
          <w:kern w:val="0"/>
          <w:szCs w:val="32"/>
          <w:highlight w:val="none"/>
          <w:shd w:val="clear" w:color="auto" w:fill="FFFFFF"/>
          <w:lang w:val="zh-CN"/>
        </w:rPr>
        <w:t>4</w:t>
      </w:r>
      <w:r>
        <w:rPr>
          <w:rFonts w:hint="eastAsia"/>
          <w:color w:val="000000"/>
          <w:kern w:val="0"/>
          <w:szCs w:val="32"/>
          <w:highlight w:val="none"/>
          <w:shd w:val="clear" w:color="auto" w:fill="FFFFFF"/>
          <w:lang w:val="zh-CN"/>
        </w:rPr>
        <w:t>分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/>
          <w:color w:val="000000"/>
          <w:kern w:val="0"/>
          <w:szCs w:val="32"/>
          <w:highlight w:val="none"/>
          <w:shd w:val="clear" w:color="auto" w:fill="FFFFFF"/>
          <w:lang w:val="zh-CN"/>
        </w:rPr>
      </w:pPr>
      <w:r>
        <w:rPr>
          <w:rFonts w:hint="eastAsia"/>
          <w:color w:val="000000"/>
          <w:kern w:val="0"/>
          <w:szCs w:val="32"/>
          <w:highlight w:val="none"/>
          <w:shd w:val="clear" w:color="auto" w:fill="FFFFFF"/>
          <w:lang w:val="zh-CN"/>
        </w:rPr>
        <w:t>学校高度重视绩效评价结果的应用工作，着力提高绩效意识和财政资金使用效益。将自评结果作为下一年度预算安排和编制的依据，将有力提高预算制定的科学性和有效性。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/>
          <w:color w:val="000000"/>
          <w:kern w:val="0"/>
          <w:szCs w:val="32"/>
          <w:highlight w:val="none"/>
          <w:shd w:val="clear" w:color="auto" w:fill="FFFFFF"/>
          <w:lang w:val="zh-CN"/>
        </w:rPr>
      </w:pPr>
      <w:r>
        <w:rPr>
          <w:rFonts w:hint="default"/>
          <w:color w:val="000000"/>
          <w:kern w:val="0"/>
          <w:szCs w:val="32"/>
          <w:highlight w:val="none"/>
          <w:shd w:val="clear" w:color="auto" w:fill="FFFFFF"/>
          <w:lang w:val="zh-CN"/>
        </w:rPr>
        <w:t>2</w:t>
      </w:r>
      <w:r>
        <w:rPr>
          <w:rFonts w:hint="eastAsia"/>
          <w:color w:val="000000"/>
          <w:kern w:val="0"/>
          <w:szCs w:val="32"/>
          <w:highlight w:val="none"/>
          <w:shd w:val="clear" w:color="auto" w:fill="FFFFFF"/>
          <w:lang w:val="zh-CN"/>
        </w:rPr>
        <w:t>、信息公开：自评得分</w:t>
      </w:r>
      <w:r>
        <w:rPr>
          <w:rFonts w:hint="default"/>
          <w:color w:val="000000"/>
          <w:kern w:val="0"/>
          <w:szCs w:val="32"/>
          <w:highlight w:val="none"/>
          <w:shd w:val="clear" w:color="auto" w:fill="FFFFFF"/>
          <w:lang w:val="zh-CN"/>
        </w:rPr>
        <w:t>2</w:t>
      </w:r>
      <w:r>
        <w:rPr>
          <w:rFonts w:hint="eastAsia"/>
          <w:color w:val="000000"/>
          <w:kern w:val="0"/>
          <w:szCs w:val="32"/>
          <w:highlight w:val="none"/>
          <w:shd w:val="clear" w:color="auto" w:fill="FFFFFF"/>
          <w:lang w:val="zh-CN"/>
        </w:rPr>
        <w:t>分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/>
          <w:color w:val="000000"/>
          <w:kern w:val="0"/>
          <w:szCs w:val="32"/>
          <w:highlight w:val="none"/>
          <w:shd w:val="clear" w:color="auto" w:fill="FFFFFF"/>
          <w:lang w:val="zh-CN"/>
        </w:rPr>
      </w:pPr>
      <w:r>
        <w:rPr>
          <w:rFonts w:hint="eastAsia"/>
          <w:color w:val="000000"/>
          <w:kern w:val="0"/>
          <w:szCs w:val="32"/>
          <w:highlight w:val="none"/>
          <w:shd w:val="clear" w:color="auto" w:fill="FFFFFF"/>
          <w:lang w:val="zh-CN"/>
        </w:rPr>
        <w:t>学校所有工作均按要求在相关场合、网站等进行信息公开，接受社会监督。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/>
          <w:color w:val="000000"/>
          <w:kern w:val="0"/>
          <w:szCs w:val="32"/>
          <w:highlight w:val="none"/>
          <w:shd w:val="clear" w:color="auto" w:fill="FFFFFF"/>
          <w:lang w:val="zh-CN"/>
        </w:rPr>
      </w:pPr>
      <w:r>
        <w:rPr>
          <w:rFonts w:hint="default"/>
          <w:color w:val="000000"/>
          <w:kern w:val="0"/>
          <w:szCs w:val="32"/>
          <w:highlight w:val="none"/>
          <w:shd w:val="clear" w:color="auto" w:fill="FFFFFF"/>
          <w:lang w:val="zh-CN"/>
        </w:rPr>
        <w:t>3</w:t>
      </w:r>
      <w:r>
        <w:rPr>
          <w:rFonts w:hint="eastAsia"/>
          <w:color w:val="000000"/>
          <w:kern w:val="0"/>
          <w:szCs w:val="32"/>
          <w:highlight w:val="none"/>
          <w:shd w:val="clear" w:color="auto" w:fill="FFFFFF"/>
          <w:lang w:val="zh-CN"/>
        </w:rPr>
        <w:t>、整改反馈：自评得分</w:t>
      </w:r>
      <w:r>
        <w:rPr>
          <w:rFonts w:hint="eastAsia"/>
          <w:color w:val="000000"/>
          <w:kern w:val="0"/>
          <w:szCs w:val="32"/>
          <w:highlight w:val="none"/>
          <w:shd w:val="clear" w:color="auto" w:fill="FFFFFF"/>
          <w:lang w:val="en-US" w:eastAsia="zh-CN"/>
        </w:rPr>
        <w:t>4</w:t>
      </w:r>
      <w:r>
        <w:rPr>
          <w:rFonts w:hint="eastAsia"/>
          <w:color w:val="000000"/>
          <w:kern w:val="0"/>
          <w:szCs w:val="32"/>
          <w:highlight w:val="none"/>
          <w:shd w:val="clear" w:color="auto" w:fill="FFFFFF"/>
          <w:lang w:val="zh-CN"/>
        </w:rPr>
        <w:t>分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Cs w:val="32"/>
          <w:highlight w:val="none"/>
          <w:shd w:val="clear" w:color="auto" w:fill="FFFFFF"/>
          <w:lang w:val="zh-CN"/>
        </w:rPr>
      </w:pPr>
      <w:r>
        <w:rPr>
          <w:rFonts w:hint="eastAsia"/>
          <w:color w:val="000000"/>
          <w:kern w:val="0"/>
          <w:szCs w:val="32"/>
          <w:highlight w:val="none"/>
          <w:shd w:val="clear" w:color="auto" w:fill="FFFFFF"/>
          <w:lang w:val="zh-CN"/>
        </w:rPr>
        <w:t>预算执行过程中进行绩效监控，发现问题及时处理并与财政部门沟通和信息反馈。</w:t>
      </w:r>
    </w:p>
    <w:p>
      <w:pPr>
        <w:widowControl/>
        <w:numPr>
          <w:ilvl w:val="0"/>
          <w:numId w:val="2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>
        <w:rPr>
          <w:color w:val="000000"/>
          <w:kern w:val="0"/>
          <w:szCs w:val="32"/>
          <w:shd w:val="clear" w:color="auto" w:fill="FFFFFF"/>
          <w:lang w:val="zh-CN"/>
        </w:rPr>
        <w:t>自评质量</w:t>
      </w:r>
      <w:r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。</w:t>
      </w:r>
    </w:p>
    <w:p>
      <w:pPr>
        <w:widowControl/>
        <w:adjustRightInd w:val="0"/>
        <w:snapToGrid w:val="0"/>
        <w:spacing w:line="580" w:lineRule="exact"/>
        <w:contextualSpacing/>
        <w:jc w:val="left"/>
        <w:rPr>
          <w:color w:val="000000"/>
          <w:kern w:val="0"/>
          <w:szCs w:val="32"/>
          <w:shd w:val="clear" w:color="auto" w:fill="FFFFFF"/>
        </w:rPr>
      </w:pPr>
      <w:r>
        <w:rPr>
          <w:color w:val="000000"/>
          <w:kern w:val="0"/>
          <w:szCs w:val="32"/>
          <w:shd w:val="clear" w:color="auto" w:fill="FFFFFF"/>
        </w:rPr>
        <w:t xml:space="preserve">    我校在规定时间内完成自评材料报送工作，所报送的自评材料真实、表格内容填写齐全，自评报告内容全面详细，自评评分表自评得分客观、真实。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eastAsia="黑体"/>
          <w:color w:val="000000"/>
          <w:kern w:val="0"/>
          <w:szCs w:val="32"/>
          <w:shd w:val="clear" w:color="auto" w:fill="FFFFFF"/>
        </w:rPr>
      </w:pPr>
      <w:r>
        <w:rPr>
          <w:rFonts w:eastAsia="黑体"/>
          <w:color w:val="000000"/>
          <w:kern w:val="0"/>
          <w:szCs w:val="32"/>
          <w:shd w:val="clear" w:color="auto" w:fill="FFFFFF"/>
        </w:rPr>
        <w:t>四、评价结论及建议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>
        <w:rPr>
          <w:color w:val="000000"/>
          <w:kern w:val="0"/>
          <w:szCs w:val="32"/>
          <w:shd w:val="clear" w:color="auto" w:fill="FFFFFF"/>
          <w:lang w:val="zh-CN"/>
        </w:rPr>
        <w:t>（一）评价结论。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>
        <w:rPr>
          <w:color w:val="000000"/>
          <w:kern w:val="0"/>
          <w:szCs w:val="32"/>
          <w:shd w:val="clear" w:color="auto" w:fill="FFFFFF"/>
        </w:rPr>
        <w:t>通过绩效评价，了解资金是否达到了预期目标，资金管理是否规范，资金使用是否有效，检验资金支出效率和效果，分析存在的问题及原因，及时总结经验，改进管理措施，有效提高资金管理水平和使用效益。部门整体支出绩效评价得分</w:t>
      </w:r>
      <w:r>
        <w:rPr>
          <w:color w:val="000000"/>
          <w:kern w:val="0"/>
          <w:szCs w:val="32"/>
          <w:highlight w:val="none"/>
          <w:shd w:val="clear" w:color="auto" w:fill="FFFFFF"/>
        </w:rPr>
        <w:t>9</w:t>
      </w:r>
      <w:r>
        <w:rPr>
          <w:rFonts w:hint="eastAsia"/>
          <w:color w:val="000000"/>
          <w:kern w:val="0"/>
          <w:szCs w:val="32"/>
          <w:highlight w:val="none"/>
          <w:shd w:val="clear" w:color="auto" w:fill="FFFFFF"/>
          <w:lang w:val="en-US" w:eastAsia="zh-CN"/>
        </w:rPr>
        <w:t>3</w:t>
      </w:r>
      <w:r>
        <w:rPr>
          <w:rFonts w:hint="eastAsia"/>
          <w:color w:val="000000"/>
          <w:kern w:val="0"/>
          <w:szCs w:val="32"/>
          <w:shd w:val="clear" w:color="auto" w:fill="FFFFFF"/>
        </w:rPr>
        <w:t>分。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bookmarkStart w:id="0" w:name="_GoBack"/>
      <w:bookmarkEnd w:id="0"/>
      <w:r>
        <w:rPr>
          <w:color w:val="000000"/>
          <w:kern w:val="0"/>
          <w:szCs w:val="32"/>
          <w:shd w:val="clear" w:color="auto" w:fill="FFFFFF"/>
          <w:lang w:val="zh-CN"/>
        </w:rPr>
        <w:t>（二）存在问题。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>
        <w:rPr>
          <w:color w:val="000000"/>
          <w:kern w:val="0"/>
          <w:szCs w:val="32"/>
          <w:shd w:val="clear" w:color="auto" w:fill="FFFFFF"/>
        </w:rPr>
        <w:t>绩效目标的设定需要各个部门分解汇总，全员参与，相互协调，学校对绩效评价还未建立全员参与的意识，部分绩效目标量化不细。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>
        <w:rPr>
          <w:color w:val="000000"/>
          <w:kern w:val="0"/>
          <w:szCs w:val="32"/>
          <w:shd w:val="clear" w:color="auto" w:fill="FFFFFF"/>
          <w:lang w:val="zh-CN"/>
        </w:rPr>
        <w:t>（三）改进建议。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Cs w:val="32"/>
          <w:shd w:val="clear" w:color="auto" w:fill="FFFFFF"/>
        </w:rPr>
      </w:pPr>
      <w:r>
        <w:rPr>
          <w:color w:val="000000"/>
          <w:kern w:val="0"/>
          <w:szCs w:val="32"/>
          <w:shd w:val="clear" w:color="auto" w:fill="FFFFFF"/>
        </w:rPr>
        <w:t>1</w:t>
      </w:r>
      <w:r>
        <w:rPr>
          <w:rFonts w:hint="eastAsia"/>
          <w:color w:val="000000"/>
          <w:kern w:val="0"/>
          <w:szCs w:val="32"/>
          <w:shd w:val="clear" w:color="auto" w:fill="FFFFFF"/>
        </w:rPr>
        <w:t>、预算支出控制方面：在编制预算数时，要充分考虑到学校近几年各项开支变化，通过学校内部各部门之间的沟通，对下年可能存在的支出项目进行合理测算，让预算数更准确，降低年度决算中的偏差。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/>
          <w:color w:val="000000"/>
          <w:kern w:val="0"/>
          <w:szCs w:val="32"/>
          <w:shd w:val="clear" w:color="auto" w:fill="FFFFFF"/>
        </w:rPr>
      </w:pPr>
      <w:r>
        <w:rPr>
          <w:rFonts w:hint="default"/>
          <w:color w:val="000000"/>
          <w:kern w:val="0"/>
          <w:szCs w:val="32"/>
          <w:shd w:val="clear" w:color="auto" w:fill="FFFFFF"/>
        </w:rPr>
        <w:t>2</w:t>
      </w:r>
      <w:r>
        <w:rPr>
          <w:rFonts w:hint="eastAsia"/>
          <w:color w:val="000000"/>
          <w:kern w:val="0"/>
          <w:szCs w:val="32"/>
          <w:shd w:val="clear" w:color="auto" w:fill="FFFFFF"/>
        </w:rPr>
        <w:t>、预算完成方面：通过预算执行绩效监控，对预算完成情况进行修正，不仅降低预算支出偏差，也能确保年底保质保量完成年初预算数。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</w:p>
    <w:sectPr>
      <w:headerReference r:id="rId3" w:type="default"/>
      <w:footerReference r:id="rId4" w:type="even"/>
      <w:pgSz w:w="11906" w:h="16838"/>
      <w:pgMar w:top="907" w:right="1361" w:bottom="851" w:left="1361" w:header="851" w:footer="992" w:gutter="0"/>
      <w:pgNumType w:fmt="numberInDash" w:start="12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30831518"/>
    </w:sdtPr>
    <w:sdtContent>
      <w:p>
        <w:pPr>
          <w:pStyle w:val="4"/>
        </w:pPr>
        <w:r>
          <w:rPr>
            <w:rFonts w:asciiTheme="minorEastAsia" w:hAnsiTheme="minorEastAsia" w:eastAsiaTheme="minorEastAsia"/>
            <w:sz w:val="28"/>
            <w:szCs w:val="28"/>
          </w:rPr>
          <w:fldChar w:fldCharType="begin"/>
        </w:r>
        <w:r>
          <w:rPr>
            <w:rFonts w:asciiTheme="minorEastAsia" w:hAnsiTheme="minorEastAsia" w:eastAsia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 w:eastAsia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 w:eastAsiaTheme="minorEastAsia"/>
            <w:sz w:val="28"/>
            <w:szCs w:val="28"/>
          </w:rPr>
          <w:t xml:space="preserve"> 12 -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end"/>
        </w:r>
      </w:p>
    </w:sdtContent>
  </w:sdt>
  <w:p>
    <w:pPr>
      <w:pStyle w:val="4"/>
      <w:tabs>
        <w:tab w:val="right" w:pos="9184"/>
        <w:tab w:val="clear" w:pos="4153"/>
        <w:tab w:val="clear" w:pos="8306"/>
      </w:tabs>
      <w:rPr>
        <w:rFonts w:ascii="宋体" w:hAnsi="宋体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794925"/>
    <w:multiLevelType w:val="singleLevel"/>
    <w:tmpl w:val="3E794925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ECA60DF"/>
    <w:multiLevelType w:val="singleLevel"/>
    <w:tmpl w:val="3ECA60D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0"/>
  <w:bordersDoNotSurroundFooter w:val="0"/>
  <w:documentProtection w:enforcement="0"/>
  <w:defaultTabStop w:val="420"/>
  <w:drawingGridHorizontalSpacing w:val="160"/>
  <w:drawingGridVerticalSpacing w:val="43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174"/>
    <w:rsid w:val="00006E4D"/>
    <w:rsid w:val="00021652"/>
    <w:rsid w:val="00030311"/>
    <w:rsid w:val="00030782"/>
    <w:rsid w:val="00030B66"/>
    <w:rsid w:val="0006102A"/>
    <w:rsid w:val="00065B0F"/>
    <w:rsid w:val="00065E7E"/>
    <w:rsid w:val="000820BB"/>
    <w:rsid w:val="0008241B"/>
    <w:rsid w:val="00092280"/>
    <w:rsid w:val="00097FAE"/>
    <w:rsid w:val="000A3233"/>
    <w:rsid w:val="000A7CE3"/>
    <w:rsid w:val="000B04D6"/>
    <w:rsid w:val="000B15CE"/>
    <w:rsid w:val="000C40C6"/>
    <w:rsid w:val="000C79C1"/>
    <w:rsid w:val="000D18F4"/>
    <w:rsid w:val="000D208A"/>
    <w:rsid w:val="000E037E"/>
    <w:rsid w:val="000F659A"/>
    <w:rsid w:val="000F77B0"/>
    <w:rsid w:val="0010235D"/>
    <w:rsid w:val="00103A47"/>
    <w:rsid w:val="00106D4D"/>
    <w:rsid w:val="001119A2"/>
    <w:rsid w:val="001221D6"/>
    <w:rsid w:val="0012510A"/>
    <w:rsid w:val="00125F67"/>
    <w:rsid w:val="001261AE"/>
    <w:rsid w:val="001348A4"/>
    <w:rsid w:val="0014117C"/>
    <w:rsid w:val="00146FE8"/>
    <w:rsid w:val="0014767B"/>
    <w:rsid w:val="00147AED"/>
    <w:rsid w:val="00177AAF"/>
    <w:rsid w:val="00183850"/>
    <w:rsid w:val="00184D9F"/>
    <w:rsid w:val="001A3FA9"/>
    <w:rsid w:val="001A4749"/>
    <w:rsid w:val="001A4842"/>
    <w:rsid w:val="001A5833"/>
    <w:rsid w:val="001C2158"/>
    <w:rsid w:val="001C51F2"/>
    <w:rsid w:val="001C73AB"/>
    <w:rsid w:val="001D2EA4"/>
    <w:rsid w:val="001F47CE"/>
    <w:rsid w:val="001F5776"/>
    <w:rsid w:val="0020620D"/>
    <w:rsid w:val="002069BC"/>
    <w:rsid w:val="002069EB"/>
    <w:rsid w:val="002201B0"/>
    <w:rsid w:val="00220900"/>
    <w:rsid w:val="0022307E"/>
    <w:rsid w:val="00224D05"/>
    <w:rsid w:val="002323A3"/>
    <w:rsid w:val="00236EF7"/>
    <w:rsid w:val="0024058A"/>
    <w:rsid w:val="002410C0"/>
    <w:rsid w:val="00252894"/>
    <w:rsid w:val="00253FA6"/>
    <w:rsid w:val="00254728"/>
    <w:rsid w:val="002550E7"/>
    <w:rsid w:val="002558D4"/>
    <w:rsid w:val="002560E2"/>
    <w:rsid w:val="00264CFA"/>
    <w:rsid w:val="00270DD7"/>
    <w:rsid w:val="00276F4A"/>
    <w:rsid w:val="00280BFB"/>
    <w:rsid w:val="00280C88"/>
    <w:rsid w:val="002973A4"/>
    <w:rsid w:val="002A0195"/>
    <w:rsid w:val="002B5B34"/>
    <w:rsid w:val="002B6906"/>
    <w:rsid w:val="002B7215"/>
    <w:rsid w:val="002C0AFD"/>
    <w:rsid w:val="002C30B6"/>
    <w:rsid w:val="002C59D0"/>
    <w:rsid w:val="002D1A18"/>
    <w:rsid w:val="002D6C79"/>
    <w:rsid w:val="002E09F1"/>
    <w:rsid w:val="002E1104"/>
    <w:rsid w:val="002E3FDD"/>
    <w:rsid w:val="00300EF4"/>
    <w:rsid w:val="00301353"/>
    <w:rsid w:val="00305FF6"/>
    <w:rsid w:val="00307568"/>
    <w:rsid w:val="00311506"/>
    <w:rsid w:val="00316ADB"/>
    <w:rsid w:val="00317623"/>
    <w:rsid w:val="00335F67"/>
    <w:rsid w:val="003361E9"/>
    <w:rsid w:val="00350A65"/>
    <w:rsid w:val="00361C85"/>
    <w:rsid w:val="00371352"/>
    <w:rsid w:val="00376753"/>
    <w:rsid w:val="0038541D"/>
    <w:rsid w:val="00387818"/>
    <w:rsid w:val="00391A13"/>
    <w:rsid w:val="00391FD0"/>
    <w:rsid w:val="003A1D70"/>
    <w:rsid w:val="003A44FC"/>
    <w:rsid w:val="003B3299"/>
    <w:rsid w:val="003D10A2"/>
    <w:rsid w:val="003D33B8"/>
    <w:rsid w:val="003D624D"/>
    <w:rsid w:val="003D719A"/>
    <w:rsid w:val="003F5EB7"/>
    <w:rsid w:val="003F7FE2"/>
    <w:rsid w:val="004004E7"/>
    <w:rsid w:val="00416E1A"/>
    <w:rsid w:val="00426A3F"/>
    <w:rsid w:val="004277D4"/>
    <w:rsid w:val="00461638"/>
    <w:rsid w:val="004706FA"/>
    <w:rsid w:val="00474D8D"/>
    <w:rsid w:val="00475CCD"/>
    <w:rsid w:val="00477266"/>
    <w:rsid w:val="004811BC"/>
    <w:rsid w:val="004838F2"/>
    <w:rsid w:val="00486492"/>
    <w:rsid w:val="00492CF6"/>
    <w:rsid w:val="004A4C9D"/>
    <w:rsid w:val="004C2078"/>
    <w:rsid w:val="004C228F"/>
    <w:rsid w:val="004E752F"/>
    <w:rsid w:val="004F1E37"/>
    <w:rsid w:val="00515198"/>
    <w:rsid w:val="00521C44"/>
    <w:rsid w:val="005274E1"/>
    <w:rsid w:val="00531DDF"/>
    <w:rsid w:val="00535FA6"/>
    <w:rsid w:val="00542AB7"/>
    <w:rsid w:val="0055358D"/>
    <w:rsid w:val="005540C8"/>
    <w:rsid w:val="00555809"/>
    <w:rsid w:val="00562165"/>
    <w:rsid w:val="005756AF"/>
    <w:rsid w:val="00575A4A"/>
    <w:rsid w:val="00591B6F"/>
    <w:rsid w:val="005A1DAF"/>
    <w:rsid w:val="005C17C8"/>
    <w:rsid w:val="005C2098"/>
    <w:rsid w:val="005C2E6C"/>
    <w:rsid w:val="005D0CCF"/>
    <w:rsid w:val="005D1C01"/>
    <w:rsid w:val="005E297D"/>
    <w:rsid w:val="005E3F12"/>
    <w:rsid w:val="005F627E"/>
    <w:rsid w:val="0061652E"/>
    <w:rsid w:val="006205E9"/>
    <w:rsid w:val="00622D0B"/>
    <w:rsid w:val="006270DA"/>
    <w:rsid w:val="00630B75"/>
    <w:rsid w:val="0063102F"/>
    <w:rsid w:val="00634DFF"/>
    <w:rsid w:val="00635337"/>
    <w:rsid w:val="0064265B"/>
    <w:rsid w:val="0064519C"/>
    <w:rsid w:val="0065082E"/>
    <w:rsid w:val="006512D0"/>
    <w:rsid w:val="006560A3"/>
    <w:rsid w:val="00656301"/>
    <w:rsid w:val="006600C9"/>
    <w:rsid w:val="006664F1"/>
    <w:rsid w:val="006701CC"/>
    <w:rsid w:val="00671F58"/>
    <w:rsid w:val="006762A4"/>
    <w:rsid w:val="006900E7"/>
    <w:rsid w:val="006A00A8"/>
    <w:rsid w:val="006A482D"/>
    <w:rsid w:val="006B11E0"/>
    <w:rsid w:val="006B386A"/>
    <w:rsid w:val="006B7CB4"/>
    <w:rsid w:val="006C24D3"/>
    <w:rsid w:val="006C7917"/>
    <w:rsid w:val="006E51AE"/>
    <w:rsid w:val="0070081F"/>
    <w:rsid w:val="007018F5"/>
    <w:rsid w:val="00710897"/>
    <w:rsid w:val="00712F45"/>
    <w:rsid w:val="00734305"/>
    <w:rsid w:val="007370E1"/>
    <w:rsid w:val="007732A1"/>
    <w:rsid w:val="00774C4A"/>
    <w:rsid w:val="00782BBB"/>
    <w:rsid w:val="007A0690"/>
    <w:rsid w:val="007A078F"/>
    <w:rsid w:val="007B34D4"/>
    <w:rsid w:val="007C0633"/>
    <w:rsid w:val="007D086C"/>
    <w:rsid w:val="007F1BE1"/>
    <w:rsid w:val="007F4463"/>
    <w:rsid w:val="007F707F"/>
    <w:rsid w:val="007F794C"/>
    <w:rsid w:val="007F7AC9"/>
    <w:rsid w:val="00803B42"/>
    <w:rsid w:val="008073EF"/>
    <w:rsid w:val="0081095C"/>
    <w:rsid w:val="00810C41"/>
    <w:rsid w:val="008212FF"/>
    <w:rsid w:val="0082593B"/>
    <w:rsid w:val="00827537"/>
    <w:rsid w:val="008468EA"/>
    <w:rsid w:val="00867140"/>
    <w:rsid w:val="00881134"/>
    <w:rsid w:val="008904F0"/>
    <w:rsid w:val="008961DA"/>
    <w:rsid w:val="008B2F27"/>
    <w:rsid w:val="008B4A72"/>
    <w:rsid w:val="008B585E"/>
    <w:rsid w:val="008E6C0C"/>
    <w:rsid w:val="008F1E63"/>
    <w:rsid w:val="008F3052"/>
    <w:rsid w:val="00901E19"/>
    <w:rsid w:val="009214F7"/>
    <w:rsid w:val="00921CD7"/>
    <w:rsid w:val="00940EB6"/>
    <w:rsid w:val="00944771"/>
    <w:rsid w:val="009601FC"/>
    <w:rsid w:val="00965426"/>
    <w:rsid w:val="0096654A"/>
    <w:rsid w:val="009711E4"/>
    <w:rsid w:val="00971572"/>
    <w:rsid w:val="00981E55"/>
    <w:rsid w:val="00986CEF"/>
    <w:rsid w:val="00987212"/>
    <w:rsid w:val="009A0E5F"/>
    <w:rsid w:val="009F1AF3"/>
    <w:rsid w:val="009F233E"/>
    <w:rsid w:val="00A024AB"/>
    <w:rsid w:val="00A050A5"/>
    <w:rsid w:val="00A05B8B"/>
    <w:rsid w:val="00A1372F"/>
    <w:rsid w:val="00A170EC"/>
    <w:rsid w:val="00A217B3"/>
    <w:rsid w:val="00A23D04"/>
    <w:rsid w:val="00A277D9"/>
    <w:rsid w:val="00A30CEB"/>
    <w:rsid w:val="00A31318"/>
    <w:rsid w:val="00A503AD"/>
    <w:rsid w:val="00A5432A"/>
    <w:rsid w:val="00A55F8A"/>
    <w:rsid w:val="00A9670E"/>
    <w:rsid w:val="00AA1423"/>
    <w:rsid w:val="00AB7996"/>
    <w:rsid w:val="00AC43C3"/>
    <w:rsid w:val="00AE2EAD"/>
    <w:rsid w:val="00AF77BE"/>
    <w:rsid w:val="00B11CEE"/>
    <w:rsid w:val="00B23428"/>
    <w:rsid w:val="00B264BF"/>
    <w:rsid w:val="00B3387B"/>
    <w:rsid w:val="00B42E74"/>
    <w:rsid w:val="00B46874"/>
    <w:rsid w:val="00B50E8F"/>
    <w:rsid w:val="00B51151"/>
    <w:rsid w:val="00B523E4"/>
    <w:rsid w:val="00B52B4F"/>
    <w:rsid w:val="00B6108C"/>
    <w:rsid w:val="00B649AD"/>
    <w:rsid w:val="00B64B9C"/>
    <w:rsid w:val="00B67A3E"/>
    <w:rsid w:val="00B735CC"/>
    <w:rsid w:val="00B82C95"/>
    <w:rsid w:val="00B83F87"/>
    <w:rsid w:val="00B84DFD"/>
    <w:rsid w:val="00BB4E38"/>
    <w:rsid w:val="00BC3879"/>
    <w:rsid w:val="00BD0E0D"/>
    <w:rsid w:val="00BD41BC"/>
    <w:rsid w:val="00BD55AD"/>
    <w:rsid w:val="00BE0305"/>
    <w:rsid w:val="00BF15F0"/>
    <w:rsid w:val="00BF7DF9"/>
    <w:rsid w:val="00C03559"/>
    <w:rsid w:val="00C05395"/>
    <w:rsid w:val="00C22AD7"/>
    <w:rsid w:val="00C272C1"/>
    <w:rsid w:val="00C32A68"/>
    <w:rsid w:val="00C34282"/>
    <w:rsid w:val="00C35350"/>
    <w:rsid w:val="00C3564B"/>
    <w:rsid w:val="00C42B49"/>
    <w:rsid w:val="00C53721"/>
    <w:rsid w:val="00C64D2E"/>
    <w:rsid w:val="00C70F97"/>
    <w:rsid w:val="00C7497C"/>
    <w:rsid w:val="00C757A2"/>
    <w:rsid w:val="00C75966"/>
    <w:rsid w:val="00C76577"/>
    <w:rsid w:val="00C765A0"/>
    <w:rsid w:val="00C80225"/>
    <w:rsid w:val="00C80B66"/>
    <w:rsid w:val="00C81349"/>
    <w:rsid w:val="00C93139"/>
    <w:rsid w:val="00CA08A0"/>
    <w:rsid w:val="00CA32D2"/>
    <w:rsid w:val="00CA4E07"/>
    <w:rsid w:val="00CA737D"/>
    <w:rsid w:val="00CB1EF5"/>
    <w:rsid w:val="00CC05D4"/>
    <w:rsid w:val="00CC7166"/>
    <w:rsid w:val="00CF5275"/>
    <w:rsid w:val="00CF6136"/>
    <w:rsid w:val="00D0023D"/>
    <w:rsid w:val="00D006C6"/>
    <w:rsid w:val="00D14A65"/>
    <w:rsid w:val="00D162B9"/>
    <w:rsid w:val="00D251E2"/>
    <w:rsid w:val="00D254F4"/>
    <w:rsid w:val="00D263A7"/>
    <w:rsid w:val="00D26B5D"/>
    <w:rsid w:val="00D33159"/>
    <w:rsid w:val="00D33A19"/>
    <w:rsid w:val="00D355B5"/>
    <w:rsid w:val="00D43DC3"/>
    <w:rsid w:val="00D51791"/>
    <w:rsid w:val="00D5281E"/>
    <w:rsid w:val="00D6531B"/>
    <w:rsid w:val="00D6612D"/>
    <w:rsid w:val="00D71AD9"/>
    <w:rsid w:val="00D73C02"/>
    <w:rsid w:val="00D872ED"/>
    <w:rsid w:val="00D913C6"/>
    <w:rsid w:val="00D96DD4"/>
    <w:rsid w:val="00DA0236"/>
    <w:rsid w:val="00DA5D51"/>
    <w:rsid w:val="00DA5E29"/>
    <w:rsid w:val="00DA61CA"/>
    <w:rsid w:val="00DB66BB"/>
    <w:rsid w:val="00DB73AF"/>
    <w:rsid w:val="00DC2865"/>
    <w:rsid w:val="00DD0894"/>
    <w:rsid w:val="00DE1888"/>
    <w:rsid w:val="00DF1250"/>
    <w:rsid w:val="00DF6EF7"/>
    <w:rsid w:val="00E05454"/>
    <w:rsid w:val="00E074C3"/>
    <w:rsid w:val="00E230FA"/>
    <w:rsid w:val="00E23329"/>
    <w:rsid w:val="00E24D6D"/>
    <w:rsid w:val="00E341B2"/>
    <w:rsid w:val="00E42633"/>
    <w:rsid w:val="00E5699E"/>
    <w:rsid w:val="00E570E1"/>
    <w:rsid w:val="00E72773"/>
    <w:rsid w:val="00E76739"/>
    <w:rsid w:val="00E81946"/>
    <w:rsid w:val="00E82BB7"/>
    <w:rsid w:val="00E86D13"/>
    <w:rsid w:val="00E936C2"/>
    <w:rsid w:val="00E95346"/>
    <w:rsid w:val="00EA0CEF"/>
    <w:rsid w:val="00EA2E2A"/>
    <w:rsid w:val="00EB79D2"/>
    <w:rsid w:val="00EC0174"/>
    <w:rsid w:val="00ED3EEB"/>
    <w:rsid w:val="00ED5749"/>
    <w:rsid w:val="00ED5FA3"/>
    <w:rsid w:val="00ED68C4"/>
    <w:rsid w:val="00ED6A4E"/>
    <w:rsid w:val="00ED72EA"/>
    <w:rsid w:val="00EE3A4F"/>
    <w:rsid w:val="00EF10C3"/>
    <w:rsid w:val="00EF3BD2"/>
    <w:rsid w:val="00F16BCE"/>
    <w:rsid w:val="00F45DA1"/>
    <w:rsid w:val="00F5267B"/>
    <w:rsid w:val="00F53E8B"/>
    <w:rsid w:val="00F663FD"/>
    <w:rsid w:val="00F743B0"/>
    <w:rsid w:val="00F82409"/>
    <w:rsid w:val="00F8264F"/>
    <w:rsid w:val="00F833E9"/>
    <w:rsid w:val="00F84580"/>
    <w:rsid w:val="00F873DA"/>
    <w:rsid w:val="00F95982"/>
    <w:rsid w:val="00FA006C"/>
    <w:rsid w:val="00FA190E"/>
    <w:rsid w:val="00FA288B"/>
    <w:rsid w:val="00FA2997"/>
    <w:rsid w:val="00FA2C71"/>
    <w:rsid w:val="00FB3345"/>
    <w:rsid w:val="00FD0228"/>
    <w:rsid w:val="00FD3BB7"/>
    <w:rsid w:val="00FE0D93"/>
    <w:rsid w:val="00FF2572"/>
    <w:rsid w:val="00FF32AD"/>
    <w:rsid w:val="0DC31556"/>
    <w:rsid w:val="1A3D6143"/>
    <w:rsid w:val="1C013801"/>
    <w:rsid w:val="20D31C8E"/>
    <w:rsid w:val="2D527252"/>
    <w:rsid w:val="2EAE55F2"/>
    <w:rsid w:val="2EDF4302"/>
    <w:rsid w:val="3D8E1834"/>
    <w:rsid w:val="47550EBA"/>
    <w:rsid w:val="55087388"/>
    <w:rsid w:val="61996BAE"/>
    <w:rsid w:val="6636451A"/>
    <w:rsid w:val="672B1A53"/>
    <w:rsid w:val="69A829CA"/>
    <w:rsid w:val="6ED3703B"/>
    <w:rsid w:val="6EF65E9C"/>
    <w:rsid w:val="71397E03"/>
    <w:rsid w:val="72BD48CD"/>
    <w:rsid w:val="77FFA8F9"/>
    <w:rsid w:val="7A9314AC"/>
    <w:rsid w:val="7C631402"/>
    <w:rsid w:val="7E140770"/>
    <w:rsid w:val="7FEFB5DD"/>
    <w:rsid w:val="B5F66F24"/>
    <w:rsid w:val="C5B3F496"/>
    <w:rsid w:val="DDD7453A"/>
    <w:rsid w:val="DFE75A3D"/>
    <w:rsid w:val="DFEF594B"/>
    <w:rsid w:val="F1F9A9B5"/>
    <w:rsid w:val="FABF7411"/>
    <w:rsid w:val="FEFD95B3"/>
    <w:rsid w:val="FF2E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3"/>
    <w:qFormat/>
    <w:uiPriority w:val="0"/>
    <w:rPr>
      <w:rFonts w:ascii="宋体" w:eastAsia="宋体"/>
      <w:sz w:val="18"/>
      <w:szCs w:val="18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paragraph" w:customStyle="1" w:styleId="11">
    <w:name w:val="四号正文"/>
    <w:basedOn w:val="1"/>
    <w:link w:val="12"/>
    <w:qFormat/>
    <w:uiPriority w:val="0"/>
    <w:pPr>
      <w:spacing w:line="360" w:lineRule="auto"/>
    </w:pPr>
    <w:rPr>
      <w:rFonts w:ascii="??" w:hAnsi="??" w:eastAsia="宋体" w:cs="宋体"/>
      <w:color w:val="000000"/>
      <w:kern w:val="0"/>
      <w:sz w:val="28"/>
      <w:szCs w:val="21"/>
    </w:rPr>
  </w:style>
  <w:style w:type="character" w:customStyle="1" w:styleId="12">
    <w:name w:val="四号正文 Char"/>
    <w:basedOn w:val="9"/>
    <w:link w:val="11"/>
    <w:qFormat/>
    <w:uiPriority w:val="0"/>
    <w:rPr>
      <w:rFonts w:ascii="??" w:hAnsi="??" w:eastAsia="宋体" w:cs="宋体"/>
      <w:color w:val="000000"/>
      <w:sz w:val="28"/>
      <w:szCs w:val="21"/>
      <w:lang w:val="en-US" w:eastAsia="zh-CN" w:bidi="ar-SA"/>
    </w:rPr>
  </w:style>
  <w:style w:type="character" w:customStyle="1" w:styleId="13">
    <w:name w:val="文档结构图 字符"/>
    <w:basedOn w:val="9"/>
    <w:link w:val="2"/>
    <w:qFormat/>
    <w:uiPriority w:val="0"/>
    <w:rPr>
      <w:rFonts w:ascii="宋体"/>
      <w:kern w:val="2"/>
      <w:sz w:val="18"/>
      <w:szCs w:val="18"/>
    </w:rPr>
  </w:style>
  <w:style w:type="paragraph" w:customStyle="1" w:styleId="14">
    <w:name w:val="a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15">
    <w:name w:val="页脚 字符"/>
    <w:basedOn w:val="9"/>
    <w:link w:val="4"/>
    <w:qFormat/>
    <w:uiPriority w:val="99"/>
    <w:rPr>
      <w:kern w:val="2"/>
      <w:sz w:val="18"/>
      <w:szCs w:val="18"/>
    </w:rPr>
  </w:style>
  <w:style w:type="character" w:customStyle="1" w:styleId="16">
    <w:name w:val="font3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PSZX</Company>
  <Pages>1</Pages>
  <Words>52</Words>
  <Characters>302</Characters>
  <Lines>2</Lines>
  <Paragraphs>1</Paragraphs>
  <TotalTime>8</TotalTime>
  <ScaleCrop>false</ScaleCrop>
  <LinksUpToDate>false</LinksUpToDate>
  <CharactersWithSpaces>353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2019-05-16T11:06:00Z</dcterms:created>
  <dc:creator>陈萍</dc:creator>
  <cp:lastModifiedBy>eternity</cp:lastModifiedBy>
  <cp:lastPrinted>2023-04-07T02:36:00Z</cp:lastPrinted>
  <dcterms:modified xsi:type="dcterms:W3CDTF">2024-06-11T08:10:16Z</dcterms:modified>
  <dc:title>区域性就业培训基地建设项目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260E5AD7A1E942BD9C8B7A0F940A1046</vt:lpwstr>
  </property>
</Properties>
</file>