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contextualSpacing/>
        <w:rPr>
          <w:rFonts w:eastAsia="黑体"/>
          <w:szCs w:val="32"/>
          <w:lang w:val="zh-CN"/>
        </w:rPr>
      </w:pPr>
      <w:r>
        <w:rPr>
          <w:rFonts w:eastAsia="黑体"/>
          <w:szCs w:val="32"/>
          <w:lang w:val="zh-CN"/>
        </w:rPr>
        <w:t>附件</w:t>
      </w:r>
      <w:r>
        <w:rPr>
          <w:rFonts w:eastAsia="黑体"/>
          <w:szCs w:val="32"/>
        </w:rPr>
        <w:t>2</w:t>
      </w:r>
    </w:p>
    <w:p>
      <w:pPr>
        <w:widowControl/>
        <w:spacing w:line="580" w:lineRule="exact"/>
        <w:contextualSpacing/>
        <w:rPr>
          <w:rFonts w:eastAsia="宋体"/>
          <w:b/>
          <w:sz w:val="44"/>
          <w:szCs w:val="44"/>
          <w:shd w:val="clear" w:color="auto" w:fill="FFFFFF"/>
        </w:rPr>
      </w:pPr>
    </w:p>
    <w:p>
      <w:pPr>
        <w:widowControl/>
        <w:spacing w:line="580" w:lineRule="exact"/>
        <w:contextualSpacing/>
        <w:jc w:val="center"/>
        <w:rPr>
          <w:rFonts w:hint="eastAsia" w:ascii="黑体" w:hAnsi="黑体" w:eastAsia="黑体" w:cs="黑体"/>
          <w:b w:val="0"/>
          <w:bCs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shd w:val="clear" w:color="auto" w:fill="FFFFFF"/>
        </w:rPr>
        <w:t>202</w:t>
      </w:r>
      <w:r>
        <w:rPr>
          <w:rFonts w:hint="eastAsia" w:ascii="黑体" w:hAnsi="黑体" w:eastAsia="黑体" w:cs="黑体"/>
          <w:b w:val="0"/>
          <w:bCs/>
          <w:sz w:val="44"/>
          <w:szCs w:val="44"/>
          <w:shd w:val="clear" w:color="auto" w:fill="FFFFFF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44"/>
          <w:szCs w:val="44"/>
          <w:shd w:val="clear" w:color="auto" w:fill="FFFFFF"/>
        </w:rPr>
        <w:t>年度</w:t>
      </w:r>
      <w:r>
        <w:rPr>
          <w:rFonts w:hint="eastAsia" w:ascii="黑体" w:hAnsi="黑体" w:eastAsia="黑体" w:cs="黑体"/>
          <w:b w:val="0"/>
          <w:bCs/>
          <w:sz w:val="44"/>
          <w:szCs w:val="44"/>
          <w:shd w:val="clear" w:color="auto" w:fill="FFFFFF"/>
          <w:lang w:val="en-US" w:eastAsia="zh-CN"/>
        </w:rPr>
        <w:t>攀枝花市炳草岗二街坊幼儿园</w:t>
      </w:r>
    </w:p>
    <w:p>
      <w:pPr>
        <w:widowControl/>
        <w:spacing w:line="580" w:lineRule="exact"/>
        <w:contextualSpacing/>
        <w:jc w:val="center"/>
        <w:rPr>
          <w:rFonts w:hint="eastAsia" w:ascii="黑体" w:hAnsi="黑体" w:eastAsia="黑体" w:cs="黑体"/>
          <w:b w:val="0"/>
          <w:bCs/>
          <w:color w:val="000000"/>
          <w:kern w:val="0"/>
          <w:sz w:val="44"/>
          <w:szCs w:val="44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shd w:val="clear" w:color="auto" w:fill="FFFFFF"/>
        </w:rPr>
        <w:t>整体支出绩效评价报告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一、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部门（单位）概况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（一）机构组成。</w:t>
      </w:r>
    </w:p>
    <w:p>
      <w:pPr>
        <w:widowControl/>
        <w:adjustRightInd w:val="0"/>
        <w:snapToGrid w:val="0"/>
        <w:spacing w:line="580" w:lineRule="exact"/>
        <w:ind w:firstLine="960" w:firstLineChars="300"/>
        <w:contextualSpacing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攀枝花市炳草岗二街坊幼儿园2023年春季学期由四个园区组成，分别是二街坊幼儿园、奥林匹克幼儿园、龙箐幼儿园、新宏路幼儿园；秋季学期由于二街坊幼儿园房屋鉴定为C级危房，于9月15日闭园。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内设部门有园长书记办公室、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专职副书记办公室、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总务办公室、教导处、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工会。各园区下设3个年级，春季学期共计25个班；秋季学期23个班。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机构职能。</w:t>
      </w:r>
    </w:p>
    <w:p>
      <w:pPr>
        <w:widowControl/>
        <w:snapToGrid w:val="0"/>
        <w:spacing w:line="579" w:lineRule="exact"/>
        <w:ind w:firstLine="640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根据文件规定，本部门主要职责是：以《幼儿园工作规程》为准绳，以新《幼儿园教育指导纲要》及《3-6岁幼儿新学习发展指南》为指导，服务于幼儿，服务于家长，服务于社会，为幼儿的发展创造条件，提供健康、丰富的生活和活动环境，尊重幼儿自己发展的规律和学习特点，以促进人的可持续性发展为着眼点，面向全体幼儿，关注个体差异，实施素质教育，促进师幼有效互动，共同成长，最终实现每个幼儿富有个性的发展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人员概况。</w:t>
      </w:r>
    </w:p>
    <w:p>
      <w:pPr>
        <w:widowControl/>
        <w:snapToGrid w:val="0"/>
        <w:spacing w:line="560" w:lineRule="exact"/>
        <w:ind w:firstLine="640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我园2023年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人员编制数30人、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实有在编人员30人；财政聘用人员4人，临聘人员82人，幼儿763人；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车辆编制0以及实有车辆0。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二、部门财政资金收支情况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（一）部门财政资金收入情况。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FF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我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园2023年预算收入1057.55万元。其中人员经费467.84万元；基本公用经费52.57万元；项目支出537.14万元（其中临聘人员劳务费82.4万元、奥林匹克幼儿园房屋租赁费113.74万元、教育事业发展经费341万元）。2023年实际财政拨款收入1017.45万元，其中人员经费485.27万元；基本公用经费48.59万元；项目支出483.59万元（其中临聘人员劳务费82.4万元，教育事业发展经费287.45万元，奥林匹克幼儿园房屋租赁费113.74万元）。</w:t>
      </w:r>
    </w:p>
    <w:p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部门财政资金支出情况。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contextualSpacing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我园2023年预算支出1057.55万元。其中人员经费467.84万元；基本公用经费52.57万元；项目支出537.14万元（其中临聘人员劳务费82.4万元、奥林匹克幼儿园房屋租赁费113.74万元、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教育事业发展经费341万元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）。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/>
        </w:rPr>
        <w:t>2023年实际财政拨款支出1021.06万元。其中人员经费485.27万元；公用经费48.59万元；项目支出487.2万元（其中临聘人员劳务费82.4万元，教育事业发展经费287.45万元，奥林匹克幼儿园房屋租赁费113.74万元）；盘活资金阳城龙庭幼儿园改造工程款3.61万元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/>
        </w:rPr>
        <w:t>（2021年第二批中央和省级支持学前教育发展资金（激励奖补部分）。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三、部门整体预算绩效管理情况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（一）部门预算项目绩效管理。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1、人员类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目标制定：绩效目标编制要素完整，绩效指标已细化量化，并纳入我园党组（委）会（办公会）集体决策范围。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目标实现：完成率100%。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支出控制：超出预算数3.72%。</w:t>
      </w:r>
    </w:p>
    <w:p>
      <w:pPr>
        <w:widowControl/>
        <w:adjustRightInd w:val="0"/>
        <w:snapToGrid w:val="0"/>
        <w:spacing w:line="580" w:lineRule="exact"/>
        <w:ind w:left="640" w:leftChars="200" w:firstLine="0" w:firstLineChars="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及时处置：已开展绩效监控，与当年的预算偏差不大，已调整。执行进度：该预算项目在6、9、11月均已达到规定执行进度。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预算完成情况：完成率100%。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资金结余率：0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违规记录：2023年度本单位没有预算管理方面违纪违规问题。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2、运转类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目标制定：绩效目标编制要素完整，绩效指标已细化量化，并纳入我园党组（委）会（办公会）集体决策范围。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目标实现：完成率100%。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支出控制：与预算数偏差-7.57%。</w:t>
      </w:r>
    </w:p>
    <w:p>
      <w:pPr>
        <w:widowControl/>
        <w:adjustRightInd w:val="0"/>
        <w:snapToGrid w:val="0"/>
        <w:spacing w:line="580" w:lineRule="exact"/>
        <w:ind w:left="640" w:leftChars="200" w:firstLine="0" w:firstLineChars="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及时处置：已开展绩效监控，与当年的预算偏差不大，已调整。执行进度：该预算在6、9、11月均已达到规定执行进度。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预算完成情况：完成率92.43%。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资金结余率：0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违规记录：2023年度本单位没有预算管理方面违纪违规问题。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left="640" w:leftChars="0"/>
        <w:contextualSpacing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3、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shd w:val="clear" w:color="auto" w:fill="FFFFFF"/>
          <w:lang w:val="zh-CN"/>
          <w14:textFill>
            <w14:solidFill>
              <w14:schemeClr w14:val="tx1"/>
            </w14:solidFill>
          </w14:textFill>
        </w:rPr>
        <w:t>特定目标类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目标制定：绩效目标编制要素完整，绩效指标已细化量化，并纳入我园党组（委）会（办公会）集体决策范围。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目标实现：完成率100%。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支出控制：与预算数偏差-9.3%。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及时处置：各项目均已开展绩效监控，与当年的预算偏差不大，不需要调整。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执行进度：该预算在6、9、11月均已达到规定执行进度。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预算完成情况：完成率90.7%。</w:t>
      </w:r>
    </w:p>
    <w:p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资金结余率：0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违规记录：2023年度本单位没有预算管理方面违纪违规问题。</w:t>
      </w:r>
    </w:p>
    <w:p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结果应用情况。</w:t>
      </w:r>
    </w:p>
    <w:p>
      <w:pPr>
        <w:widowControl/>
        <w:numPr>
          <w:ilvl w:val="0"/>
          <w:numId w:val="3"/>
        </w:numPr>
        <w:adjustRightInd w:val="0"/>
        <w:snapToGrid w:val="0"/>
        <w:spacing w:line="580" w:lineRule="exact"/>
        <w:ind w:left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内部应用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已将内部绩效结果与预算挂钩。</w:t>
      </w:r>
    </w:p>
    <w:p>
      <w:pPr>
        <w:widowControl/>
        <w:numPr>
          <w:ilvl w:val="0"/>
          <w:numId w:val="3"/>
        </w:numPr>
        <w:adjustRightInd w:val="0"/>
        <w:snapToGrid w:val="0"/>
        <w:spacing w:line="580" w:lineRule="exact"/>
        <w:ind w:left="640" w:leftChars="200" w:firstLine="0" w:firstLineChars="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自评公开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按要求已将相关绩效信息随同决算在规定实效内，在规定门户网站公开。</w:t>
      </w:r>
    </w:p>
    <w:p>
      <w:pPr>
        <w:widowControl/>
        <w:numPr>
          <w:ilvl w:val="0"/>
          <w:numId w:val="3"/>
        </w:numPr>
        <w:adjustRightInd w:val="0"/>
        <w:snapToGrid w:val="0"/>
        <w:spacing w:line="580" w:lineRule="exact"/>
        <w:ind w:left="640" w:leftChars="200" w:firstLine="0" w:firstLineChars="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问题整改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2023年我园对“2022年度部门整体支出绩效评价”中发现的</w:t>
      </w:r>
    </w:p>
    <w:p>
      <w:pPr>
        <w:widowControl/>
        <w:adjustRightInd w:val="0"/>
        <w:snapToGrid w:val="0"/>
        <w:spacing w:line="580" w:lineRule="exact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问题均已进行整改。</w:t>
      </w:r>
    </w:p>
    <w:p>
      <w:pPr>
        <w:widowControl/>
        <w:numPr>
          <w:ilvl w:val="0"/>
          <w:numId w:val="3"/>
        </w:numPr>
        <w:adjustRightInd w:val="0"/>
        <w:snapToGrid w:val="0"/>
        <w:spacing w:line="580" w:lineRule="exact"/>
        <w:ind w:left="640" w:leftChars="200" w:firstLine="0" w:firstLineChars="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应用反馈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left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在规定时间内及时向财政部门反馈应用绩效结果报告。</w:t>
      </w:r>
    </w:p>
    <w:p>
      <w:pPr>
        <w:widowControl/>
        <w:numPr>
          <w:ilvl w:val="0"/>
          <w:numId w:val="4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自评质量。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我园部门整体支出自评得分与评价组抽查得分差异在5%以内。自评准确率较好 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四、评价结论及建议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（一）评价结论。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本单位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在预算编制、预算执行和支出绩效方面，都按照规定严格执行，合理安排支出，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着力提升财政资源配置效率和资金使用效率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，使财政资金发挥最大效益。</w:t>
      </w:r>
    </w:p>
    <w:p>
      <w:pPr>
        <w:widowControl/>
        <w:numPr>
          <w:ilvl w:val="0"/>
          <w:numId w:val="5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存在问题。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预算完成率有待提高。由于有关工作开展时间较晚，结算支出时间滞后，导致预算完成率略低，有待进一步提高。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对绩效目标实现存在较大偏差，要及时调整绩效目标并报财政部门备案。</w:t>
      </w:r>
    </w:p>
    <w:p>
      <w:pPr>
        <w:widowControl/>
        <w:numPr>
          <w:ilvl w:val="0"/>
          <w:numId w:val="5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改进建议。</w:t>
      </w:r>
    </w:p>
    <w:p>
      <w:pPr>
        <w:pStyle w:val="3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1.细化预算编制工作。进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步加强内部预算管理意识，提高预算编制的科学性、合理性、严谨性和可控性。</w:t>
      </w:r>
    </w:p>
    <w:p>
      <w:pPr>
        <w:pStyle w:val="3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2.加强预算执行管理。对于临时追加的相关工作所需费用，严格按照程序，逐级申报报批，有效降低预算控制率。</w:t>
      </w:r>
    </w:p>
    <w:p>
      <w:pPr>
        <w:pStyle w:val="3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3.保障预算执行进度。加快实施进度的推进，加强开展进度的跟踪，开展绩效评价，确保绩效目标的完成，发挥资金的使用效益，压减年末结余资金规模，提高预算完成率。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left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0831518"/>
    </w:sdtPr>
    <w:sdtContent>
      <w:p>
        <w:pPr>
          <w:pStyle w:val="5"/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12 -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>
    <w:pPr>
      <w:pStyle w:val="5"/>
      <w:tabs>
        <w:tab w:val="right" w:pos="9184"/>
        <w:tab w:val="clear" w:pos="4153"/>
        <w:tab w:val="clear" w:pos="8306"/>
      </w:tabs>
      <w:rPr>
        <w:rFonts w:ascii="宋体" w:hAns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62B522"/>
    <w:multiLevelType w:val="singleLevel"/>
    <w:tmpl w:val="9762B52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8EA04D6"/>
    <w:multiLevelType w:val="singleLevel"/>
    <w:tmpl w:val="D8EA04D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8A0F420"/>
    <w:multiLevelType w:val="singleLevel"/>
    <w:tmpl w:val="18A0F42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3E794925"/>
    <w:multiLevelType w:val="singleLevel"/>
    <w:tmpl w:val="3E794925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47D6E4D6"/>
    <w:multiLevelType w:val="singleLevel"/>
    <w:tmpl w:val="47D6E4D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hNjg5YmVmYzg3MzgxM2IxOWZlNmJmZGM2ZWIyNzkifQ=="/>
  </w:docVars>
  <w:rsids>
    <w:rsidRoot w:val="00EC0174"/>
    <w:rsid w:val="00006E4D"/>
    <w:rsid w:val="00021652"/>
    <w:rsid w:val="00030311"/>
    <w:rsid w:val="00030782"/>
    <w:rsid w:val="00030B66"/>
    <w:rsid w:val="0006102A"/>
    <w:rsid w:val="00065B0F"/>
    <w:rsid w:val="00065E7E"/>
    <w:rsid w:val="000820BB"/>
    <w:rsid w:val="0008241B"/>
    <w:rsid w:val="00092280"/>
    <w:rsid w:val="00097FAE"/>
    <w:rsid w:val="000A3233"/>
    <w:rsid w:val="000A7CE3"/>
    <w:rsid w:val="000B04D6"/>
    <w:rsid w:val="000B15CE"/>
    <w:rsid w:val="000C40C6"/>
    <w:rsid w:val="000C79C1"/>
    <w:rsid w:val="000D18F4"/>
    <w:rsid w:val="000D208A"/>
    <w:rsid w:val="000E037E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77AAF"/>
    <w:rsid w:val="00183850"/>
    <w:rsid w:val="00184D9F"/>
    <w:rsid w:val="001A3FA9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30B6"/>
    <w:rsid w:val="002C59D0"/>
    <w:rsid w:val="002D1A18"/>
    <w:rsid w:val="002D6C79"/>
    <w:rsid w:val="002E09F1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61C85"/>
    <w:rsid w:val="00371352"/>
    <w:rsid w:val="00376753"/>
    <w:rsid w:val="0038541D"/>
    <w:rsid w:val="00387818"/>
    <w:rsid w:val="00391A13"/>
    <w:rsid w:val="00391FD0"/>
    <w:rsid w:val="003A1D7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E752F"/>
    <w:rsid w:val="004F1E37"/>
    <w:rsid w:val="00515198"/>
    <w:rsid w:val="00521C44"/>
    <w:rsid w:val="005274E1"/>
    <w:rsid w:val="00531DDF"/>
    <w:rsid w:val="00535FA6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C17C8"/>
    <w:rsid w:val="005C2098"/>
    <w:rsid w:val="005C2E6C"/>
    <w:rsid w:val="005D0CCF"/>
    <w:rsid w:val="005D1C01"/>
    <w:rsid w:val="005E297D"/>
    <w:rsid w:val="005E3F12"/>
    <w:rsid w:val="005F627E"/>
    <w:rsid w:val="0061652E"/>
    <w:rsid w:val="006205E9"/>
    <w:rsid w:val="00622D0B"/>
    <w:rsid w:val="006270DA"/>
    <w:rsid w:val="00630B75"/>
    <w:rsid w:val="0063102F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664F1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732A1"/>
    <w:rsid w:val="00774C4A"/>
    <w:rsid w:val="00782BBB"/>
    <w:rsid w:val="007A0690"/>
    <w:rsid w:val="007A078F"/>
    <w:rsid w:val="007B34D4"/>
    <w:rsid w:val="007C0633"/>
    <w:rsid w:val="007D086C"/>
    <w:rsid w:val="007F1BE1"/>
    <w:rsid w:val="007F4463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468EA"/>
    <w:rsid w:val="00867140"/>
    <w:rsid w:val="00881134"/>
    <w:rsid w:val="008904F0"/>
    <w:rsid w:val="008961DA"/>
    <w:rsid w:val="008B2F27"/>
    <w:rsid w:val="008B4A72"/>
    <w:rsid w:val="008B585E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03AD"/>
    <w:rsid w:val="00A5432A"/>
    <w:rsid w:val="00A55F8A"/>
    <w:rsid w:val="00A9670E"/>
    <w:rsid w:val="00AA1423"/>
    <w:rsid w:val="00AB7996"/>
    <w:rsid w:val="00AC43C3"/>
    <w:rsid w:val="00AE2EAD"/>
    <w:rsid w:val="00AF77BE"/>
    <w:rsid w:val="00B11CEE"/>
    <w:rsid w:val="00B23428"/>
    <w:rsid w:val="00B264BF"/>
    <w:rsid w:val="00B3387B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2B49"/>
    <w:rsid w:val="00C53721"/>
    <w:rsid w:val="00C64D2E"/>
    <w:rsid w:val="00C70F97"/>
    <w:rsid w:val="00C7497C"/>
    <w:rsid w:val="00C757A2"/>
    <w:rsid w:val="00C75966"/>
    <w:rsid w:val="00C76577"/>
    <w:rsid w:val="00C80225"/>
    <w:rsid w:val="00C80B66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55B5"/>
    <w:rsid w:val="00D43DC3"/>
    <w:rsid w:val="00D51791"/>
    <w:rsid w:val="00D5281E"/>
    <w:rsid w:val="00D6531B"/>
    <w:rsid w:val="00D6612D"/>
    <w:rsid w:val="00D71AD9"/>
    <w:rsid w:val="00D73C02"/>
    <w:rsid w:val="00D872ED"/>
    <w:rsid w:val="00D913C6"/>
    <w:rsid w:val="00D96DD4"/>
    <w:rsid w:val="00DA0236"/>
    <w:rsid w:val="00DA5D51"/>
    <w:rsid w:val="00DA5E29"/>
    <w:rsid w:val="00DA61CA"/>
    <w:rsid w:val="00DB66BB"/>
    <w:rsid w:val="00DB73AF"/>
    <w:rsid w:val="00DC2865"/>
    <w:rsid w:val="00DD0894"/>
    <w:rsid w:val="00DE1888"/>
    <w:rsid w:val="00DF1250"/>
    <w:rsid w:val="00DF6EF7"/>
    <w:rsid w:val="00E05454"/>
    <w:rsid w:val="00E074C3"/>
    <w:rsid w:val="00E230FA"/>
    <w:rsid w:val="00E23329"/>
    <w:rsid w:val="00E24D6D"/>
    <w:rsid w:val="00E341B2"/>
    <w:rsid w:val="00E42633"/>
    <w:rsid w:val="00E5699E"/>
    <w:rsid w:val="00E570E1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5C81E07"/>
    <w:rsid w:val="08640C24"/>
    <w:rsid w:val="0A5F4653"/>
    <w:rsid w:val="0DC31556"/>
    <w:rsid w:val="12065069"/>
    <w:rsid w:val="1A3D6143"/>
    <w:rsid w:val="1C013801"/>
    <w:rsid w:val="2D527252"/>
    <w:rsid w:val="2EAE55F2"/>
    <w:rsid w:val="2EDF4302"/>
    <w:rsid w:val="30B80D32"/>
    <w:rsid w:val="328C1D52"/>
    <w:rsid w:val="3562248B"/>
    <w:rsid w:val="44C06E1D"/>
    <w:rsid w:val="46D516DE"/>
    <w:rsid w:val="47550EBA"/>
    <w:rsid w:val="49A97A52"/>
    <w:rsid w:val="54B208ED"/>
    <w:rsid w:val="5F204935"/>
    <w:rsid w:val="659825AD"/>
    <w:rsid w:val="65DE60B1"/>
    <w:rsid w:val="6636451A"/>
    <w:rsid w:val="6ADC766F"/>
    <w:rsid w:val="6EF65E9C"/>
    <w:rsid w:val="71397E03"/>
    <w:rsid w:val="77FFA8F9"/>
    <w:rsid w:val="7A9314AC"/>
    <w:rsid w:val="7C631402"/>
    <w:rsid w:val="7D8C4785"/>
    <w:rsid w:val="7E140770"/>
    <w:rsid w:val="7FEFB5DD"/>
    <w:rsid w:val="B5F66F24"/>
    <w:rsid w:val="C5B3F496"/>
    <w:rsid w:val="DDD7453A"/>
    <w:rsid w:val="DFE75A3D"/>
    <w:rsid w:val="DFEF594B"/>
    <w:rsid w:val="F1F9A9B5"/>
    <w:rsid w:val="FABF7411"/>
    <w:rsid w:val="FEFD95B3"/>
    <w:rsid w:val="FF2E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3"/>
    <w:qFormat/>
    <w:uiPriority w:val="0"/>
    <w:rPr>
      <w:rFonts w:ascii="宋体" w:eastAsia="宋体"/>
      <w:sz w:val="18"/>
      <w:szCs w:val="18"/>
    </w:rPr>
  </w:style>
  <w:style w:type="paragraph" w:styleId="3">
    <w:name w:val="Plain Text"/>
    <w:basedOn w:val="1"/>
    <w:qFormat/>
    <w:uiPriority w:val="0"/>
    <w:rPr>
      <w:rFonts w:ascii="宋体" w:hAnsi="Courier New" w:eastAsia="宋体"/>
      <w:sz w:val="21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四号正文"/>
    <w:basedOn w:val="1"/>
    <w:link w:val="12"/>
    <w:qFormat/>
    <w:uiPriority w:val="0"/>
    <w:pPr>
      <w:spacing w:line="360" w:lineRule="auto"/>
    </w:pPr>
    <w:rPr>
      <w:rFonts w:ascii="??" w:hAnsi="??" w:eastAsia="宋体" w:cs="宋体"/>
      <w:color w:val="000000"/>
      <w:kern w:val="0"/>
      <w:sz w:val="28"/>
      <w:szCs w:val="21"/>
    </w:rPr>
  </w:style>
  <w:style w:type="character" w:customStyle="1" w:styleId="12">
    <w:name w:val="四号正文 Char"/>
    <w:basedOn w:val="9"/>
    <w:link w:val="11"/>
    <w:qFormat/>
    <w:uiPriority w:val="0"/>
    <w:rPr>
      <w:rFonts w:ascii="??" w:hAnsi="??" w:eastAsia="宋体" w:cs="宋体"/>
      <w:color w:val="000000"/>
      <w:sz w:val="28"/>
      <w:szCs w:val="21"/>
      <w:lang w:val="en-US" w:eastAsia="zh-CN" w:bidi="ar-SA"/>
    </w:rPr>
  </w:style>
  <w:style w:type="character" w:customStyle="1" w:styleId="13">
    <w:name w:val="文档结构图 Char"/>
    <w:basedOn w:val="9"/>
    <w:link w:val="2"/>
    <w:qFormat/>
    <w:uiPriority w:val="0"/>
    <w:rPr>
      <w:rFonts w:ascii="宋体"/>
      <w:kern w:val="2"/>
      <w:sz w:val="18"/>
      <w:szCs w:val="18"/>
    </w:rPr>
  </w:style>
  <w:style w:type="paragraph" w:customStyle="1" w:styleId="14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5">
    <w:name w:val="页脚 Char"/>
    <w:basedOn w:val="9"/>
    <w:link w:val="5"/>
    <w:qFormat/>
    <w:uiPriority w:val="99"/>
    <w:rPr>
      <w:kern w:val="2"/>
      <w:sz w:val="18"/>
      <w:szCs w:val="18"/>
    </w:rPr>
  </w:style>
  <w:style w:type="character" w:customStyle="1" w:styleId="16">
    <w:name w:val="font3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PSZX</Company>
  <Pages>5</Pages>
  <Words>1951</Words>
  <Characters>2169</Characters>
  <Lines>2</Lines>
  <Paragraphs>1</Paragraphs>
  <TotalTime>269</TotalTime>
  <ScaleCrop>false</ScaleCrop>
  <LinksUpToDate>false</LinksUpToDate>
  <CharactersWithSpaces>2194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2019-05-16T11:06:00Z</dcterms:created>
  <dc:creator>陈萍</dc:creator>
  <cp:lastModifiedBy>芳</cp:lastModifiedBy>
  <cp:lastPrinted>2022-03-26T08:26:00Z</cp:lastPrinted>
  <dcterms:modified xsi:type="dcterms:W3CDTF">2024-06-12T03:28:43Z</dcterms:modified>
  <dc:title>区域性就业培训基地建设项目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5E9BF5983D544E00A49D1BC0F6F5D051</vt:lpwstr>
  </property>
</Properties>
</file>