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232" w:lineRule="auto"/>
        <w:ind w:firstLine="2240" w:firstLineChars="50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攀枝花市交通运输局</w:t>
      </w:r>
    </w:p>
    <w:p>
      <w:pPr>
        <w:spacing w:before="56" w:line="231" w:lineRule="auto"/>
        <w:ind w:left="82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关于做好道路运输领域设备报废更新</w:t>
      </w:r>
    </w:p>
    <w:p>
      <w:pPr>
        <w:spacing w:before="56" w:line="233" w:lineRule="auto"/>
        <w:ind w:left="170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及购置补贴申报工作的通知</w:t>
      </w:r>
    </w:p>
    <w:p>
      <w:pPr>
        <w:pStyle w:val="2"/>
        <w:spacing w:line="324" w:lineRule="auto"/>
      </w:pPr>
    </w:p>
    <w:p>
      <w:pPr>
        <w:pStyle w:val="2"/>
        <w:spacing w:line="325" w:lineRule="auto"/>
      </w:pPr>
    </w:p>
    <w:p>
      <w:pPr>
        <w:spacing w:before="101" w:line="316" w:lineRule="auto"/>
        <w:ind w:left="37" w:right="209" w:hanging="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各县（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区）、钒钛高新区交通运输主管部门，市交通运输服务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中心，局有关科室：</w:t>
      </w:r>
    </w:p>
    <w:p>
      <w:pPr>
        <w:pStyle w:val="2"/>
        <w:spacing w:before="60" w:line="325" w:lineRule="auto"/>
        <w:ind w:left="1" w:right="142" w:firstLine="63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为更好贯彻落实大规模设备更新和消费品以旧换新的决策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部署，有序推进道路运输领域设备更新工作，根据财政厅《关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于预拨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年超长期特别国债支出预算的通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知》和交通运输厅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印发的《老旧营运货车报废更新补贴申报操作指南》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《新能源</w:t>
      </w:r>
    </w:p>
    <w:p>
      <w:pPr>
        <w:spacing w:line="32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7" w:h="16840"/>
          <w:pgMar w:top="1431" w:right="1467" w:bottom="1709" w:left="1600" w:header="0" w:footer="1440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316" w:lineRule="auto"/>
        <w:ind w:left="6" w:hanging="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城市公交车及动力电池更新和氢能源公交车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购置补贴申报操作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指南》要求，结合我市实际，现将有关事项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通知如下。</w:t>
      </w:r>
    </w:p>
    <w:p>
      <w:pPr>
        <w:spacing w:before="59" w:line="214" w:lineRule="auto"/>
        <w:ind w:left="6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一、明确受理单位</w:t>
      </w:r>
    </w:p>
    <w:p>
      <w:pPr>
        <w:spacing w:before="197" w:line="311" w:lineRule="auto"/>
        <w:ind w:left="16" w:firstLine="6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13"/>
          <w:sz w:val="31"/>
          <w:szCs w:val="31"/>
        </w:rPr>
        <w:t>（一）老旧营运货车。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拟申请补贴资金的营运货车所有人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向其所在地设区的县（</w:t>
      </w:r>
      <w:r>
        <w:rPr>
          <w:rFonts w:ascii="FangSong_GB2312" w:hAnsi="FangSong_GB2312" w:eastAsia="FangSong_GB2312" w:cs="FangSong_GB2312"/>
          <w:spacing w:val="-8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区）级交通运输主管部门提交补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贴资金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申请，车辆所有人报废并更新营运货车，报废车辆属地与更新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车辆属地不一致的，统一在报废车辆属地申请，钒钛高新区参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照执行。</w:t>
      </w:r>
    </w:p>
    <w:p>
      <w:pPr>
        <w:spacing w:before="190" w:line="295" w:lineRule="auto"/>
        <w:ind w:left="5" w:right="67" w:firstLine="6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（二）城市公交。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米易县、盐边县城市公共汽电车的运营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企业向其属地县级交通运输主管部门提交补贴资金申请，市公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交公司向市交通运输局主管科室提交补贴资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金申请。</w:t>
      </w:r>
    </w:p>
    <w:p>
      <w:pPr>
        <w:spacing w:before="199" w:line="212" w:lineRule="auto"/>
        <w:ind w:left="6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二、建立联合机制</w:t>
      </w:r>
    </w:p>
    <w:p>
      <w:pPr>
        <w:spacing w:before="196" w:line="329" w:lineRule="auto"/>
        <w:ind w:left="1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各县（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区）、钒钛高新区交通运输主管部门应与同级公安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交管、商务部门建立联合审核机制，参照《老旧营运货车报废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更新补贴申报操作指南》</w:t>
      </w:r>
      <w:r>
        <w:rPr>
          <w:rFonts w:ascii="FangSong_GB2312" w:hAnsi="FangSong_GB2312" w:eastAsia="FangSong_GB2312" w:cs="FangSong_GB2312"/>
          <w:spacing w:val="-1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《新能源城市公交车及动力电池更新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和氢能源公交车购置补贴申报操作指南》审核要求，会同同级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公安交管、商务部门对补贴申报资料进行审核。根据通过审核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的资料，每周向同级财政部门提出补贴资金安排建议，会同财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政部门按程序将补贴资金拨付至申请人。</w:t>
      </w:r>
    </w:p>
    <w:p>
      <w:pPr>
        <w:spacing w:before="64" w:line="211" w:lineRule="auto"/>
        <w:ind w:left="6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三、及时报送数据</w:t>
      </w:r>
    </w:p>
    <w:p>
      <w:pPr>
        <w:spacing w:before="197" w:line="318" w:lineRule="auto"/>
        <w:ind w:left="10" w:firstLine="6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各县（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区）、钒钛高新区交通运输主管部门按月总结上月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工作开展情况，并填写《老旧营运货车报废更新汇总表》《新</w:t>
      </w:r>
    </w:p>
    <w:p>
      <w:pPr>
        <w:spacing w:line="318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7" w:h="16840"/>
          <w:pgMar w:top="1431" w:right="1609" w:bottom="1708" w:left="1598" w:header="0" w:footer="1439" w:gutter="0"/>
          <w:cols w:space="720" w:num="1"/>
        </w:sectPr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before="101" w:line="326" w:lineRule="auto"/>
        <w:ind w:firstLine="3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能源城市公交车车辆更新明细表》</w:t>
      </w:r>
      <w:r>
        <w:rPr>
          <w:rFonts w:ascii="FangSong_GB2312" w:hAnsi="FangSong_GB2312" w:eastAsia="FangSong_GB2312" w:cs="FangSong_GB2312"/>
          <w:spacing w:val="-1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《新能源城市公交车辆动力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电池更换明细表》</w:t>
      </w:r>
      <w:r>
        <w:rPr>
          <w:rFonts w:ascii="FangSong_GB2312" w:hAnsi="FangSong_GB2312" w:eastAsia="FangSong_GB2312" w:cs="FangSong_GB2312"/>
          <w:spacing w:val="-1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《氢能源城市公交车购置补贴申报明细表》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《新能源城市公交车车辆更新与动力电池更换汇总表》等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5</w:t>
      </w:r>
      <w:r>
        <w:rPr>
          <w:spacing w:val="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表格，于每月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4</w:t>
      </w:r>
      <w:r>
        <w:rPr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日前报市交通运输局道路运输管理科</w:t>
      </w:r>
      <w:r>
        <w:rPr>
          <w:spacing w:val="-4"/>
          <w:sz w:val="31"/>
          <w:szCs w:val="31"/>
        </w:rPr>
        <w:t>(1</w:t>
      </w:r>
      <w:r>
        <w:rPr>
          <w:spacing w:val="-5"/>
          <w:sz w:val="31"/>
          <w:szCs w:val="31"/>
        </w:rPr>
        <w:t>1</w:t>
      </w:r>
      <w:r>
        <w:rPr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8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4</w:t>
      </w:r>
      <w:r>
        <w:rPr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为第一次</w:t>
      </w:r>
      <w:r>
        <w:rPr>
          <w:spacing w:val="3"/>
          <w:sz w:val="31"/>
          <w:szCs w:val="31"/>
        </w:rPr>
        <w:t>)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。联系人：熊蔺祥，联系电话：</w:t>
      </w:r>
      <w:r>
        <w:rPr>
          <w:spacing w:val="3"/>
          <w:sz w:val="31"/>
          <w:szCs w:val="31"/>
        </w:rPr>
        <w:t>3506042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。</w:t>
      </w:r>
    </w:p>
    <w:p>
      <w:pPr>
        <w:spacing w:before="67" w:line="211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四、补贴范围、标准及其他</w:t>
      </w:r>
    </w:p>
    <w:p>
      <w:pPr>
        <w:spacing w:before="195" w:line="326" w:lineRule="auto"/>
        <w:ind w:left="11" w:firstLine="6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严格按照《老旧营运货车报废更新补贴申报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操作指南》《新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能源城市公交车及动力电池更新和氢能源公交车购置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补贴申报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操作指南》执行，执行过程中如遇上级政策调整需对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本通知内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容进行调整的，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以调整通知为准。</w:t>
      </w: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before="101" w:line="316" w:lineRule="auto"/>
        <w:ind w:left="1948" w:right="101" w:hanging="12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附件：</w:t>
      </w:r>
      <w:r>
        <w:rPr>
          <w:spacing w:val="7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四川省交通运输厅关于印发《老旧营运货车报废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更新补贴申报操作指南》的通知</w:t>
      </w:r>
    </w:p>
    <w:p>
      <w:pPr>
        <w:pStyle w:val="2"/>
        <w:spacing w:before="56" w:line="323" w:lineRule="auto"/>
        <w:ind w:left="2019" w:hanging="3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10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四川省交通运输厅关于印发《新能源城市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公交车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4"/>
          <w:sz w:val="31"/>
          <w:szCs w:val="31"/>
        </w:rPr>
        <w:t>及动力电池更新和氢能源公交车购置补贴申报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操作指南》的通知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  <w:jc w:val="right"/>
        <w:rPr>
          <w:rFonts w:ascii="FangSong_GB2312" w:hAnsi="FangSong_GB2312" w:eastAsia="FangSong_GB2312" w:cs="FangSong_GB2312"/>
          <w:spacing w:val="8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攀枝花市交通运输局</w:t>
      </w:r>
    </w:p>
    <w:p>
      <w:pPr>
        <w:spacing w:before="4"/>
        <w:jc w:val="center"/>
      </w:pPr>
      <w:r>
        <w:rPr>
          <w:rFonts w:hint="eastAsia" w:eastAsia="宋体"/>
          <w:spacing w:val="-19"/>
          <w:sz w:val="31"/>
          <w:szCs w:val="31"/>
          <w:lang w:val="en-US" w:eastAsia="zh-CN"/>
        </w:rPr>
        <w:t xml:space="preserve">                                                                                         </w:t>
      </w:r>
      <w:r>
        <w:rPr>
          <w:spacing w:val="-19"/>
          <w:sz w:val="31"/>
          <w:szCs w:val="31"/>
        </w:rPr>
        <w:t>2024</w:t>
      </w:r>
      <w:r>
        <w:rPr>
          <w:spacing w:val="1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10</w:t>
      </w:r>
      <w:r>
        <w:rPr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8</w:t>
      </w:r>
      <w:r>
        <w:rPr>
          <w:spacing w:val="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1"/>
          <w:szCs w:val="31"/>
        </w:rPr>
        <w:t>日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pStyle w:val="2"/>
        <w:spacing w:before="80" w:line="200" w:lineRule="auto"/>
        <w:ind w:left="167"/>
        <w:rPr>
          <w:sz w:val="28"/>
          <w:szCs w:val="28"/>
        </w:rPr>
      </w:pPr>
    </w:p>
    <w:sectPr>
      <w:headerReference r:id="rId7" w:type="default"/>
      <w:footerReference r:id="rId8" w:type="default"/>
      <w:pgSz w:w="11907" w:h="16840"/>
      <w:pgMar w:top="400" w:right="1471" w:bottom="400" w:left="1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3" w:lineRule="auto"/>
      <w:ind w:left="7634"/>
      <w:rPr>
        <w:sz w:val="28"/>
        <w:szCs w:val="28"/>
      </w:rPr>
    </w:pPr>
    <w:r>
      <w:rPr>
        <w:spacing w:val="4"/>
        <w:sz w:val="28"/>
        <w:szCs w:val="2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3" w:lineRule="auto"/>
      <w:ind w:left="79"/>
      <w:rPr>
        <w:sz w:val="28"/>
        <w:szCs w:val="28"/>
      </w:rPr>
    </w:pPr>
    <w:r>
      <w:rPr>
        <w:spacing w:val="4"/>
        <w:sz w:val="28"/>
        <w:szCs w:val="2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k5YjMwNTQ2YjRiYTU4MTVmMzU2M2NmYTJlY2M5MjAifQ=="/>
  </w:docVars>
  <w:rsids>
    <w:rsidRoot w:val="00000000"/>
    <w:rsid w:val="259B677B"/>
    <w:rsid w:val="48971036"/>
    <w:rsid w:val="7DD32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1053</Words>
  <Characters>1081</Characters>
  <TotalTime>2</TotalTime>
  <ScaleCrop>false</ScaleCrop>
  <LinksUpToDate>false</LinksUpToDate>
  <CharactersWithSpaces>1160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2024-10-09T09:32:00Z</dcterms:created>
  <dc:creator>系统管理员</dc:creator>
  <cp:lastModifiedBy>Administrator</cp:lastModifiedBy>
  <dcterms:modified xsi:type="dcterms:W3CDTF">2024-10-22T02:10:52Z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2024-10-22T09:51:10Z</vt:filetime>
  </property>
  <property fmtid="{D5CDD505-2E9C-101B-9397-08002B2CF9AE}" pid="4" name="KSOProductBuildVer">
    <vt:lpwstr>2052-11.8.2.11718</vt:lpwstr>
  </property>
  <property fmtid="{D5CDD505-2E9C-101B-9397-08002B2CF9AE}" pid="5" name="ICV">
    <vt:lpwstr>6082A63C75174AF4B3A971AD5583B7CC</vt:lpwstr>
  </property>
</Properties>
</file>