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攀枝花市东区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烧结砖瓦产能清单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424"/>
        <w:gridCol w:w="1225"/>
        <w:gridCol w:w="1432"/>
        <w:gridCol w:w="1914"/>
        <w:gridCol w:w="1265"/>
        <w:gridCol w:w="1001"/>
        <w:gridCol w:w="1778"/>
        <w:gridCol w:w="2220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建设地址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生产线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合法手续载明产能（万标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砖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" w:eastAsia="zh-CN"/>
              </w:rPr>
              <w:t>/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val="en" w:eastAsia="zh-CN"/>
              </w:rPr>
              <w:t>年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备案号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能评批复文号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环评批复文号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状态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攀枝花市杰丰砖厂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东区鄞江镇攀枝花村三社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煤矸石烧结砖生产线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5000万匹标砖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川投资备[51040013050702]0012号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攀东环建[2013]033号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" w:eastAsia="zh-CN"/>
              </w:rPr>
              <w:t>停产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备注：生产线数量以焙烧窑炉计，如确有一烘多烧等焙烧窑炉数量无法反映生产线情况的，生产线数量可请第三方机构认定，但须在备注中注明。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6838" w:h="11906" w:orient="landscape"/>
          <w:pgMar w:top="1531" w:right="1440" w:bottom="1531" w:left="1440" w:header="851" w:footer="1191" w:gutter="0"/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6840" w:h="11907" w:orient="landscape"/>
      <w:pgMar w:top="1587" w:right="2098" w:bottom="1474" w:left="1984" w:header="907" w:footer="1644" w:gutter="0"/>
      <w:cols w:space="0" w:num="1"/>
      <w:titlePg/>
      <w:docGrid w:type="linesAndChars" w:linePitch="576" w:charSpace="4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C0750"/>
    <w:rsid w:val="01633AB6"/>
    <w:rsid w:val="145E20B9"/>
    <w:rsid w:val="30EA4317"/>
    <w:rsid w:val="4BC20007"/>
    <w:rsid w:val="4E264829"/>
    <w:rsid w:val="56F37E6A"/>
    <w:rsid w:val="701C07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jc w:val="center"/>
      <w:outlineLvl w:val="0"/>
    </w:pPr>
    <w:rPr>
      <w:rFonts w:eastAsia="方正小标宋_GBK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2024-08-22T03:08:00Z</dcterms:created>
  <dc:creator>刘昱</dc:creator>
  <cp:lastModifiedBy>刘昱</cp:lastModifiedBy>
  <dcterms:modified xsi:type="dcterms:W3CDTF">2024-08-22T03:09:23Z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7CDEC85AB79E459FA93A486D996A20F8</vt:lpwstr>
  </property>
</Properties>
</file>