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附件4</w:t>
      </w:r>
    </w:p>
    <w:p>
      <w:pPr>
        <w:pStyle w:val="8"/>
        <w:spacing w:line="600" w:lineRule="exact"/>
        <w:jc w:val="center"/>
        <w:rPr>
          <w:rFonts w:hint="default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攀枝花市东区经济和信息化局</w:t>
      </w:r>
    </w:p>
    <w:p>
      <w:pPr>
        <w:pStyle w:val="8"/>
        <w:spacing w:line="600" w:lineRule="exact"/>
        <w:jc w:val="center"/>
        <w:rPr>
          <w:rFonts w:ascii="Times New Roman" w:hAnsi="Times New Roman" w:eastAsia="方正小标宋简体"/>
          <w:color w:val="auto"/>
          <w:spacing w:val="-20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spacing w:val="-20"/>
          <w:kern w:val="2"/>
          <w:sz w:val="40"/>
          <w:szCs w:val="40"/>
          <w:lang w:val="en-US"/>
        </w:rPr>
        <w:t>202</w:t>
      </w:r>
      <w:r>
        <w:rPr>
          <w:rFonts w:hint="eastAsia" w:ascii="Times New Roman" w:hAnsi="Times New Roman" w:eastAsia="方正小标宋简体"/>
          <w:color w:val="auto"/>
          <w:spacing w:val="-20"/>
          <w:kern w:val="2"/>
          <w:sz w:val="40"/>
          <w:szCs w:val="40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auto"/>
          <w:spacing w:val="-20"/>
          <w:kern w:val="2"/>
          <w:sz w:val="40"/>
          <w:szCs w:val="40"/>
          <w:lang w:val="en-US"/>
        </w:rPr>
        <w:t>年度</w:t>
      </w:r>
      <w:r>
        <w:rPr>
          <w:rFonts w:hint="eastAsia" w:ascii="Times New Roman" w:hAnsi="Times New Roman" w:eastAsia="方正小标宋简体"/>
          <w:color w:val="auto"/>
          <w:spacing w:val="-20"/>
          <w:kern w:val="2"/>
          <w:sz w:val="40"/>
          <w:szCs w:val="40"/>
          <w:lang w:val="en-US" w:eastAsia="zh-CN"/>
        </w:rPr>
        <w:t>工业经济高质量发展资金</w:t>
      </w:r>
      <w:r>
        <w:rPr>
          <w:rFonts w:ascii="Times New Roman" w:hAnsi="Times New Roman" w:eastAsia="方正小标宋简体"/>
          <w:color w:val="auto"/>
          <w:spacing w:val="-20"/>
          <w:kern w:val="2"/>
          <w:sz w:val="40"/>
          <w:szCs w:val="40"/>
        </w:rPr>
        <w:t>支出绩效自评</w:t>
      </w:r>
    </w:p>
    <w:p>
      <w:pPr>
        <w:pStyle w:val="8"/>
        <w:spacing w:line="600" w:lineRule="exact"/>
        <w:jc w:val="center"/>
        <w:rPr>
          <w:rFonts w:ascii="Times New Roman" w:hAnsi="Times New Roman" w:eastAsia="方正小标宋简体"/>
          <w:color w:val="auto"/>
          <w:spacing w:val="-20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spacing w:val="-20"/>
          <w:kern w:val="2"/>
          <w:sz w:val="40"/>
          <w:szCs w:val="40"/>
        </w:rPr>
        <w:t>报告</w:t>
      </w:r>
    </w:p>
    <w:p>
      <w:pPr>
        <w:pStyle w:val="8"/>
        <w:spacing w:line="600" w:lineRule="exact"/>
        <w:ind w:firstLine="883"/>
        <w:jc w:val="center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2"/>
          <w:sz w:val="32"/>
          <w:szCs w:val="32"/>
        </w:rPr>
        <w:t>（主管部门自评）</w:t>
      </w:r>
    </w:p>
    <w:p>
      <w:pPr>
        <w:pStyle w:val="8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lang w:val="zh-CN"/>
        </w:rPr>
        <w:t>1</w:t>
      </w:r>
      <w:r>
        <w:rPr>
          <w:rFonts w:hint="eastAsia"/>
          <w:lang w:val="en-US" w:eastAsia="zh-CN"/>
        </w:rPr>
        <w:t xml:space="preserve">. </w:t>
      </w:r>
      <w:r>
        <w:rPr>
          <w:rFonts w:eastAsia="仿宋_GB2312"/>
          <w:kern w:val="0"/>
          <w:sz w:val="32"/>
          <w:szCs w:val="32"/>
        </w:rPr>
        <w:t>说明项目主管部门（单位）在该项目管理中的职能。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根据区经济和信息化局三定方案中的职能职责，负责拟订新型工业化发展战略和重大政策，协调解决新型工业化进程中的重大问题，组织实施工业强区战略。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项目立项、资金申报的依据。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用于产业研究、企业转型升级及新型工业化发展支出的项目咨询、政策传达等。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资金严格按照财政相关要求进行管理，按流程使用专项资金。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该项目的资金按具体工作内容分为办公经费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1万元、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委托业务费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0.5万元、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其他商品和服务支出1</w:t>
      </w:r>
      <w:r>
        <w:rPr>
          <w:rFonts w:hint="eastAsia" w:cs="Times New Roman"/>
          <w:color w:val="auto"/>
          <w:kern w:val="0"/>
          <w:sz w:val="32"/>
          <w:szCs w:val="32"/>
          <w:lang w:eastAsia="zh-CN"/>
        </w:rPr>
        <w:t>万元。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为加强东区工业强区的产业研究、企业转型升级及新型工业化发展，加大对相关技术的咨询、政策传达宣贯等，更好地指导和引导企业往可持续方向发展。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仿宋_GB2312"/>
          <w:kern w:val="0"/>
          <w:sz w:val="32"/>
          <w:szCs w:val="32"/>
        </w:rPr>
        <w:t>着眼培育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hint="eastAsia"/>
          <w:kern w:val="0"/>
          <w:sz w:val="32"/>
          <w:szCs w:val="32"/>
          <w:lang w:val="en-US" w:eastAsia="zh-CN"/>
        </w:rPr>
        <w:t>3+2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hint="eastAsia"/>
          <w:kern w:val="0"/>
          <w:sz w:val="32"/>
          <w:szCs w:val="32"/>
          <w:lang w:val="en-US" w:eastAsia="zh-CN"/>
        </w:rPr>
        <w:t>现代工业</w:t>
      </w:r>
      <w:r>
        <w:rPr>
          <w:rFonts w:eastAsia="仿宋_GB2312"/>
          <w:kern w:val="0"/>
          <w:sz w:val="32"/>
          <w:szCs w:val="32"/>
        </w:rPr>
        <w:t>体系，重点围绕钛金属深加工、新能源、钢铁延伸加工、智能制造、绿色建材、资源综合利用等产业领域，开展</w:t>
      </w:r>
      <w:r>
        <w:rPr>
          <w:rFonts w:hint="eastAsia"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建链、补链、延链、强链</w:t>
      </w:r>
      <w:r>
        <w:rPr>
          <w:rFonts w:hint="eastAsia"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招商，促进东区工业经济增长实现新的突破。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所有申报内容与具体实施内容相符，申报目标合理可行。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由分管领导根据文件签署办理意见，再由具体经办人员草拟自评报告后送分管领导初审，最后报主管领导审核后上报区财政局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该项目年初申请预算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批复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万元，年中无预算调整。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该项资金为全额财政一次性拨款，无自筹或其他渠道拨款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该项资金年初预算下达时一次性到位，到位率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100%。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年全年，共使用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新型工业化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工作经费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资金支付范围、支付标准、支付进度、支付依据等合规合法、与预算相符。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经费严格按照财务管理制度进行管理，保证专款专用，不存在截留、滞留、挤占、挪用、套取、虚报、冒领的问题，所有支出均以转账方式进行，财务手续齐全。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具体经办人员填写报销凭证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分管领导审核、主要领导签字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财务人员填写支付申请书报分管领导、主要领导签字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按规定5000元及以上支出需召开局班子会商议；1万元及以上支出需请分管区领导签字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严格按照报销内容划分支出项目，不得随意变更支出内容。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制定财政管理制度，严格按照预算内容使用资金，层层上报资金使用计划，层层审批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聚焦“延链拓链补链强链”，坚持项目化端牢做亮特色优势产业“三个饭碗”，建立工业项目开工、竣工“季通报、月交账、周跟踪”机制，完善专班服务、部门会商、“绿色通道”等项目攻坚举措，区经信局共牵头重点工业项目共计19个，总投资达24.4亿元，各项目均顺利推进，其中鼎星钛业减排提质技改项目1个项目竣工投产，总投资达0.2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；矿业公司攀枝花铁矿铁路排土场资源综合利用项目、钒钛磁铁矿绿色高效选矿创新技改工程项目、攀矿密地选厂提质改造3个项目已进行试生产，总投资达5.3亿元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攀钢钒能动分公司100兆瓦余热余能利用发电二期工程项目、炼铁厂贮煤筒仓建设工程项目、废旧资源综合利用项目、年处理40万吨废钢加工中心及报废机动车回收拆解二期项目、同悦钢结构生产线智能化改造项目、钒钛磁铁矿尾矿提钛，能动网架等8个项目正在加快建设，总投资约16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；攀钢矿业朱兰铁矿智能产线建设项目、攀钢钒钛数智化管控中心建设7个项目正在加快前期，总投资达约2.9亿元</w:t>
      </w: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，正在加快前期。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开展工业招商共计10次，分别前往成都、天津、北京、长沙、珠海等地开展工业招商，累计对接目标企业25家，签约落地同悦年产1万吨高端钢结构智能制造生产线项目、旭泰年产30万吨矿山尾矿充填胶固剂材料生产线建设工程2个项目；并促成青岛正望、四川目伦签订三方合作备忘录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东区规模以上工业企业实现工业总产值954.2亿元，同比下降1.4%。实现规上工业增加值增速8.2%，增速在三区两县中与盐边县并列第二。分别高于全省（6.2%）、全市（7.3%）平均水平2、0.9个百分点。全区工业投资和工业性技改投资分别完成62.9亿元、39.6亿元，分别同比增长15.2%、13.7%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53" w:lineRule="auto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聚焦“延链拓链补链强链”，坚持项目化端牢做亮特色优势产业“三个饭碗”，建立工业项目开工、竣工“季通报、月交账、周跟踪”机制，完善专班服务、部门会商、“绿色通道”等项目攻坚举措，区经信局共牵头重点工业项目共计19个，总投资达24.4亿元，各项目均顺利推进，其中鼎星钛业减排提质技改项目1个项目竣工投产，总投资达0.2亿元；矿业公司攀枝花铁矿铁路排土场资源综合利用项目、钒钛磁铁矿绿色高效选矿创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3"/>
          <w:szCs w:val="33"/>
          <w:lang w:val="en-US" w:eastAsia="zh-CN"/>
        </w:rPr>
        <w:t>新技改工程项目、攀矿密地选厂提质改造3个项目已进行试生产，总投资达5.3亿元；攀钢钒能动分公司100兆瓦余热余能利用发电二期工程项目、炼铁厂贮煤筒仓建设工程项目、废旧资源综合利用项目、年处理40万吨废钢加工中心及报废机动车回收拆解二期项目、同悦钢结构生产线智能化改造项目、钒钛磁铁矿尾矿提钛，能动网架等8个项目正在加快建设，总投资约16亿元；攀钢矿业朱兰铁矿智能产线建设项目、攀钢钒钛数智化管控中心建设7个项目正在加快前期，总投资达约2.9亿元，正在加快前期。项目进展良好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en-US" w:eastAsia="zh-CN"/>
        </w:rPr>
        <w:t>无。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（三）相关建议。</w:t>
      </w:r>
    </w:p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26EEF7-4C8C-4BE4-8EE8-4A9AD3E91D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C33960A-6042-4C7A-ACD4-3EF2A50144C3}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92902D-622F-458B-B694-910E3DA67741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6B77A4C-F2F4-4435-A23F-D449D131A0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3D39399-0DCE-4BA0-94E9-54B4C317CD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WEyZTdhOWEzNDg3OTYzNWY4ZGM0ZjFlNTk0NjMifQ=="/>
  </w:docVars>
  <w:rsids>
    <w:rsidRoot w:val="771D4D51"/>
    <w:rsid w:val="003E0697"/>
    <w:rsid w:val="005D58B1"/>
    <w:rsid w:val="00637E6D"/>
    <w:rsid w:val="009137C6"/>
    <w:rsid w:val="00993141"/>
    <w:rsid w:val="009C6802"/>
    <w:rsid w:val="00A51A86"/>
    <w:rsid w:val="00B04AD2"/>
    <w:rsid w:val="00B40FFC"/>
    <w:rsid w:val="00EB3EED"/>
    <w:rsid w:val="00F5599D"/>
    <w:rsid w:val="01D918D7"/>
    <w:rsid w:val="09684744"/>
    <w:rsid w:val="1C25106F"/>
    <w:rsid w:val="22AD555F"/>
    <w:rsid w:val="2AF86ED7"/>
    <w:rsid w:val="2B385C88"/>
    <w:rsid w:val="35874596"/>
    <w:rsid w:val="3AC45B17"/>
    <w:rsid w:val="40D554EA"/>
    <w:rsid w:val="47C71999"/>
    <w:rsid w:val="53D1487A"/>
    <w:rsid w:val="74A708C5"/>
    <w:rsid w:val="771D4D51"/>
    <w:rsid w:val="7DD91D07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仿宋_GB2312"/>
      <w:sz w:val="32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默认"/>
    <w:basedOn w:val="1"/>
    <w:next w:val="1"/>
    <w:qFormat/>
    <w:uiPriority w:val="0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1494</Words>
  <Characters>1532</Characters>
  <Lines>9</Lines>
  <Paragraphs>2</Paragraphs>
  <TotalTime>0</TotalTime>
  <ScaleCrop>false</ScaleCrop>
  <LinksUpToDate>false</LinksUpToDate>
  <CharactersWithSpaces>1544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黄均</cp:lastModifiedBy>
  <dcterms:modified xsi:type="dcterms:W3CDTF">2024-06-24T02:30:23Z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F7156EE71E154263ADF5416A439D162D_13</vt:lpwstr>
  </property>
</Properties>
</file>