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</w:rPr>
      </w:pPr>
      <w:r>
        <w:rPr>
          <w:rFonts w:eastAsia="黑体"/>
        </w:rPr>
        <w:t>附件4</w:t>
      </w:r>
    </w:p>
    <w:p>
      <w:pPr>
        <w:pStyle w:val="9"/>
        <w:spacing w:line="600" w:lineRule="exact"/>
        <w:jc w:val="center"/>
        <w:rPr>
          <w:rFonts w:hint="default" w:ascii="Times New Roman" w:hAnsi="Times New Roman" w:eastAsia="方正小标宋简体"/>
          <w:color w:val="auto"/>
          <w:kern w:val="2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kern w:val="2"/>
          <w:sz w:val="40"/>
          <w:szCs w:val="40"/>
          <w:lang w:val="en-US" w:eastAsia="zh-CN"/>
        </w:rPr>
        <w:t>攀枝花市东区经济和信息化局</w:t>
      </w:r>
    </w:p>
    <w:p>
      <w:pPr>
        <w:pStyle w:val="9"/>
        <w:spacing w:line="600" w:lineRule="exact"/>
        <w:jc w:val="center"/>
        <w:rPr>
          <w:rFonts w:ascii="Times New Roman" w:hAnsi="Times New Roman" w:eastAsia="方正小标宋简体"/>
          <w:color w:val="auto"/>
          <w:kern w:val="2"/>
          <w:sz w:val="40"/>
          <w:szCs w:val="40"/>
        </w:rPr>
      </w:pPr>
      <w:r>
        <w:rPr>
          <w:rFonts w:ascii="Times New Roman" w:hAnsi="Times New Roman" w:eastAsia="方正小标宋简体"/>
          <w:color w:val="auto"/>
          <w:kern w:val="2"/>
          <w:sz w:val="40"/>
          <w:szCs w:val="40"/>
          <w:lang w:val="en-US"/>
        </w:rPr>
        <w:t>202</w:t>
      </w:r>
      <w:r>
        <w:rPr>
          <w:rFonts w:hint="eastAsia" w:ascii="Times New Roman" w:hAnsi="Times New Roman" w:eastAsia="方正小标宋简体"/>
          <w:color w:val="auto"/>
          <w:kern w:val="2"/>
          <w:sz w:val="40"/>
          <w:szCs w:val="40"/>
          <w:lang w:val="en-US" w:eastAsia="zh-CN"/>
        </w:rPr>
        <w:t>3</w:t>
      </w:r>
      <w:r>
        <w:rPr>
          <w:rFonts w:hint="eastAsia" w:ascii="Times New Roman" w:hAnsi="Times New Roman" w:eastAsia="方正小标宋简体"/>
          <w:color w:val="auto"/>
          <w:kern w:val="2"/>
          <w:sz w:val="40"/>
          <w:szCs w:val="40"/>
          <w:lang w:val="en-US"/>
        </w:rPr>
        <w:t>年度工业发展专项资金</w:t>
      </w:r>
      <w:r>
        <w:rPr>
          <w:rFonts w:ascii="Times New Roman" w:hAnsi="Times New Roman" w:eastAsia="方正小标宋简体"/>
          <w:color w:val="auto"/>
          <w:kern w:val="2"/>
          <w:sz w:val="40"/>
          <w:szCs w:val="40"/>
        </w:rPr>
        <w:t>绩效自评报告</w:t>
      </w:r>
    </w:p>
    <w:p>
      <w:pPr>
        <w:pStyle w:val="9"/>
        <w:spacing w:line="600" w:lineRule="exact"/>
        <w:ind w:firstLine="883"/>
        <w:jc w:val="center"/>
        <w:rPr>
          <w:rFonts w:ascii="Times New Roman" w:hAnsi="Times New Roman" w:eastAsia="仿宋_GB2312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2"/>
          <w:sz w:val="32"/>
          <w:szCs w:val="32"/>
        </w:rPr>
        <w:t>（主管部门自评）</w:t>
      </w:r>
    </w:p>
    <w:p>
      <w:pPr>
        <w:pStyle w:val="9"/>
        <w:spacing w:line="600" w:lineRule="exact"/>
        <w:ind w:firstLine="640"/>
        <w:jc w:val="center"/>
        <w:rPr>
          <w:rFonts w:ascii="Times New Roman" w:hAnsi="Times New Roman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720"/>
        <w:rPr>
          <w:rFonts w:eastAsia="黑体"/>
          <w:lang w:val="zh-CN"/>
        </w:rPr>
      </w:pPr>
      <w:r>
        <w:rPr>
          <w:rFonts w:eastAsia="黑体"/>
        </w:rPr>
        <w:t>一、</w:t>
      </w:r>
      <w:r>
        <w:rPr>
          <w:rFonts w:eastAsia="黑体"/>
          <w:lang w:val="zh-CN"/>
        </w:rPr>
        <w:t>项目概况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（一）项目基本情况。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lang w:val="zh-CN"/>
        </w:rPr>
        <w:t>1</w:t>
      </w:r>
      <w:r>
        <w:rPr>
          <w:rFonts w:hint="eastAsia"/>
          <w:lang w:val="en-US" w:eastAsia="zh-CN"/>
        </w:rPr>
        <w:t xml:space="preserve">. </w:t>
      </w:r>
      <w:r>
        <w:rPr>
          <w:rFonts w:eastAsia="仿宋_GB2312"/>
          <w:kern w:val="0"/>
          <w:sz w:val="32"/>
          <w:szCs w:val="32"/>
        </w:rPr>
        <w:t>说明项目主管部门（单位）在该项目管理中的职能。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根据区经济和信息化局三定方案中的职能职责，</w:t>
      </w:r>
      <w:r>
        <w:rPr>
          <w:rFonts w:ascii="Times New Roman" w:hAnsi="Times New Roman" w:eastAsia="仿宋_GB2312" w:cs="Times New Roman"/>
          <w:sz w:val="32"/>
          <w:szCs w:val="32"/>
        </w:rPr>
        <w:t>组织国家产业政策在我区的具体实施工作;监督、检查实施国家产业政策执行情况;指导产业结构调整，负责全区地方工业结构和布局调整，提出重点行业和重点产品调整方案。指导地方工业企业技术改造、技术创新、技术引进工作;负责全区技术改造管理，研究制定全区技术改造投资中、长期规划和鼓励企业技术创新的政策措施并组织实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2. 项目立项、资金申报的依据。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该项目主要用于促进全区工业发展的需求，包括兑现区级奖励资金、招商引资政策、承办各类大型会议、相关行业规划等。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3．资金管理办法制定情况，资金支持具体项目的条件、范围与支持方式概况。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资金严格按照财政相关要求进行管理，按流程使用专项资金。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4. 资金分配的原则及考虑因素。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该项目的资金按申请金额直接拨付乙方，不存在资金分配的情况。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（二）项目绩效目标。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1. 项目主要内容。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用于兑现招商引资优惠政策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地企协作目标考核奖励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区级鼓励工业转型发展奖励资金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市级产业扶持政策资金配套资金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2. 项目应实现的具体绩效目标，包括目标的量化、细化情况以及项目实施进度计划等。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兑现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企业招商引资政策、兑现区级鼓励工业转型发展奖励资金，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通过专项资金的投入，引进新技术、新材料，促进工业经济可持续性发展。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3. 分析评价申报内容是否与实际相符，申报目标是否合理可行。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所有申报内容与具体实施内容相符，申报目标合理可行。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（三）项目自评步骤及方法。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由分管领导根据文件签署办理意见，再由具体经办人员草拟自评报告后送分管领导初审，最后报主管领导审核后上报区财政局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二、项目资金申报及使用情况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该项目年初申请预算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1000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批复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1000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万元，年中无预算调整。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楷体_GB2312"/>
          <w:b/>
          <w:lang w:val="zh-CN"/>
        </w:rPr>
        <w:t>（二）资金计划、到位及使用情况（可用表格形式反映）。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楷体_GB2312"/>
          <w:lang w:val="zh-CN"/>
        </w:rPr>
        <w:t>1．资金计划。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该项资金为全额财政一次性拨款，无自筹或其他渠道拨款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eastAsia="楷体_GB2312"/>
          <w:lang w:val="zh-CN"/>
        </w:rPr>
        <w:t>2．资金到位。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该项资金按总体预算、分项划拨的原则进行安排。东区经信局逐笔对需支付的金额向上申报资金拨付，资金到位率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100%。</w:t>
      </w:r>
    </w:p>
    <w:p>
      <w:pPr>
        <w:adjustRightInd w:val="0"/>
        <w:snapToGrid w:val="0"/>
        <w:spacing w:line="600" w:lineRule="exact"/>
        <w:ind w:firstLine="72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eastAsia="楷体_GB2312"/>
          <w:lang w:val="zh-CN"/>
        </w:rPr>
        <w:t>3．资金使用。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年全年，共使用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工业发展专项资金0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万元。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资金支付范围、支付标准、支付进度、支付依据等合规合法、与预算相符。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（三）项目财务管理情况。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经费严格按照财务管理制度进行管理，保证专款专用，不存在截留、滞留、挤占、挪用、套取、虚报、冒领的问题，所有支出均以转账方式进行，财务手续齐全。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三、项目实施及管理情况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（一）项目组织架构及实施流程。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1.申请划拨资金文件拟定；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2.上报区政府相关领导审阅；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3.区财政局下达资金批复；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楷体_GB2312"/>
          <w:b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4.按文件规定支付资金。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楷体_GB2312"/>
          <w:b/>
          <w:lang w:val="zh-CN"/>
        </w:rPr>
        <w:t>（二）项目管理情况。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严格按照报销内容划分支出项目，不得随意变更支出内容。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eastAsia="楷体_GB2312"/>
          <w:b/>
          <w:lang w:val="zh-CN"/>
        </w:rPr>
        <w:t>（三）项目监管情况。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制定财政管理制度，严格按照预算内容使用资金，层层上报资金使用计划，层层审批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黑体"/>
        </w:rPr>
        <w:t>四、项目绩效情况</w:t>
      </w:r>
      <w:r>
        <w:rPr>
          <w:lang w:val="zh-CN"/>
        </w:rPr>
        <w:tab/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firstLine="66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牵头重点工业项目共计19个，总投资达24.4亿元，各项目均顺利推进，其中鼎星钛业减排提质技改项目1个项目竣工投产，总投资达0.2亿元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；矿业公司攀枝花铁矿铁路排土场资源综合利用项目、钒钛磁铁矿绿色高效选矿创新技改工程项目、攀矿密地选厂提质改造3个项目已进行试生产，总投资达5.3亿元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；攀钢钒能动分公司100兆瓦余热余能利用发电二期工程项目、炼铁厂贮煤筒仓建设工程项目、废旧资源综合利用项目、年处理40万吨废钢加工中心及报废机动车回收拆解二期项目、同悦钢结构生产线智能化改造项目、钒钛磁铁矿尾矿提钛，能动网架等8个项目正在加快建设，总投资约16亿元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；攀钢矿业朱兰铁矿智能产线建设项目、攀钢钒钛数智化管控中心建设7个项目正在加快前期，总投资达约2.9亿元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，正在加快前期。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（二）项目效益情况。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2023年，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东区规模以上工业企业实现工业总产值954.2亿元，同比下降1.4%。实现规上工业增加值增速8.2%，增速在三区两县中与盐边县并列第二。分别高于全省（6.2%）、全市（7.3%）平均水平2、0.9个百分点。全区工业投资和工业性技改投资分别完成62.9亿元、39.6亿元，分别同比增长15.2%、13.7%。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五、评价结论及建议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（一）评价结论。</w:t>
      </w:r>
    </w:p>
    <w:p>
      <w:pPr>
        <w:pStyle w:val="3"/>
        <w:spacing w:line="353" w:lineRule="auto"/>
        <w:ind w:firstLine="640" w:firstLineChars="200"/>
        <w:jc w:val="left"/>
        <w:rPr>
          <w:rFonts w:hint="eastAsia" w:ascii="楷体" w:hAnsi="楷体" w:eastAsia="楷体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积极为企业争取各类补助资金，缓解企业经营困难，坚定企业发展信心，促进东区工业经济可持续发展。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（二）存在的问题。</w:t>
      </w:r>
    </w:p>
    <w:p>
      <w:pPr>
        <w:adjustRightInd w:val="0"/>
        <w:snapToGrid w:val="0"/>
        <w:spacing w:line="600" w:lineRule="exact"/>
        <w:ind w:firstLine="720"/>
        <w:jc w:val="left"/>
        <w:rPr>
          <w:lang w:val="zh-CN"/>
        </w:rPr>
      </w:pPr>
      <w:r>
        <w:rPr>
          <w:rFonts w:hint="eastAsia" w:cs="Times New Roman"/>
          <w:kern w:val="0"/>
          <w:sz w:val="32"/>
          <w:szCs w:val="32"/>
          <w:lang w:val="en-US" w:eastAsia="zh-CN"/>
        </w:rPr>
        <w:t>一是受东区财政资金缩减，未开展区及奖励资金的申报和兑现工作；二是受市场环境影响，部分招商引资企业项目建设滞后，未能达到当年进度。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（三）相关建议。</w:t>
      </w:r>
    </w:p>
    <w:p>
      <w:pPr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加强对绩效目标的执行率。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4E7EB9-12B3-4786-A5B4-38D70B2EEA3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0CF1115-0376-4C27-B538-D8A3303B8F4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C411542-71EF-4CAD-A877-8317245ED9A9}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F519797-8C79-4F01-8BDD-60E66D40088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05883D27-0970-4EC5-9456-CA733CD6DAA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2835A14-EE40-49D5-9414-4EB9FA22C76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AC4528E3-3D39-4485-AA67-AC9B2BE0CA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MWEyZTdhOWEzNDg3OTYzNWY4ZGM0ZjFlNTk0NjMifQ=="/>
  </w:docVars>
  <w:rsids>
    <w:rsidRoot w:val="771D4D51"/>
    <w:rsid w:val="003E0697"/>
    <w:rsid w:val="005D58B1"/>
    <w:rsid w:val="00637E6D"/>
    <w:rsid w:val="009137C6"/>
    <w:rsid w:val="00993141"/>
    <w:rsid w:val="009C6802"/>
    <w:rsid w:val="00A51A86"/>
    <w:rsid w:val="00B04AD2"/>
    <w:rsid w:val="00B40FFC"/>
    <w:rsid w:val="00EB3EED"/>
    <w:rsid w:val="00F5599D"/>
    <w:rsid w:val="1C25106F"/>
    <w:rsid w:val="220D7C6D"/>
    <w:rsid w:val="22AD555F"/>
    <w:rsid w:val="2AF86ED7"/>
    <w:rsid w:val="2B385C88"/>
    <w:rsid w:val="31525A7B"/>
    <w:rsid w:val="35874596"/>
    <w:rsid w:val="53D1487A"/>
    <w:rsid w:val="629F5172"/>
    <w:rsid w:val="74A708C5"/>
    <w:rsid w:val="771D4D51"/>
    <w:rsid w:val="F1F6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仿宋_GB2312"/>
      <w:sz w:val="32"/>
      <w:szCs w:val="24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customStyle="1" w:styleId="8">
    <w:name w:val="默认"/>
    <w:basedOn w:val="1"/>
    <w:next w:val="1"/>
    <w:qFormat/>
    <w:uiPriority w:val="0"/>
    <w:pPr>
      <w:widowControl/>
    </w:pPr>
    <w:rPr>
      <w:rFonts w:ascii="Helvetica Neue" w:hAnsi="Helvetica Neue" w:eastAsia="Arial Unicode MS" w:cs="Arial Unicode MS"/>
      <w:color w:val="000000"/>
      <w:sz w:val="22"/>
    </w:rPr>
  </w:style>
  <w:style w:type="paragraph" w:customStyle="1" w:styleId="9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1649</Words>
  <Characters>1716</Characters>
  <Lines>9</Lines>
  <Paragraphs>2</Paragraphs>
  <TotalTime>0</TotalTime>
  <ScaleCrop>false</ScaleCrop>
  <LinksUpToDate>false</LinksUpToDate>
  <CharactersWithSpaces>1723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2020-07-01T00:13:00Z</dcterms:created>
  <dc:creator>Administrator</dc:creator>
  <cp:lastModifiedBy>黄均</cp:lastModifiedBy>
  <dcterms:modified xsi:type="dcterms:W3CDTF">2024-06-24T02:24:21Z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E12571B580F34CD6ACB960832812AB11_13</vt:lpwstr>
  </property>
</Properties>
</file>