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附件4</w:t>
      </w:r>
    </w:p>
    <w:p>
      <w:pPr>
        <w:pStyle w:val="8"/>
        <w:spacing w:line="600" w:lineRule="exact"/>
        <w:jc w:val="center"/>
        <w:rPr>
          <w:rFonts w:hint="default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攀枝花市东区经济和信息化局</w:t>
      </w:r>
    </w:p>
    <w:p>
      <w:pPr>
        <w:pStyle w:val="8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  <w:t>202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/>
        </w:rPr>
        <w:t>年度地企协作工作经费</w:t>
      </w: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绩效自评报告</w:t>
      </w:r>
    </w:p>
    <w:p>
      <w:pPr>
        <w:pStyle w:val="8"/>
        <w:spacing w:line="600" w:lineRule="exact"/>
        <w:ind w:firstLine="883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（主管部门自评）</w:t>
      </w:r>
    </w:p>
    <w:p>
      <w:pPr>
        <w:pStyle w:val="8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 xml:space="preserve">. </w:t>
      </w:r>
      <w:r>
        <w:rPr>
          <w:rFonts w:eastAsia="仿宋_GB2312"/>
          <w:kern w:val="0"/>
          <w:sz w:val="32"/>
          <w:szCs w:val="32"/>
        </w:rPr>
        <w:t>说明项目主管部门（单位）在该项目管理中的职能。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根据区经济和信息化局三定方案中的职能职责，负责全区地企协作工作。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项目立项、资金申报的依据。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根据攀东府办【2011】84号文件，主要用于与辖区大企业交流及协作方面。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3．资金管理办法制定情况，资金支持具体项目的条件、范围与支持方式概况。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资金严格按照财政相关要求进行管理，按流程使用专项资金。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4. 资金分配的原则及考虑因素。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该项目的资金按具体工作内容分为办公经费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5万元、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会议费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0.5万元、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2万元、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其他商品和服务支出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1. 项目主要内容。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依托全市“攀钢</w:t>
      </w:r>
      <w:r>
        <w:rPr>
          <w:rFonts w:hint="eastAsia"/>
          <w:kern w:val="0"/>
          <w:sz w:val="32"/>
          <w:szCs w:val="32"/>
          <w:lang w:val="en-US" w:eastAsia="zh-CN"/>
        </w:rPr>
        <w:t>钒钛产业生态圈</w:t>
      </w:r>
      <w:r>
        <w:rPr>
          <w:rFonts w:hint="eastAsia" w:eastAsia="仿宋_GB2312"/>
          <w:kern w:val="0"/>
          <w:sz w:val="32"/>
          <w:szCs w:val="32"/>
        </w:rPr>
        <w:t>”的打造，一是促进攀钢等大企业与地方企业的合作配套，以大带小的模式推进东区工业经济的发展；二是依托攀钢的供需情况，引进新企业、新项目，形成完成的产业链，形成东区工业经济新的增长点。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项目应实现的具体绩效目标，包括目标的量化、细化情况以及项目实施进度计划等。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年保持与攀钢集团及其下属相关公司和钢城集团、十九冶、西昌车务段、电力公司等单位的紧密联系，努力争取在地企贸易、指标报送、固定资产投资、项目合作、土地供应等方面对东区的大力支持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地企贸易额</w:t>
      </w:r>
      <w:r>
        <w:rPr>
          <w:rFonts w:hint="eastAsia" w:eastAsia="仿宋_GB2312"/>
          <w:kern w:val="0"/>
          <w:sz w:val="32"/>
          <w:szCs w:val="32"/>
          <w:lang w:eastAsia="zh-CN"/>
        </w:rPr>
        <w:t>实现正增长。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3. 分析评价申报内容是否与实际相符，申报目标是否合理可行。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所有申报内容与具体实施内容相符，申报目标合理可行。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由分管领导根据文件签署办理意见，再由具体经办人员草拟自评报告后送分管领导初审，最后报主管领导审核后上报区财政局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该项目年初申请预算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批复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万元，年中无预算调整。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该项资金为全额财政一次性拨款，无自筹或其他渠道拨款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该项资金年初预算下达时一次性到位，到位率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100%。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年全年，共使用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地企协作工作经费6.53万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资金支付范围、支付标准、支付进度、支付依据等合规合法、与预算相符。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经费严格按照财务管理制度进行管理，保证专款专用，不存在截留、滞留、挤占、挪用、套取、虚报、冒领的问题，所有支出均以转账方式进行，财务手续齐全。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具体经办人员填写报销凭证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分管领导审核、主要领导签字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财务人员填写支付申请书报分管领导、主要领导签字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按规定5000元及以上支出需召开局班子会商议；1万元及以上支出需请分管区领导签字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严格按照报销内容划分支出项目，不得随意变更支出内容。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制定财政管理制度，严格按照预算内容使用资金，层层上报资金使用计划，层层审批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主动对接市环境能源集团、十九冶物业公司、钢城集团了解其发展经营情况、新项目的拟投资情况；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协调解决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钢城企业公司瑞矿选矿尾砂提钛、提铁综合利用项目的供地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历史遗留问题，确保项目顺利开工建设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；牵头做好南方炼油厂的盘活工作</w:t>
      </w:r>
      <w:r>
        <w:rPr>
          <w:rFonts w:hint="eastAsia" w:ascii="仿宋_GB2312" w:hAnsi="仿宋_GB2312" w:cs="仿宋_GB2312"/>
          <w:color w:val="auto"/>
          <w:kern w:val="2"/>
          <w:sz w:val="32"/>
          <w:szCs w:val="24"/>
          <w:lang w:val="en-US" w:eastAsia="zh-CN" w:bidi="ar-SA"/>
        </w:rPr>
        <w:t>。召开地企协作项目推进会议4次，对接大企业项目5个。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lang w:val="zh-CN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紧密围绕攀钢，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带动地方中小企业发展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  <w:t>地企贸易额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/>
        </w:rPr>
        <w:t>实现</w:t>
      </w:r>
      <w:r>
        <w:rPr>
          <w:rFonts w:hint="eastAsia" w:cs="Times New Roman"/>
          <w:kern w:val="2"/>
          <w:sz w:val="32"/>
          <w:szCs w:val="32"/>
          <w:shd w:val="clear" w:color="auto" w:fill="FFFFFF"/>
          <w:lang w:val="en-US" w:eastAsia="zh-CN"/>
        </w:rPr>
        <w:t>30.65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pStyle w:val="3"/>
        <w:spacing w:line="353" w:lineRule="auto"/>
        <w:ind w:firstLine="640" w:firstLineChars="200"/>
        <w:jc w:val="left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年继续夯实东区与大企业大集团的衔接工作，</w:t>
      </w:r>
      <w:r>
        <w:rPr>
          <w:rFonts w:ascii="Times New Roman" w:hAnsi="Times New Roman" w:eastAsia="仿宋_GB2312" w:cs="Times New Roman"/>
          <w:sz w:val="32"/>
          <w:szCs w:val="32"/>
        </w:rPr>
        <w:t>利用东区作为主城区以及攀钢集团大平台的优势，通过攀钢供应链、贸易链共同围绕攀钢产业链开展招商引资、引智、引才工作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受</w:t>
      </w:r>
      <w:r>
        <w:rPr>
          <w:rFonts w:hint="eastAsia"/>
          <w:kern w:val="0"/>
          <w:sz w:val="32"/>
          <w:szCs w:val="32"/>
          <w:lang w:val="en-US" w:eastAsia="zh-CN"/>
        </w:rPr>
        <w:t>市场行情影响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/>
          <w:kern w:val="0"/>
          <w:sz w:val="32"/>
          <w:szCs w:val="32"/>
          <w:lang w:val="en-US" w:eastAsia="zh-CN"/>
        </w:rPr>
        <w:t>地企协作贸易额未能实现正增长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加强对绩效目标的执行率。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11AC08-5E18-48A5-8F11-47F65D21EF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14DB06-5DF4-4D36-BCA8-A8A515957BFF}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B87942F-35AA-454E-84C1-A038CE74CA1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9A72743-4A7B-4282-8CE1-2BFC4DBBF3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6CB2A51-B273-454C-A39D-026CC40A369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WEyZTdhOWEzNDg3OTYzNWY4ZGM0ZjFlNTk0NjMifQ=="/>
  </w:docVars>
  <w:rsids>
    <w:rsidRoot w:val="771D4D51"/>
    <w:rsid w:val="003E0697"/>
    <w:rsid w:val="005D58B1"/>
    <w:rsid w:val="00637E6D"/>
    <w:rsid w:val="009137C6"/>
    <w:rsid w:val="00993141"/>
    <w:rsid w:val="009C6802"/>
    <w:rsid w:val="00A51A86"/>
    <w:rsid w:val="00B04AD2"/>
    <w:rsid w:val="00B40FFC"/>
    <w:rsid w:val="00EB3EED"/>
    <w:rsid w:val="00F5599D"/>
    <w:rsid w:val="1C25106F"/>
    <w:rsid w:val="220D7C6D"/>
    <w:rsid w:val="22AD555F"/>
    <w:rsid w:val="241412F8"/>
    <w:rsid w:val="2AF86ED7"/>
    <w:rsid w:val="2B385C88"/>
    <w:rsid w:val="35874596"/>
    <w:rsid w:val="52AB1BAD"/>
    <w:rsid w:val="53D1487A"/>
    <w:rsid w:val="5F0A3FCB"/>
    <w:rsid w:val="62194A63"/>
    <w:rsid w:val="74A708C5"/>
    <w:rsid w:val="771D4D51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默认"/>
    <w:basedOn w:val="1"/>
    <w:next w:val="1"/>
    <w:qFormat/>
    <w:uiPriority w:val="0"/>
    <w:pPr>
      <w:widowControl/>
    </w:pPr>
    <w:rPr>
      <w:rFonts w:ascii="Helvetica Neue" w:hAnsi="Helvetica Neue" w:eastAsia="Arial Unicode MS" w:cs="Arial Unicode MS"/>
      <w:color w:val="000000"/>
      <w:sz w:val="2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1649</Words>
  <Characters>1716</Characters>
  <Lines>9</Lines>
  <Paragraphs>2</Paragraphs>
  <TotalTime>30</TotalTime>
  <ScaleCrop>false</ScaleCrop>
  <LinksUpToDate>false</LinksUpToDate>
  <CharactersWithSpaces>1723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黄均</cp:lastModifiedBy>
  <dcterms:modified xsi:type="dcterms:W3CDTF">2024-06-24T02:12:33Z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26216FAD50C8426F88D44BD4D1BBF3D2_12</vt:lpwstr>
  </property>
</Properties>
</file>