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jc w:val="center"/>
        <w:rPr>
          <w:rFonts w:hint="eastAsia" w:eastAsia="宋体"/>
          <w:b/>
          <w:sz w:val="44"/>
          <w:szCs w:val="44"/>
          <w:shd w:val="clear" w:color="auto" w:fill="FFFFFF"/>
          <w:lang w:val="en-US" w:eastAsia="zh-CN"/>
        </w:rPr>
      </w:pPr>
      <w:r>
        <w:rPr>
          <w:rFonts w:hint="eastAsia" w:eastAsia="宋体"/>
          <w:b/>
          <w:sz w:val="44"/>
          <w:szCs w:val="44"/>
          <w:shd w:val="clear" w:color="auto" w:fill="FFFFFF"/>
          <w:lang w:val="en-US" w:eastAsia="zh-CN"/>
        </w:rPr>
        <w:t>攀枝花市东区疾病预防控制中心</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w:t>
      </w:r>
      <w:r>
        <w:rPr>
          <w:rFonts w:hint="eastAsia" w:eastAsia="宋体"/>
          <w:b/>
          <w:sz w:val="44"/>
          <w:szCs w:val="44"/>
          <w:shd w:val="clear" w:color="auto" w:fill="FFFFFF"/>
          <w:lang w:val="en-US" w:eastAsia="zh-CN"/>
        </w:rPr>
        <w:t>3</w:t>
      </w:r>
      <w:r>
        <w:rPr>
          <w:rFonts w:hint="eastAsia" w:eastAsia="宋体"/>
          <w:b/>
          <w:sz w:val="44"/>
          <w:szCs w:val="44"/>
          <w:shd w:val="clear" w:color="auto" w:fill="FFFFFF"/>
        </w:rPr>
        <w:t>年度区</w:t>
      </w:r>
      <w:r>
        <w:rPr>
          <w:rFonts w:eastAsia="宋体"/>
          <w:b/>
          <w:sz w:val="44"/>
          <w:szCs w:val="44"/>
          <w:shd w:val="clear" w:color="auto" w:fill="FFFFFF"/>
        </w:rPr>
        <w:t>级部门整体支出</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绩效评价报告</w:t>
      </w:r>
    </w:p>
    <w:p>
      <w:pPr>
        <w:adjustRightInd w:val="0"/>
        <w:snapToGrid w:val="0"/>
        <w:spacing w:line="353" w:lineRule="auto"/>
        <w:ind w:firstLine="720"/>
        <w:rPr>
          <w:szCs w:val="32"/>
        </w:rPr>
      </w:pPr>
    </w:p>
    <w:p>
      <w:pPr>
        <w:adjustRightInd w:val="0"/>
        <w:snapToGrid w:val="0"/>
        <w:spacing w:line="353" w:lineRule="auto"/>
        <w:ind w:firstLine="720"/>
        <w:rPr>
          <w:rFonts w:eastAsia="黑体"/>
          <w:color w:val="000000"/>
          <w:kern w:val="0"/>
          <w:sz w:val="24"/>
          <w:szCs w:val="32"/>
          <w:shd w:val="clear" w:color="auto" w:fill="FFFFFF"/>
        </w:rPr>
      </w:pPr>
      <w:r>
        <w:rPr>
          <w:szCs w:val="32"/>
        </w:rPr>
        <w:t>根据东区财政局《关于开展 20</w:t>
      </w:r>
      <w:r>
        <w:rPr>
          <w:rFonts w:hint="eastAsia"/>
          <w:szCs w:val="32"/>
          <w:lang w:val="en-US" w:eastAsia="zh-CN"/>
        </w:rPr>
        <w:t>23</w:t>
      </w:r>
      <w:r>
        <w:rPr>
          <w:szCs w:val="32"/>
        </w:rPr>
        <w:t>年</w:t>
      </w:r>
      <w:r>
        <w:rPr>
          <w:rFonts w:hint="eastAsia"/>
          <w:szCs w:val="32"/>
        </w:rPr>
        <w:t>度预算</w:t>
      </w:r>
      <w:r>
        <w:rPr>
          <w:szCs w:val="32"/>
        </w:rPr>
        <w:t>绩效评</w:t>
      </w:r>
      <w:r>
        <w:rPr>
          <w:rFonts w:hint="eastAsia"/>
          <w:szCs w:val="32"/>
        </w:rPr>
        <w:t>自评</w:t>
      </w:r>
      <w:r>
        <w:rPr>
          <w:szCs w:val="32"/>
        </w:rPr>
        <w:t>工作的通知》（攀东财[20</w:t>
      </w:r>
      <w:r>
        <w:rPr>
          <w:rFonts w:hint="eastAsia"/>
          <w:szCs w:val="32"/>
        </w:rPr>
        <w:t>2</w:t>
      </w:r>
      <w:r>
        <w:rPr>
          <w:rFonts w:hint="eastAsia"/>
          <w:szCs w:val="32"/>
          <w:lang w:val="en-US" w:eastAsia="zh-CN"/>
        </w:rPr>
        <w:t>4</w:t>
      </w:r>
      <w:r>
        <w:rPr>
          <w:szCs w:val="32"/>
        </w:rPr>
        <w:t>]</w:t>
      </w:r>
      <w:r>
        <w:rPr>
          <w:rFonts w:hint="eastAsia"/>
          <w:szCs w:val="32"/>
        </w:rPr>
        <w:t>3</w:t>
      </w:r>
      <w:r>
        <w:rPr>
          <w:rFonts w:hint="eastAsia"/>
          <w:szCs w:val="32"/>
          <w:lang w:val="en-US" w:eastAsia="zh-CN"/>
        </w:rPr>
        <w:t>4</w:t>
      </w:r>
      <w:r>
        <w:rPr>
          <w:szCs w:val="32"/>
        </w:rPr>
        <w:t>号）文件要求，区疾控中心在自评的基础上，对中心20</w:t>
      </w:r>
      <w:r>
        <w:rPr>
          <w:rFonts w:hint="eastAsia"/>
          <w:szCs w:val="32"/>
        </w:rPr>
        <w:t>2</w:t>
      </w:r>
      <w:r>
        <w:rPr>
          <w:rFonts w:hint="eastAsia"/>
          <w:szCs w:val="32"/>
          <w:lang w:val="en-US" w:eastAsia="zh-CN"/>
        </w:rPr>
        <w:t>3</w:t>
      </w:r>
      <w:r>
        <w:rPr>
          <w:szCs w:val="32"/>
        </w:rPr>
        <w:t>年度部门预算支出进行了绩效评价，现将相关绩效评价情况报告如下:</w:t>
      </w:r>
    </w:p>
    <w:p>
      <w:pPr>
        <w:widowControl/>
        <w:adjustRightInd w:val="0"/>
        <w:snapToGrid w:val="0"/>
        <w:spacing w:line="580" w:lineRule="exact"/>
        <w:ind w:firstLine="640" w:firstLineChars="200"/>
        <w:contextualSpacing/>
        <w:jc w:val="left"/>
        <w:rPr>
          <w:rFonts w:eastAsia="黑体"/>
          <w:color w:val="000000"/>
          <w:kern w:val="0"/>
          <w:szCs w:val="32"/>
          <w:highlight w:val="none"/>
          <w:shd w:val="clear" w:color="auto" w:fill="FFFFFF"/>
          <w:lang w:val="zh-CN"/>
        </w:rPr>
      </w:pPr>
      <w:r>
        <w:rPr>
          <w:rFonts w:eastAsia="黑体"/>
          <w:color w:val="000000"/>
          <w:kern w:val="0"/>
          <w:szCs w:val="32"/>
          <w:highlight w:val="none"/>
          <w:shd w:val="clear" w:color="auto" w:fill="FFFFFF"/>
        </w:rPr>
        <w:t>一、</w:t>
      </w:r>
      <w:r>
        <w:rPr>
          <w:rFonts w:eastAsia="黑体"/>
          <w:color w:val="000000"/>
          <w:kern w:val="0"/>
          <w:szCs w:val="32"/>
          <w:highlight w:val="none"/>
          <w:shd w:val="clear" w:color="auto" w:fill="FFFFFF"/>
          <w:lang w:val="zh-CN"/>
        </w:rPr>
        <w:t>部门（单位）概况</w:t>
      </w:r>
      <w:bookmarkStart w:id="0" w:name="_GoBack"/>
      <w:bookmarkEnd w:id="0"/>
    </w:p>
    <w:p>
      <w:pPr>
        <w:widowControl/>
        <w:adjustRightInd w:val="0"/>
        <w:snapToGrid w:val="0"/>
        <w:spacing w:line="580" w:lineRule="exact"/>
        <w:ind w:firstLine="640" w:firstLineChars="200"/>
        <w:contextualSpacing/>
        <w:jc w:val="left"/>
        <w:rPr>
          <w:color w:val="000000"/>
          <w:kern w:val="0"/>
          <w:szCs w:val="32"/>
          <w:highlight w:val="none"/>
          <w:shd w:val="clear" w:color="auto" w:fill="FFFFFF"/>
          <w:lang w:val="zh-CN"/>
        </w:rPr>
      </w:pPr>
      <w:r>
        <w:rPr>
          <w:color w:val="000000"/>
          <w:kern w:val="0"/>
          <w:szCs w:val="32"/>
          <w:highlight w:val="none"/>
          <w:shd w:val="clear" w:color="auto" w:fill="FFFFFF"/>
          <w:lang w:val="zh-CN"/>
        </w:rPr>
        <w:t>（一）机构组成。</w:t>
      </w:r>
    </w:p>
    <w:p>
      <w:pPr>
        <w:widowControl/>
        <w:adjustRightInd w:val="0"/>
        <w:snapToGrid w:val="0"/>
        <w:spacing w:line="580" w:lineRule="exact"/>
        <w:ind w:firstLine="640" w:firstLineChars="200"/>
        <w:contextualSpacing/>
        <w:jc w:val="left"/>
        <w:rPr>
          <w:color w:val="000000"/>
          <w:kern w:val="0"/>
          <w:szCs w:val="32"/>
          <w:highlight w:val="none"/>
          <w:shd w:val="clear" w:color="auto" w:fill="FFFFFF"/>
          <w:lang w:val="zh-CN"/>
        </w:rPr>
      </w:pPr>
      <w:r>
        <w:rPr>
          <w:rFonts w:hint="eastAsia"/>
          <w:color w:val="000000"/>
          <w:szCs w:val="32"/>
          <w:highlight w:val="none"/>
        </w:rPr>
        <w:t>东区疾控中心成立于2004年8月，为区财政全额拨款事业单位，2015年11月列为独立财政核算单位。内设股室9个，分别为:慢性病地方病综合防控股、公共卫生综合股、传染病综合防控股、免疫规划股、检验股、质量管理股、重大传染病防控股、健康教育</w:t>
      </w:r>
      <w:r>
        <w:rPr>
          <w:rFonts w:hint="eastAsia"/>
          <w:color w:val="000000"/>
          <w:szCs w:val="32"/>
          <w:highlight w:val="none"/>
          <w:lang w:val="en-US" w:eastAsia="zh-CN"/>
        </w:rPr>
        <w:t>股</w:t>
      </w:r>
      <w:r>
        <w:rPr>
          <w:rFonts w:hint="eastAsia"/>
          <w:color w:val="000000"/>
          <w:szCs w:val="32"/>
          <w:highlight w:val="none"/>
        </w:rPr>
        <w:t>和办公室。主要职责：疾病预防与控制、突发事件卫生事件应急处置、疫情报告及健康相关因素信息管理、健康危害因素监测与干预。实验室检测分析与评价、健康教育与健康促进、技术管理与应用研究指导。</w:t>
      </w:r>
    </w:p>
    <w:p>
      <w:pPr>
        <w:widowControl/>
        <w:numPr>
          <w:ilvl w:val="0"/>
          <w:numId w:val="1"/>
        </w:numPr>
        <w:adjustRightInd w:val="0"/>
        <w:snapToGrid w:val="0"/>
        <w:spacing w:line="580" w:lineRule="exact"/>
        <w:ind w:firstLine="640" w:firstLineChars="200"/>
        <w:contextualSpacing/>
        <w:jc w:val="left"/>
        <w:rPr>
          <w:color w:val="000000"/>
          <w:kern w:val="0"/>
          <w:szCs w:val="32"/>
          <w:highlight w:val="none"/>
          <w:shd w:val="clear" w:color="auto" w:fill="FFFFFF"/>
          <w:lang w:val="zh-CN"/>
        </w:rPr>
      </w:pPr>
      <w:r>
        <w:rPr>
          <w:color w:val="000000"/>
          <w:kern w:val="0"/>
          <w:szCs w:val="32"/>
          <w:highlight w:val="none"/>
          <w:shd w:val="clear" w:color="auto" w:fill="FFFFFF"/>
          <w:lang w:val="zh-CN"/>
        </w:rPr>
        <w:t>机构职能。</w:t>
      </w:r>
    </w:p>
    <w:p>
      <w:pPr>
        <w:widowControl/>
        <w:numPr>
          <w:ilvl w:val="0"/>
          <w:numId w:val="0"/>
        </w:numPr>
        <w:adjustRightInd w:val="0"/>
        <w:snapToGrid w:val="0"/>
        <w:spacing w:line="580" w:lineRule="exact"/>
        <w:contextualSpacing/>
        <w:jc w:val="left"/>
        <w:rPr>
          <w:rFonts w:hint="default" w:eastAsia="仿宋_GB2312"/>
          <w:color w:val="000000"/>
          <w:kern w:val="0"/>
          <w:szCs w:val="32"/>
          <w:highlight w:val="none"/>
          <w:shd w:val="clear" w:color="auto" w:fill="FFFFFF"/>
          <w:lang w:val="en-US" w:eastAsia="zh-CN"/>
        </w:rPr>
      </w:pPr>
      <w:r>
        <w:rPr>
          <w:rFonts w:hint="eastAsia"/>
          <w:color w:val="000000"/>
          <w:kern w:val="0"/>
          <w:szCs w:val="32"/>
          <w:highlight w:val="none"/>
          <w:shd w:val="clear" w:color="auto" w:fill="FFFFFF"/>
          <w:lang w:val="en-US" w:eastAsia="zh-CN"/>
        </w:rPr>
        <w:t xml:space="preserve">     </w:t>
      </w:r>
      <w:r>
        <w:rPr>
          <w:rFonts w:hint="eastAsia"/>
          <w:color w:val="000000"/>
          <w:szCs w:val="32"/>
          <w:highlight w:val="none"/>
        </w:rPr>
        <w:t>一是完成上级下达的疾病预防控制任务，负责辖区内疾病预防控制具体工作的管理和落实；负责辖区内疫苗使用管理组织实施免疫、消毒、控制病媒生物的危害；二是负责辖区内突发公共卫生事件的监测调查与信息收集报告，落实具体控制措施；三是开展病原微生物常规检验和常见污染物的检验；四是承担卫生行政</w:t>
      </w:r>
      <w:r>
        <w:rPr>
          <w:rFonts w:hint="eastAsia"/>
          <w:color w:val="000000"/>
          <w:szCs w:val="32"/>
          <w:highlight w:val="none"/>
          <w:lang w:eastAsia="zh-CN"/>
        </w:rPr>
        <w:t>部门</w:t>
      </w:r>
      <w:r>
        <w:rPr>
          <w:rFonts w:hint="eastAsia"/>
          <w:color w:val="000000"/>
          <w:szCs w:val="32"/>
          <w:highlight w:val="none"/>
        </w:rPr>
        <w:t>委托与卫生监督执法相关的检验检测任务;五是指导辖区内医疗卫生机构、城市社区卫生组织和农村乡(镇)卫生院开展卫生防病工作，负责考核和评价，对从事疾病预防控制相关工作的人员进行培训；六是负责疫情和公共卫生健康危害因素监测、报告，指导乡村和有关部门收集，报告疫情；七是开展卫生宣传教育与健康促进活动、普及卫生防病知识。</w:t>
      </w:r>
    </w:p>
    <w:p>
      <w:pPr>
        <w:widowControl/>
        <w:numPr>
          <w:ilvl w:val="0"/>
          <w:numId w:val="1"/>
        </w:numPr>
        <w:adjustRightInd w:val="0"/>
        <w:snapToGrid w:val="0"/>
        <w:spacing w:line="580" w:lineRule="exact"/>
        <w:ind w:left="0" w:leftChars="0" w:firstLine="640" w:firstLineChars="200"/>
        <w:contextualSpacing/>
        <w:jc w:val="left"/>
        <w:rPr>
          <w:color w:val="000000"/>
          <w:kern w:val="0"/>
          <w:szCs w:val="32"/>
          <w:highlight w:val="none"/>
          <w:shd w:val="clear" w:color="auto" w:fill="FFFFFF"/>
          <w:lang w:val="zh-CN"/>
        </w:rPr>
      </w:pPr>
      <w:r>
        <w:rPr>
          <w:color w:val="000000"/>
          <w:kern w:val="0"/>
          <w:szCs w:val="32"/>
          <w:highlight w:val="none"/>
          <w:shd w:val="clear" w:color="auto" w:fill="FFFFFF"/>
          <w:lang w:val="zh-CN"/>
        </w:rPr>
        <w:t>人员概况。</w:t>
      </w:r>
    </w:p>
    <w:p>
      <w:pPr>
        <w:widowControl/>
        <w:numPr>
          <w:ilvl w:val="0"/>
          <w:numId w:val="0"/>
        </w:numPr>
        <w:adjustRightInd w:val="0"/>
        <w:snapToGrid w:val="0"/>
        <w:spacing w:line="580" w:lineRule="exact"/>
        <w:ind w:firstLine="960" w:firstLineChars="300"/>
        <w:contextualSpacing/>
        <w:jc w:val="left"/>
        <w:rPr>
          <w:rFonts w:hint="eastAsia" w:eastAsia="仿宋_GB2312"/>
          <w:color w:val="000000"/>
          <w:szCs w:val="32"/>
          <w:lang w:val="en-US" w:eastAsia="zh-CN"/>
        </w:rPr>
      </w:pPr>
      <w:r>
        <w:rPr>
          <w:rFonts w:hint="eastAsia"/>
          <w:color w:val="000000"/>
          <w:szCs w:val="32"/>
          <w:highlight w:val="none"/>
        </w:rPr>
        <w:t>中心编制数33人,在编31人，空编2人。其中：25人在疾控中心工作，6名在卫健局和爱卫办工作。此外，中心财聘2人，临聘</w:t>
      </w:r>
      <w:r>
        <w:rPr>
          <w:rFonts w:hint="eastAsia"/>
          <w:color w:val="000000"/>
          <w:szCs w:val="32"/>
          <w:highlight w:val="none"/>
          <w:lang w:val="en-US" w:eastAsia="zh-CN"/>
        </w:rPr>
        <w:t>7</w:t>
      </w:r>
      <w:r>
        <w:rPr>
          <w:rFonts w:hint="eastAsia"/>
          <w:color w:val="000000"/>
          <w:szCs w:val="32"/>
          <w:highlight w:val="none"/>
        </w:rPr>
        <w:t>人，</w:t>
      </w:r>
      <w:r>
        <w:rPr>
          <w:rFonts w:hint="eastAsia"/>
          <w:color w:val="000000"/>
          <w:szCs w:val="32"/>
          <w:highlight w:val="none"/>
          <w:lang w:eastAsia="zh-CN"/>
        </w:rPr>
        <w:t>公共卫生服务岗</w:t>
      </w:r>
      <w:r>
        <w:rPr>
          <w:rFonts w:hint="eastAsia"/>
          <w:color w:val="000000"/>
          <w:szCs w:val="32"/>
          <w:highlight w:val="none"/>
          <w:lang w:val="en-US" w:eastAsia="zh-CN"/>
        </w:rPr>
        <w:t>3人，</w:t>
      </w:r>
      <w:r>
        <w:rPr>
          <w:rFonts w:hint="eastAsia"/>
          <w:color w:val="000000"/>
          <w:szCs w:val="32"/>
          <w:highlight w:val="none"/>
        </w:rPr>
        <w:t>基层医疗机构借聘3人。实际工作人员4</w:t>
      </w:r>
      <w:r>
        <w:rPr>
          <w:rFonts w:hint="eastAsia"/>
          <w:color w:val="000000"/>
          <w:szCs w:val="32"/>
          <w:highlight w:val="none"/>
          <w:lang w:val="en-US" w:eastAsia="zh-CN"/>
        </w:rPr>
        <w:t>0</w:t>
      </w:r>
      <w:r>
        <w:rPr>
          <w:rFonts w:hint="eastAsia"/>
          <w:color w:val="000000"/>
          <w:szCs w:val="32"/>
          <w:highlight w:val="none"/>
        </w:rPr>
        <w:t>人。离退休人员12人。实际工作4</w:t>
      </w:r>
      <w:r>
        <w:rPr>
          <w:rFonts w:hint="eastAsia"/>
          <w:color w:val="000000"/>
          <w:szCs w:val="32"/>
          <w:highlight w:val="none"/>
          <w:lang w:val="en-US" w:eastAsia="zh-CN"/>
        </w:rPr>
        <w:t>0</w:t>
      </w:r>
      <w:r>
        <w:rPr>
          <w:rFonts w:hint="eastAsia"/>
          <w:color w:val="000000"/>
          <w:szCs w:val="32"/>
          <w:highlight w:val="none"/>
        </w:rPr>
        <w:t>人中，学历：研究生2人、本科</w:t>
      </w:r>
      <w:r>
        <w:rPr>
          <w:rFonts w:hint="eastAsia"/>
          <w:color w:val="000000"/>
          <w:szCs w:val="32"/>
          <w:highlight w:val="none"/>
          <w:lang w:val="en-US" w:eastAsia="zh-CN"/>
        </w:rPr>
        <w:t>29</w:t>
      </w:r>
      <w:r>
        <w:rPr>
          <w:rFonts w:hint="eastAsia"/>
          <w:color w:val="000000"/>
          <w:szCs w:val="32"/>
          <w:highlight w:val="none"/>
        </w:rPr>
        <w:t>人、大</w:t>
      </w:r>
      <w:r>
        <w:rPr>
          <w:rFonts w:hint="eastAsia"/>
          <w:color w:val="000000"/>
          <w:szCs w:val="32"/>
          <w:highlight w:val="none"/>
          <w:lang w:val="en-US" w:eastAsia="zh-CN"/>
        </w:rPr>
        <w:t>专6</w:t>
      </w:r>
      <w:r>
        <w:rPr>
          <w:rFonts w:hint="eastAsia"/>
          <w:color w:val="000000"/>
          <w:szCs w:val="32"/>
          <w:highlight w:val="none"/>
        </w:rPr>
        <w:t>人、中专3人。职称：专业技术岗高级4人、中级</w:t>
      </w:r>
      <w:r>
        <w:rPr>
          <w:rFonts w:hint="eastAsia"/>
          <w:color w:val="000000"/>
          <w:szCs w:val="32"/>
          <w:highlight w:val="none"/>
          <w:lang w:val="en-US" w:eastAsia="zh-CN"/>
        </w:rPr>
        <w:t>8</w:t>
      </w:r>
      <w:r>
        <w:rPr>
          <w:rFonts w:hint="eastAsia"/>
          <w:color w:val="000000"/>
          <w:szCs w:val="32"/>
          <w:highlight w:val="none"/>
        </w:rPr>
        <w:t>人、初级</w:t>
      </w:r>
      <w:r>
        <w:rPr>
          <w:rFonts w:hint="eastAsia"/>
          <w:color w:val="000000"/>
          <w:szCs w:val="32"/>
          <w:highlight w:val="none"/>
          <w:lang w:val="en-US" w:eastAsia="zh-CN"/>
        </w:rPr>
        <w:t>13</w:t>
      </w:r>
      <w:r>
        <w:rPr>
          <w:rFonts w:hint="eastAsia"/>
          <w:color w:val="000000"/>
          <w:szCs w:val="32"/>
          <w:highlight w:val="none"/>
        </w:rPr>
        <w:t>人，管理岗位七级</w:t>
      </w:r>
      <w:r>
        <w:rPr>
          <w:rFonts w:hint="eastAsia"/>
          <w:color w:val="000000"/>
          <w:szCs w:val="32"/>
          <w:highlight w:val="none"/>
          <w:lang w:val="en-US" w:eastAsia="zh-CN"/>
        </w:rPr>
        <w:t>2</w:t>
      </w:r>
      <w:r>
        <w:rPr>
          <w:rFonts w:hint="eastAsia"/>
          <w:color w:val="000000"/>
          <w:szCs w:val="32"/>
          <w:highlight w:val="none"/>
        </w:rPr>
        <w:t>人、八级</w:t>
      </w:r>
      <w:r>
        <w:rPr>
          <w:rFonts w:hint="eastAsia"/>
          <w:color w:val="000000"/>
          <w:szCs w:val="32"/>
          <w:highlight w:val="none"/>
          <w:lang w:val="en-US" w:eastAsia="zh-CN"/>
        </w:rPr>
        <w:t>3</w:t>
      </w:r>
      <w:r>
        <w:rPr>
          <w:rFonts w:hint="eastAsia"/>
          <w:color w:val="000000"/>
          <w:szCs w:val="32"/>
          <w:highlight w:val="none"/>
        </w:rPr>
        <w:t>人、九级</w:t>
      </w:r>
      <w:r>
        <w:rPr>
          <w:rFonts w:hint="eastAsia"/>
          <w:color w:val="000000"/>
          <w:szCs w:val="32"/>
          <w:highlight w:val="none"/>
          <w:lang w:val="en-US" w:eastAsia="zh-CN"/>
        </w:rPr>
        <w:t>1</w:t>
      </w:r>
      <w:r>
        <w:rPr>
          <w:rFonts w:hint="eastAsia"/>
          <w:color w:val="000000"/>
          <w:szCs w:val="32"/>
          <w:highlight w:val="none"/>
        </w:rPr>
        <w:t>人。</w:t>
      </w:r>
      <w:r>
        <w:rPr>
          <w:rFonts w:hint="eastAsia"/>
          <w:color w:val="000000"/>
          <w:szCs w:val="32"/>
          <w:lang w:val="en-US" w:eastAsia="zh-CN"/>
        </w:rPr>
        <w:t xml:space="preserve"> </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pPr>
        <w:shd w:val="solid" w:color="FFFFFF" w:fill="auto"/>
        <w:autoSpaceDN w:val="0"/>
        <w:adjustRightInd w:val="0"/>
        <w:spacing w:line="353" w:lineRule="auto"/>
        <w:ind w:firstLine="643" w:firstLineChars="200"/>
        <w:rPr>
          <w:b/>
          <w:bCs/>
          <w:color w:val="000000"/>
          <w:szCs w:val="32"/>
        </w:rPr>
      </w:pPr>
      <w:r>
        <w:rPr>
          <w:rFonts w:hint="eastAsia"/>
          <w:b/>
          <w:bCs/>
          <w:color w:val="000000"/>
          <w:szCs w:val="32"/>
        </w:rPr>
        <w:t>1. 基本支出收入情况。</w:t>
      </w:r>
    </w:p>
    <w:p>
      <w:pPr>
        <w:shd w:val="solid" w:color="FFFFFF" w:fill="auto"/>
        <w:autoSpaceDN w:val="0"/>
        <w:adjustRightInd w:val="0"/>
        <w:spacing w:line="353" w:lineRule="auto"/>
        <w:ind w:firstLine="640" w:firstLineChars="200"/>
        <w:rPr>
          <w:color w:val="000000"/>
          <w:szCs w:val="32"/>
        </w:rPr>
      </w:pPr>
      <w:r>
        <w:rPr>
          <w:rFonts w:hint="eastAsia"/>
          <w:color w:val="000000"/>
          <w:szCs w:val="32"/>
        </w:rPr>
        <w:t xml:space="preserve"> 202</w:t>
      </w:r>
      <w:r>
        <w:rPr>
          <w:rFonts w:hint="eastAsia"/>
          <w:color w:val="000000"/>
          <w:szCs w:val="32"/>
          <w:lang w:val="en-US" w:eastAsia="zh-CN"/>
        </w:rPr>
        <w:t>3</w:t>
      </w:r>
      <w:r>
        <w:rPr>
          <w:rFonts w:hint="eastAsia"/>
          <w:color w:val="000000"/>
          <w:szCs w:val="32"/>
        </w:rPr>
        <w:t>年基本支出预算安排共计</w:t>
      </w:r>
      <w:r>
        <w:rPr>
          <w:rFonts w:hint="eastAsia"/>
          <w:color w:val="000000"/>
          <w:szCs w:val="32"/>
          <w:lang w:val="en-US" w:eastAsia="zh-CN"/>
        </w:rPr>
        <w:t>734.08</w:t>
      </w:r>
      <w:r>
        <w:rPr>
          <w:rFonts w:hint="eastAsia"/>
          <w:color w:val="000000"/>
          <w:szCs w:val="32"/>
        </w:rPr>
        <w:t>万元，其中：</w:t>
      </w:r>
      <w:r>
        <w:rPr>
          <w:rFonts w:hint="eastAsia"/>
          <w:color w:val="000000"/>
          <w:szCs w:val="32"/>
          <w:lang w:val="en-US" w:eastAsia="zh-CN"/>
        </w:rPr>
        <w:t>人员类</w:t>
      </w:r>
      <w:r>
        <w:rPr>
          <w:rFonts w:hint="eastAsia"/>
          <w:color w:val="000000"/>
          <w:szCs w:val="32"/>
        </w:rPr>
        <w:t>支出</w:t>
      </w:r>
      <w:r>
        <w:rPr>
          <w:rFonts w:hint="eastAsia"/>
          <w:color w:val="000000"/>
          <w:szCs w:val="32"/>
          <w:lang w:val="en-US" w:eastAsia="zh-CN"/>
        </w:rPr>
        <w:t>676.23</w:t>
      </w:r>
      <w:r>
        <w:rPr>
          <w:rFonts w:hint="eastAsia"/>
          <w:color w:val="000000"/>
          <w:szCs w:val="32"/>
        </w:rPr>
        <w:t>万元，</w:t>
      </w:r>
      <w:r>
        <w:rPr>
          <w:rFonts w:hint="eastAsia"/>
          <w:color w:val="000000"/>
          <w:szCs w:val="32"/>
          <w:lang w:val="en-US" w:eastAsia="zh-CN"/>
        </w:rPr>
        <w:t>运转类</w:t>
      </w:r>
      <w:r>
        <w:rPr>
          <w:rFonts w:hint="eastAsia"/>
          <w:color w:val="000000"/>
          <w:szCs w:val="32"/>
        </w:rPr>
        <w:t>支出</w:t>
      </w:r>
      <w:r>
        <w:rPr>
          <w:rFonts w:hint="eastAsia"/>
          <w:color w:val="000000"/>
          <w:szCs w:val="32"/>
          <w:lang w:val="en-US" w:eastAsia="zh-CN"/>
        </w:rPr>
        <w:t>57.85</w:t>
      </w:r>
      <w:r>
        <w:rPr>
          <w:rFonts w:hint="eastAsia"/>
          <w:color w:val="000000"/>
          <w:szCs w:val="32"/>
        </w:rPr>
        <w:t>万元。</w:t>
      </w:r>
    </w:p>
    <w:p>
      <w:pPr>
        <w:numPr>
          <w:ilvl w:val="0"/>
          <w:numId w:val="2"/>
        </w:numPr>
        <w:shd w:val="solid" w:color="FFFFFF" w:fill="auto"/>
        <w:autoSpaceDN w:val="0"/>
        <w:adjustRightInd w:val="0"/>
        <w:spacing w:line="353" w:lineRule="auto"/>
        <w:ind w:firstLine="643" w:firstLineChars="200"/>
        <w:rPr>
          <w:b/>
          <w:bCs/>
          <w:color w:val="000000"/>
          <w:szCs w:val="32"/>
        </w:rPr>
      </w:pPr>
      <w:r>
        <w:rPr>
          <w:rFonts w:hint="eastAsia"/>
          <w:b/>
          <w:bCs/>
          <w:color w:val="000000"/>
          <w:szCs w:val="32"/>
        </w:rPr>
        <w:t>部门预算项目收入情况。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szCs w:val="32"/>
        </w:rPr>
        <w:t xml:space="preserve"> 202</w:t>
      </w:r>
      <w:r>
        <w:rPr>
          <w:rFonts w:hint="eastAsia"/>
          <w:color w:val="000000"/>
          <w:szCs w:val="32"/>
          <w:lang w:val="en-US" w:eastAsia="zh-CN"/>
        </w:rPr>
        <w:t>3</w:t>
      </w:r>
      <w:r>
        <w:rPr>
          <w:rFonts w:hint="eastAsia"/>
          <w:color w:val="000000"/>
          <w:szCs w:val="32"/>
        </w:rPr>
        <w:t>年预算项目安排共计</w:t>
      </w:r>
      <w:r>
        <w:rPr>
          <w:rFonts w:hint="eastAsia"/>
          <w:color w:val="000000"/>
          <w:szCs w:val="32"/>
          <w:lang w:val="en-US" w:eastAsia="zh-CN"/>
        </w:rPr>
        <w:t>119.81</w:t>
      </w:r>
      <w:r>
        <w:rPr>
          <w:rFonts w:hint="eastAsia"/>
          <w:color w:val="000000"/>
          <w:szCs w:val="32"/>
        </w:rPr>
        <w:t>万元，其中：公共卫生监测</w:t>
      </w:r>
      <w:r>
        <w:rPr>
          <w:rFonts w:hint="eastAsia"/>
          <w:color w:val="000000"/>
          <w:szCs w:val="32"/>
          <w:lang w:val="en-US" w:eastAsia="zh-CN"/>
        </w:rPr>
        <w:t>1</w:t>
      </w:r>
      <w:r>
        <w:rPr>
          <w:rFonts w:hint="eastAsia"/>
          <w:color w:val="000000"/>
          <w:szCs w:val="32"/>
        </w:rPr>
        <w:t>万元；国家级慢性病综合防控示范区项目</w:t>
      </w:r>
      <w:r>
        <w:rPr>
          <w:rFonts w:hint="eastAsia"/>
          <w:color w:val="000000"/>
          <w:szCs w:val="32"/>
          <w:lang w:val="en-US" w:eastAsia="zh-CN"/>
        </w:rPr>
        <w:t>17</w:t>
      </w:r>
      <w:r>
        <w:rPr>
          <w:rFonts w:hint="eastAsia"/>
          <w:color w:val="000000"/>
          <w:szCs w:val="32"/>
        </w:rPr>
        <w:t>.14万元；传染病综合防治项目</w:t>
      </w:r>
      <w:r>
        <w:rPr>
          <w:rFonts w:hint="eastAsia"/>
          <w:color w:val="000000"/>
          <w:szCs w:val="32"/>
          <w:lang w:val="en-US" w:eastAsia="zh-CN"/>
        </w:rPr>
        <w:t>8</w:t>
      </w:r>
      <w:r>
        <w:rPr>
          <w:rFonts w:hint="eastAsia"/>
          <w:color w:val="000000"/>
          <w:szCs w:val="32"/>
        </w:rPr>
        <w:t>万元；免疫规划工作项目</w:t>
      </w:r>
      <w:r>
        <w:rPr>
          <w:rFonts w:hint="eastAsia"/>
          <w:color w:val="000000"/>
          <w:szCs w:val="32"/>
          <w:lang w:val="en-US" w:eastAsia="zh-CN"/>
        </w:rPr>
        <w:t>25.24</w:t>
      </w:r>
      <w:r>
        <w:rPr>
          <w:rFonts w:hint="eastAsia"/>
          <w:color w:val="000000"/>
          <w:szCs w:val="32"/>
        </w:rPr>
        <w:t>万元；实验室运转维护15万元；从业人员体检</w:t>
      </w:r>
      <w:r>
        <w:rPr>
          <w:rFonts w:hint="eastAsia"/>
          <w:color w:val="000000"/>
          <w:szCs w:val="32"/>
          <w:lang w:val="en-US" w:eastAsia="zh-CN"/>
        </w:rPr>
        <w:t>21.39</w:t>
      </w:r>
      <w:r>
        <w:rPr>
          <w:rFonts w:hint="eastAsia"/>
          <w:color w:val="000000"/>
          <w:szCs w:val="32"/>
        </w:rPr>
        <w:t>万元；健康教育2.4万元；重大传染病（艾滋病、结核病）</w:t>
      </w:r>
      <w:r>
        <w:rPr>
          <w:rFonts w:hint="eastAsia"/>
          <w:color w:val="000000"/>
          <w:szCs w:val="32"/>
          <w:lang w:val="en-US" w:eastAsia="zh-CN"/>
        </w:rPr>
        <w:t>29.64</w:t>
      </w:r>
      <w:r>
        <w:rPr>
          <w:rFonts w:hint="eastAsia"/>
          <w:color w:val="000000"/>
          <w:szCs w:val="32"/>
        </w:rPr>
        <w:t>万元。</w:t>
      </w:r>
    </w:p>
    <w:p>
      <w:pPr>
        <w:widowControl/>
        <w:numPr>
          <w:ilvl w:val="0"/>
          <w:numId w:val="3"/>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部门财政资金支出情况。</w:t>
      </w:r>
    </w:p>
    <w:p>
      <w:pPr>
        <w:widowControl/>
        <w:numPr>
          <w:ilvl w:val="0"/>
          <w:numId w:val="4"/>
        </w:numPr>
        <w:adjustRightInd w:val="0"/>
        <w:snapToGrid w:val="0"/>
        <w:spacing w:line="580" w:lineRule="exact"/>
        <w:ind w:firstLine="643" w:firstLineChars="200"/>
        <w:contextualSpacing/>
        <w:jc w:val="left"/>
        <w:rPr>
          <w:b/>
          <w:bCs/>
          <w:color w:val="000000"/>
          <w:szCs w:val="32"/>
        </w:rPr>
      </w:pPr>
      <w:r>
        <w:rPr>
          <w:rFonts w:hint="eastAsia"/>
          <w:b/>
          <w:bCs/>
          <w:color w:val="000000"/>
          <w:szCs w:val="32"/>
        </w:rPr>
        <w:t>基本支出使用情况</w:t>
      </w:r>
    </w:p>
    <w:p>
      <w:pPr>
        <w:shd w:val="solid" w:color="FFFFFF" w:fill="auto"/>
        <w:autoSpaceDN w:val="0"/>
        <w:adjustRightInd w:val="0"/>
        <w:spacing w:line="353" w:lineRule="auto"/>
        <w:ind w:firstLine="640" w:firstLineChars="200"/>
        <w:rPr>
          <w:color w:val="000000"/>
          <w:szCs w:val="32"/>
        </w:rPr>
      </w:pPr>
      <w:r>
        <w:rPr>
          <w:rFonts w:hint="eastAsia"/>
          <w:color w:val="000000"/>
          <w:szCs w:val="32"/>
        </w:rPr>
        <w:t>202</w:t>
      </w:r>
      <w:r>
        <w:rPr>
          <w:rFonts w:hint="eastAsia"/>
          <w:color w:val="000000"/>
          <w:szCs w:val="32"/>
          <w:lang w:val="en-US" w:eastAsia="zh-CN"/>
        </w:rPr>
        <w:t>3</w:t>
      </w:r>
      <w:r>
        <w:rPr>
          <w:rFonts w:hint="eastAsia"/>
          <w:color w:val="000000"/>
          <w:szCs w:val="32"/>
        </w:rPr>
        <w:t>年1-12月基本支出共计使用</w:t>
      </w:r>
      <w:r>
        <w:rPr>
          <w:rFonts w:hint="eastAsia"/>
          <w:color w:val="000000"/>
          <w:szCs w:val="32"/>
          <w:lang w:val="en-US" w:eastAsia="zh-CN"/>
        </w:rPr>
        <w:t>794.34</w:t>
      </w:r>
      <w:r>
        <w:rPr>
          <w:rFonts w:hint="eastAsia"/>
          <w:color w:val="000000"/>
          <w:szCs w:val="32"/>
        </w:rPr>
        <w:t>万元，其中:</w:t>
      </w:r>
      <w:r>
        <w:rPr>
          <w:rFonts w:hint="eastAsia"/>
          <w:color w:val="000000"/>
          <w:szCs w:val="32"/>
          <w:lang w:val="en-US" w:eastAsia="zh-CN"/>
        </w:rPr>
        <w:t>人员类</w:t>
      </w:r>
      <w:r>
        <w:rPr>
          <w:rFonts w:hint="eastAsia"/>
          <w:color w:val="000000"/>
          <w:szCs w:val="32"/>
        </w:rPr>
        <w:t>支出</w:t>
      </w:r>
      <w:r>
        <w:rPr>
          <w:rFonts w:hint="eastAsia"/>
          <w:color w:val="000000"/>
          <w:szCs w:val="32"/>
          <w:lang w:val="en-US" w:eastAsia="zh-CN"/>
        </w:rPr>
        <w:t>702.75</w:t>
      </w:r>
      <w:r>
        <w:rPr>
          <w:rFonts w:hint="eastAsia"/>
          <w:color w:val="000000"/>
          <w:szCs w:val="32"/>
        </w:rPr>
        <w:t>万元，</w:t>
      </w:r>
      <w:r>
        <w:rPr>
          <w:rFonts w:hint="eastAsia"/>
          <w:color w:val="000000"/>
          <w:szCs w:val="32"/>
          <w:lang w:val="en-US" w:eastAsia="zh-CN"/>
        </w:rPr>
        <w:t>运转类</w:t>
      </w:r>
      <w:r>
        <w:rPr>
          <w:rFonts w:hint="eastAsia"/>
          <w:color w:val="000000"/>
          <w:szCs w:val="32"/>
        </w:rPr>
        <w:t>支出</w:t>
      </w:r>
      <w:r>
        <w:rPr>
          <w:rFonts w:hint="eastAsia"/>
          <w:color w:val="000000"/>
          <w:szCs w:val="32"/>
          <w:lang w:val="en-US" w:eastAsia="zh-CN"/>
        </w:rPr>
        <w:t>91.59</w:t>
      </w:r>
      <w:r>
        <w:rPr>
          <w:rFonts w:hint="eastAsia"/>
          <w:color w:val="000000"/>
          <w:szCs w:val="32"/>
        </w:rPr>
        <w:t>万元。</w:t>
      </w:r>
    </w:p>
    <w:p>
      <w:pPr>
        <w:shd w:val="solid" w:color="FFFFFF" w:fill="auto"/>
        <w:autoSpaceDN w:val="0"/>
        <w:adjustRightInd w:val="0"/>
        <w:spacing w:line="353" w:lineRule="auto"/>
        <w:ind w:firstLine="640" w:firstLineChars="200"/>
        <w:rPr>
          <w:color w:val="000000"/>
          <w:szCs w:val="32"/>
        </w:rPr>
      </w:pPr>
      <w:r>
        <w:rPr>
          <w:rFonts w:hint="eastAsia"/>
          <w:color w:val="000000"/>
          <w:szCs w:val="32"/>
        </w:rPr>
        <w:t>2.</w:t>
      </w:r>
      <w:r>
        <w:rPr>
          <w:rFonts w:hint="eastAsia"/>
          <w:b/>
          <w:bCs/>
          <w:color w:val="000000"/>
          <w:szCs w:val="32"/>
        </w:rPr>
        <w:t>部门预算项目使用情况</w:t>
      </w:r>
    </w:p>
    <w:p>
      <w:pPr>
        <w:shd w:val="solid" w:color="FFFFFF" w:fill="auto"/>
        <w:autoSpaceDN w:val="0"/>
        <w:adjustRightInd w:val="0"/>
        <w:spacing w:line="353" w:lineRule="auto"/>
        <w:ind w:left="214" w:leftChars="67" w:firstLine="454" w:firstLineChars="142"/>
        <w:rPr>
          <w:rFonts w:hint="eastAsia" w:eastAsia="仿宋_GB2312"/>
          <w:color w:val="000000"/>
          <w:kern w:val="0"/>
          <w:szCs w:val="32"/>
          <w:shd w:val="clear" w:color="auto" w:fill="FFFFFF"/>
          <w:lang w:val="en-US" w:eastAsia="zh-CN"/>
        </w:rPr>
      </w:pPr>
      <w:r>
        <w:rPr>
          <w:rFonts w:hint="eastAsia"/>
          <w:color w:val="000000"/>
          <w:szCs w:val="32"/>
        </w:rPr>
        <w:t>202</w:t>
      </w:r>
      <w:r>
        <w:rPr>
          <w:rFonts w:hint="eastAsia"/>
          <w:color w:val="000000"/>
          <w:szCs w:val="32"/>
          <w:lang w:val="en-US" w:eastAsia="zh-CN"/>
        </w:rPr>
        <w:t>3</w:t>
      </w:r>
      <w:r>
        <w:rPr>
          <w:rFonts w:hint="eastAsia"/>
          <w:color w:val="000000"/>
          <w:szCs w:val="32"/>
        </w:rPr>
        <w:t>年项目共计支出</w:t>
      </w:r>
      <w:r>
        <w:rPr>
          <w:rFonts w:hint="eastAsia"/>
          <w:color w:val="000000"/>
          <w:szCs w:val="32"/>
          <w:lang w:val="en-US" w:eastAsia="zh-CN"/>
        </w:rPr>
        <w:t>94.08</w:t>
      </w:r>
      <w:r>
        <w:rPr>
          <w:rFonts w:hint="eastAsia"/>
          <w:color w:val="000000"/>
          <w:szCs w:val="32"/>
        </w:rPr>
        <w:t>万元，其中：公共卫生监测</w:t>
      </w:r>
      <w:r>
        <w:rPr>
          <w:rFonts w:hint="eastAsia"/>
          <w:color w:val="000000"/>
          <w:szCs w:val="32"/>
          <w:lang w:val="en-US" w:eastAsia="zh-CN"/>
        </w:rPr>
        <w:t>1</w:t>
      </w:r>
      <w:r>
        <w:rPr>
          <w:rFonts w:hint="eastAsia"/>
          <w:color w:val="000000"/>
          <w:szCs w:val="32"/>
        </w:rPr>
        <w:t>万元；国家级慢性病综合防控示范区项目</w:t>
      </w:r>
      <w:r>
        <w:rPr>
          <w:rFonts w:hint="eastAsia"/>
          <w:color w:val="000000"/>
          <w:szCs w:val="32"/>
          <w:lang w:val="en-US" w:eastAsia="zh-CN"/>
        </w:rPr>
        <w:t>13.18</w:t>
      </w:r>
      <w:r>
        <w:rPr>
          <w:rFonts w:hint="eastAsia"/>
          <w:color w:val="000000"/>
          <w:szCs w:val="32"/>
        </w:rPr>
        <w:t>万元；</w:t>
      </w:r>
      <w:r>
        <w:rPr>
          <w:rFonts w:hint="eastAsia"/>
          <w:color w:val="000000"/>
          <w:szCs w:val="32"/>
          <w:highlight w:val="none"/>
        </w:rPr>
        <w:t>传染病</w:t>
      </w:r>
      <w:r>
        <w:rPr>
          <w:rFonts w:hint="eastAsia"/>
          <w:color w:val="000000"/>
          <w:szCs w:val="32"/>
        </w:rPr>
        <w:t>综合防治项目</w:t>
      </w:r>
      <w:r>
        <w:rPr>
          <w:rFonts w:hint="eastAsia"/>
          <w:color w:val="000000"/>
          <w:szCs w:val="32"/>
          <w:lang w:val="en-US" w:eastAsia="zh-CN"/>
        </w:rPr>
        <w:t>3.7</w:t>
      </w:r>
      <w:r>
        <w:rPr>
          <w:rFonts w:hint="eastAsia"/>
          <w:color w:val="000000"/>
          <w:szCs w:val="32"/>
        </w:rPr>
        <w:t>万元；免疫规划工作项目16.6</w:t>
      </w:r>
      <w:r>
        <w:rPr>
          <w:rFonts w:hint="eastAsia"/>
          <w:color w:val="000000"/>
          <w:szCs w:val="32"/>
          <w:lang w:val="en-US" w:eastAsia="zh-CN"/>
        </w:rPr>
        <w:t>6</w:t>
      </w:r>
      <w:r>
        <w:rPr>
          <w:rFonts w:hint="eastAsia"/>
          <w:color w:val="000000"/>
          <w:szCs w:val="32"/>
        </w:rPr>
        <w:t>万元；实验室运转维护</w:t>
      </w:r>
      <w:r>
        <w:rPr>
          <w:rFonts w:hint="eastAsia"/>
          <w:color w:val="000000"/>
          <w:szCs w:val="32"/>
          <w:lang w:val="en-US" w:eastAsia="zh-CN"/>
        </w:rPr>
        <w:t>11.26</w:t>
      </w:r>
      <w:r>
        <w:rPr>
          <w:rFonts w:hint="eastAsia"/>
          <w:color w:val="000000"/>
          <w:szCs w:val="32"/>
        </w:rPr>
        <w:t>万元；从业人员体检</w:t>
      </w:r>
      <w:r>
        <w:rPr>
          <w:rFonts w:hint="eastAsia"/>
          <w:color w:val="000000"/>
          <w:szCs w:val="32"/>
          <w:lang w:val="en-US" w:eastAsia="zh-CN"/>
        </w:rPr>
        <w:t>20.17</w:t>
      </w:r>
      <w:r>
        <w:rPr>
          <w:rFonts w:hint="eastAsia"/>
          <w:color w:val="000000"/>
          <w:szCs w:val="32"/>
        </w:rPr>
        <w:t>万元；重大传染病（艾滋病、结核病）</w:t>
      </w:r>
      <w:r>
        <w:rPr>
          <w:rFonts w:hint="eastAsia"/>
          <w:color w:val="000000"/>
          <w:szCs w:val="32"/>
          <w:lang w:val="en-US" w:eastAsia="zh-CN"/>
        </w:rPr>
        <w:t>25.71</w:t>
      </w:r>
      <w:r>
        <w:rPr>
          <w:rFonts w:hint="eastAsia"/>
          <w:color w:val="000000"/>
          <w:szCs w:val="32"/>
        </w:rPr>
        <w:t>万元</w:t>
      </w:r>
      <w:r>
        <w:rPr>
          <w:rFonts w:hint="eastAsia"/>
          <w:color w:val="000000"/>
          <w:szCs w:val="32"/>
          <w:lang w:eastAsia="zh-CN"/>
        </w:rPr>
        <w:t>。</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color w:val="000000"/>
          <w:kern w:val="0"/>
          <w:szCs w:val="32"/>
          <w:shd w:val="clear" w:color="auto" w:fill="FFFFFF"/>
        </w:rPr>
      </w:pPr>
      <w:r>
        <w:rPr>
          <w:rFonts w:hint="eastAsia"/>
          <w:color w:val="000000"/>
          <w:kern w:val="0"/>
          <w:szCs w:val="32"/>
          <w:shd w:val="clear" w:color="auto" w:fill="FFFFFF"/>
        </w:rPr>
        <w:t>1、中心在编制202</w:t>
      </w:r>
      <w:r>
        <w:rPr>
          <w:rFonts w:hint="eastAsia"/>
          <w:color w:val="000000"/>
          <w:kern w:val="0"/>
          <w:szCs w:val="32"/>
          <w:shd w:val="clear" w:color="auto" w:fill="FFFFFF"/>
          <w:lang w:val="en-US" w:eastAsia="zh-CN"/>
        </w:rPr>
        <w:t>3</w:t>
      </w:r>
      <w:r>
        <w:rPr>
          <w:rFonts w:hint="eastAsia"/>
          <w:color w:val="000000"/>
          <w:kern w:val="0"/>
          <w:szCs w:val="32"/>
          <w:shd w:val="clear" w:color="auto" w:fill="FFFFFF"/>
        </w:rPr>
        <w:t>年部门预算的同时制定了要素完整、指标细化的绩效指标。</w:t>
      </w:r>
    </w:p>
    <w:p>
      <w:pPr>
        <w:widowControl/>
        <w:adjustRightInd w:val="0"/>
        <w:snapToGrid w:val="0"/>
        <w:spacing w:line="580" w:lineRule="exact"/>
        <w:ind w:firstLine="640" w:firstLineChars="200"/>
        <w:contextualSpacing/>
        <w:jc w:val="left"/>
        <w:rPr>
          <w:szCs w:val="32"/>
        </w:rPr>
      </w:pPr>
      <w:r>
        <w:rPr>
          <w:rFonts w:hint="eastAsia"/>
          <w:color w:val="000000"/>
          <w:kern w:val="0"/>
          <w:szCs w:val="32"/>
          <w:shd w:val="clear" w:color="auto" w:fill="FFFFFF"/>
        </w:rPr>
        <w:t>2、中心为职工按时缴纳各项保险、公积金费用，准确核定发放人员工资奖金，使中心工作正常开展</w:t>
      </w:r>
      <w:r>
        <w:rPr>
          <w:rFonts w:hint="eastAsia"/>
          <w:color w:val="000000"/>
          <w:kern w:val="0"/>
          <w:szCs w:val="32"/>
          <w:shd w:val="clear" w:color="auto" w:fill="FFFFFF"/>
          <w:lang w:eastAsia="zh-CN"/>
        </w:rPr>
        <w:t>。</w:t>
      </w:r>
      <w:r>
        <w:rPr>
          <w:rFonts w:hint="eastAsia"/>
          <w:szCs w:val="32"/>
        </w:rPr>
        <w:t>202</w:t>
      </w:r>
      <w:r>
        <w:rPr>
          <w:rFonts w:hint="eastAsia"/>
          <w:szCs w:val="32"/>
          <w:lang w:val="en-US" w:eastAsia="zh-CN"/>
        </w:rPr>
        <w:t>3</w:t>
      </w:r>
      <w:r>
        <w:rPr>
          <w:rFonts w:hint="eastAsia"/>
          <w:szCs w:val="32"/>
        </w:rPr>
        <w:t>年中心加强疾病预防控制能力，传染病、艾滋病、结核病、慢性病和地方病防治能力得以提升，免疫规划、健康教育、公共卫生、检验检测等水平有明显提高。</w:t>
      </w:r>
    </w:p>
    <w:p>
      <w:pPr>
        <w:widowControl/>
        <w:adjustRightInd w:val="0"/>
        <w:snapToGrid w:val="0"/>
        <w:spacing w:line="580" w:lineRule="exact"/>
        <w:ind w:firstLine="640" w:firstLineChars="200"/>
        <w:contextualSpacing/>
        <w:jc w:val="left"/>
        <w:rPr>
          <w:szCs w:val="32"/>
        </w:rPr>
      </w:pPr>
      <w:r>
        <w:rPr>
          <w:rFonts w:hint="eastAsia"/>
          <w:szCs w:val="32"/>
        </w:rPr>
        <w:t>3、中心严格控制公用经费开支，均在预算范围内使用经费，没有出现超支情况。</w:t>
      </w:r>
    </w:p>
    <w:p>
      <w:pPr>
        <w:widowControl/>
        <w:adjustRightInd w:val="0"/>
        <w:snapToGrid w:val="0"/>
        <w:spacing w:line="580" w:lineRule="exact"/>
        <w:ind w:firstLine="640" w:firstLineChars="200"/>
        <w:contextualSpacing/>
        <w:jc w:val="left"/>
        <w:rPr>
          <w:szCs w:val="32"/>
        </w:rPr>
      </w:pPr>
      <w:r>
        <w:rPr>
          <w:rFonts w:hint="eastAsia"/>
          <w:szCs w:val="32"/>
        </w:rPr>
        <w:t>4、中心在开展绩效监控工作中未出现部门预算项目或专项预算项目绩效目标实现存在偏差的问题。</w:t>
      </w:r>
    </w:p>
    <w:p>
      <w:pPr>
        <w:widowControl/>
        <w:adjustRightInd w:val="0"/>
        <w:snapToGrid w:val="0"/>
        <w:spacing w:line="580" w:lineRule="exact"/>
        <w:ind w:firstLine="640" w:firstLineChars="200"/>
        <w:contextualSpacing/>
        <w:jc w:val="left"/>
        <w:rPr>
          <w:rFonts w:hint="default" w:eastAsia="仿宋_GB2312"/>
          <w:szCs w:val="32"/>
          <w:lang w:val="en-US" w:eastAsia="zh-CN"/>
        </w:rPr>
      </w:pPr>
      <w:r>
        <w:rPr>
          <w:rFonts w:hint="eastAsia"/>
          <w:szCs w:val="32"/>
        </w:rPr>
        <w:t>5、部门预算执行进度在6、9、11月应达到序时进度的80%、90%、90%，即实际支出进度分别达到40%、67.5%、82.5%</w:t>
      </w:r>
      <w:r>
        <w:rPr>
          <w:rFonts w:hint="eastAsia"/>
          <w:szCs w:val="32"/>
          <w:lang w:eastAsia="zh-CN"/>
        </w:rPr>
        <w:t>，</w:t>
      </w:r>
      <w:r>
        <w:rPr>
          <w:rFonts w:hint="eastAsia"/>
          <w:szCs w:val="32"/>
          <w:lang w:val="en-US" w:eastAsia="zh-CN"/>
        </w:rPr>
        <w:t>我中心实际支出进度分别为36.57%、44.14%、56%。</w:t>
      </w:r>
    </w:p>
    <w:p>
      <w:pPr>
        <w:widowControl/>
        <w:adjustRightInd w:val="0"/>
        <w:snapToGrid w:val="0"/>
        <w:spacing w:line="580" w:lineRule="exact"/>
        <w:ind w:firstLine="640" w:firstLineChars="200"/>
        <w:contextualSpacing/>
        <w:jc w:val="left"/>
        <w:rPr>
          <w:szCs w:val="32"/>
        </w:rPr>
      </w:pPr>
      <w:r>
        <w:rPr>
          <w:rFonts w:hint="eastAsia"/>
          <w:szCs w:val="32"/>
        </w:rPr>
        <w:t>6、中心预算项目12月支出</w:t>
      </w:r>
      <w:r>
        <w:rPr>
          <w:rFonts w:hint="eastAsia"/>
          <w:szCs w:val="32"/>
          <w:lang w:val="en-US" w:eastAsia="zh-CN"/>
        </w:rPr>
        <w:t>94.08</w:t>
      </w:r>
      <w:r>
        <w:rPr>
          <w:rFonts w:hint="eastAsia"/>
          <w:szCs w:val="32"/>
        </w:rPr>
        <w:t>万元，执行进度达</w:t>
      </w:r>
      <w:r>
        <w:rPr>
          <w:rFonts w:hint="eastAsia"/>
          <w:szCs w:val="32"/>
          <w:lang w:val="en-US" w:eastAsia="zh-CN"/>
        </w:rPr>
        <w:t>78.52</w:t>
      </w:r>
      <w:r>
        <w:rPr>
          <w:rFonts w:hint="eastAsia"/>
          <w:szCs w:val="32"/>
        </w:rPr>
        <w:t>%</w:t>
      </w:r>
      <w:r>
        <w:rPr>
          <w:rFonts w:hint="eastAsia"/>
          <w:szCs w:val="32"/>
          <w:lang w:eastAsia="zh-CN"/>
        </w:rPr>
        <w:t>。</w:t>
      </w:r>
      <w:r>
        <w:rPr>
          <w:rFonts w:hint="eastAsia"/>
          <w:szCs w:val="32"/>
          <w:highlight w:val="none"/>
        </w:rPr>
        <w:t>执行进度不够高</w:t>
      </w:r>
      <w:r>
        <w:rPr>
          <w:rFonts w:hint="eastAsia"/>
          <w:szCs w:val="32"/>
          <w:highlight w:val="none"/>
          <w:lang w:val="en-US" w:eastAsia="zh-CN"/>
        </w:rPr>
        <w:t>的原因主要为</w:t>
      </w:r>
      <w:r>
        <w:rPr>
          <w:rFonts w:hint="eastAsia" w:ascii="仿宋_GB2312" w:cs="仿宋_GB2312"/>
          <w:kern w:val="0"/>
        </w:rPr>
        <w:t>信息化建设和冷库建设因新大楼未完工影响进度</w:t>
      </w:r>
      <w:r>
        <w:rPr>
          <w:rFonts w:hint="eastAsia"/>
          <w:szCs w:val="32"/>
        </w:rPr>
        <w:t>，部分项目工作优先使用中央补助经费开展。</w:t>
      </w:r>
    </w:p>
    <w:p>
      <w:pPr>
        <w:widowControl/>
        <w:adjustRightInd w:val="0"/>
        <w:snapToGrid w:val="0"/>
        <w:spacing w:line="580" w:lineRule="exact"/>
        <w:ind w:firstLine="640" w:firstLineChars="200"/>
        <w:contextualSpacing/>
        <w:jc w:val="left"/>
        <w:rPr>
          <w:szCs w:val="32"/>
        </w:rPr>
      </w:pPr>
      <w:r>
        <w:rPr>
          <w:rFonts w:hint="eastAsia"/>
          <w:szCs w:val="32"/>
        </w:rPr>
        <w:t>7、中心8个预算项目中，3个项目的结余率小于0.1，</w:t>
      </w:r>
      <w:r>
        <w:rPr>
          <w:rFonts w:hint="eastAsia"/>
          <w:szCs w:val="32"/>
          <w:highlight w:val="none"/>
          <w:lang w:val="en-US" w:eastAsia="zh-CN"/>
        </w:rPr>
        <w:t>1个</w:t>
      </w:r>
      <w:r>
        <w:rPr>
          <w:rFonts w:hint="eastAsia"/>
          <w:szCs w:val="32"/>
        </w:rPr>
        <w:t>项目的结余率小于0.2，</w:t>
      </w:r>
      <w:r>
        <w:rPr>
          <w:rFonts w:hint="eastAsia"/>
          <w:szCs w:val="32"/>
          <w:highlight w:val="none"/>
        </w:rPr>
        <w:t>2</w:t>
      </w:r>
      <w:r>
        <w:rPr>
          <w:rFonts w:hint="eastAsia"/>
          <w:szCs w:val="32"/>
          <w:highlight w:val="none"/>
          <w:lang w:val="en-US" w:eastAsia="zh-CN"/>
        </w:rPr>
        <w:t>个</w:t>
      </w:r>
      <w:r>
        <w:rPr>
          <w:rFonts w:hint="eastAsia"/>
          <w:szCs w:val="32"/>
        </w:rPr>
        <w:t>项目结余率小于0.3。</w:t>
      </w:r>
    </w:p>
    <w:p>
      <w:pPr>
        <w:widowControl/>
        <w:adjustRightInd w:val="0"/>
        <w:snapToGrid w:val="0"/>
        <w:spacing w:line="580" w:lineRule="exact"/>
        <w:ind w:firstLine="640" w:firstLineChars="200"/>
        <w:contextualSpacing/>
        <w:jc w:val="left"/>
        <w:rPr>
          <w:szCs w:val="32"/>
        </w:rPr>
      </w:pPr>
      <w:r>
        <w:rPr>
          <w:rFonts w:hint="eastAsia"/>
          <w:szCs w:val="32"/>
        </w:rPr>
        <w:t>8、</w:t>
      </w:r>
      <w:r>
        <w:rPr>
          <w:rFonts w:hint="eastAsia"/>
          <w:szCs w:val="32"/>
          <w:highlight w:val="none"/>
        </w:rPr>
        <w:t>中心</w:t>
      </w:r>
      <w:r>
        <w:rPr>
          <w:rFonts w:hint="eastAsia"/>
          <w:szCs w:val="32"/>
        </w:rPr>
        <w:t>不存在预算管理不合规的情况。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rPr>
        <w:t>中心按要求将部门整体绩效自评情况在门户网站向社会公开，并每季度对各股室资金使用检查，根据绩效评价的结果及时督促股室合理、合规使用资金。</w:t>
      </w:r>
    </w:p>
    <w:p>
      <w:pPr>
        <w:widowControl/>
        <w:numPr>
          <w:ilvl w:val="0"/>
          <w:numId w:val="5"/>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ind w:firstLine="640" w:firstLineChars="200"/>
        <w:contextualSpacing/>
        <w:jc w:val="left"/>
        <w:rPr>
          <w:color w:val="000000"/>
          <w:kern w:val="0"/>
          <w:szCs w:val="32"/>
          <w:shd w:val="clear" w:color="auto" w:fill="FFFFFF"/>
        </w:rPr>
      </w:pPr>
      <w:r>
        <w:rPr>
          <w:color w:val="000000"/>
          <w:kern w:val="0"/>
          <w:szCs w:val="32"/>
          <w:shd w:val="clear" w:color="auto" w:fill="FFFFFF"/>
        </w:rPr>
        <w:t xml:space="preserve"> </w:t>
      </w:r>
      <w:r>
        <w:rPr>
          <w:rFonts w:hint="eastAsia"/>
          <w:color w:val="000000"/>
          <w:kern w:val="0"/>
          <w:szCs w:val="32"/>
          <w:shd w:val="clear" w:color="auto" w:fill="FFFFFF"/>
        </w:rPr>
        <w:t>我中心部门整体支出自评准确率较高</w:t>
      </w:r>
      <w:r>
        <w:rPr>
          <w:color w:val="000000"/>
          <w:kern w:val="0"/>
          <w:szCs w:val="32"/>
          <w:shd w:val="clear" w:color="auto" w:fill="FFFFFF"/>
        </w:rPr>
        <w:t>。</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shd w:val="solid" w:color="FFFFFF" w:fill="auto"/>
        <w:autoSpaceDN w:val="0"/>
        <w:adjustRightInd w:val="0"/>
        <w:spacing w:line="353" w:lineRule="auto"/>
        <w:ind w:firstLine="640" w:firstLineChars="200"/>
        <w:rPr>
          <w:color w:val="000000"/>
          <w:kern w:val="0"/>
          <w:szCs w:val="32"/>
          <w:shd w:val="clear" w:color="auto" w:fill="FFFFFF"/>
          <w:lang w:val="zh-CN"/>
        </w:rPr>
      </w:pPr>
      <w:r>
        <w:rPr>
          <w:rFonts w:hint="eastAsia"/>
          <w:szCs w:val="32"/>
        </w:rPr>
        <w:t>我中心严格按照预算要求管理和使用资金，确保了财政资金专款专用，切实提高资金使用效益。在具体工作中，加强财政资金支出管理，严格执行各项财务制度规定，切实抓好经费保障和财会管理等工作。</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二</w:t>
      </w:r>
      <w:r>
        <w:rPr>
          <w:rFonts w:hint="eastAsia"/>
          <w:color w:val="000000"/>
          <w:kern w:val="0"/>
          <w:szCs w:val="32"/>
          <w:shd w:val="clear" w:color="auto" w:fill="FFFFFF"/>
          <w:lang w:val="zh-CN"/>
        </w:rPr>
        <w:t>）</w:t>
      </w:r>
      <w:r>
        <w:rPr>
          <w:color w:val="000000"/>
          <w:kern w:val="0"/>
          <w:szCs w:val="32"/>
          <w:shd w:val="clear" w:color="auto" w:fill="FFFFFF"/>
          <w:lang w:val="zh-CN"/>
        </w:rPr>
        <w:t>存在问题。</w:t>
      </w: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en-US" w:eastAsia="zh-CN"/>
        </w:rPr>
        <w:t>专项</w:t>
      </w:r>
      <w:r>
        <w:rPr>
          <w:rFonts w:hint="eastAsia"/>
          <w:color w:val="000000"/>
          <w:kern w:val="0"/>
          <w:szCs w:val="32"/>
          <w:shd w:val="clear" w:color="auto" w:fill="FFFFFF"/>
        </w:rPr>
        <w:t>预算项目资金</w:t>
      </w:r>
      <w:r>
        <w:rPr>
          <w:rFonts w:hint="eastAsia"/>
          <w:color w:val="000000"/>
          <w:kern w:val="0"/>
          <w:szCs w:val="32"/>
          <w:shd w:val="clear" w:color="auto" w:fill="FFFFFF"/>
          <w:lang w:val="en-US" w:eastAsia="zh-CN"/>
        </w:rPr>
        <w:t>分配</w:t>
      </w:r>
      <w:r>
        <w:rPr>
          <w:rFonts w:hint="eastAsia"/>
          <w:color w:val="000000"/>
          <w:kern w:val="0"/>
          <w:szCs w:val="32"/>
          <w:shd w:val="clear" w:color="auto" w:fill="FFFFFF"/>
        </w:rPr>
        <w:t>审批流程较冗长，资金</w:t>
      </w:r>
      <w:r>
        <w:rPr>
          <w:rFonts w:hint="eastAsia"/>
          <w:color w:val="000000"/>
          <w:kern w:val="0"/>
          <w:szCs w:val="32"/>
          <w:shd w:val="clear" w:color="auto" w:fill="FFFFFF"/>
          <w:lang w:val="en-US" w:eastAsia="zh-CN"/>
        </w:rPr>
        <w:t>到位较晚，导致</w:t>
      </w:r>
      <w:r>
        <w:rPr>
          <w:rFonts w:hint="eastAsia"/>
          <w:color w:val="000000"/>
          <w:kern w:val="0"/>
          <w:szCs w:val="32"/>
          <w:shd w:val="clear" w:color="auto" w:fill="FFFFFF"/>
        </w:rPr>
        <w:t>支付较滞后。</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三</w:t>
      </w:r>
      <w:r>
        <w:rPr>
          <w:rFonts w:hint="eastAsia"/>
          <w:color w:val="000000"/>
          <w:kern w:val="0"/>
          <w:szCs w:val="32"/>
          <w:shd w:val="clear" w:color="auto" w:fill="FFFFFF"/>
          <w:lang w:val="zh-CN"/>
        </w:rPr>
        <w:t>）</w:t>
      </w:r>
      <w:r>
        <w:rPr>
          <w:color w:val="000000"/>
          <w:kern w:val="0"/>
          <w:szCs w:val="32"/>
          <w:shd w:val="clear" w:color="auto" w:fill="FFFFFF"/>
          <w:lang w:val="zh-CN"/>
        </w:rPr>
        <w:t>改进建议。</w:t>
      </w:r>
    </w:p>
    <w:p>
      <w:pPr>
        <w:tabs>
          <w:tab w:val="left" w:pos="1050"/>
        </w:tabs>
        <w:ind w:firstLine="640" w:firstLineChars="200"/>
        <w:jc w:val="left"/>
      </w:pPr>
      <w:r>
        <w:rPr>
          <w:rFonts w:hint="eastAsia"/>
        </w:rPr>
        <w:t>精简</w:t>
      </w:r>
      <w:r>
        <w:rPr>
          <w:rFonts w:hint="eastAsia"/>
          <w:lang w:val="en-US" w:eastAsia="zh-CN"/>
        </w:rPr>
        <w:t>专项</w:t>
      </w:r>
      <w:r>
        <w:rPr>
          <w:rFonts w:hint="eastAsia"/>
        </w:rPr>
        <w:t>预算项目审批流程，使资金能及时到位。</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16E17"/>
    <w:multiLevelType w:val="singleLevel"/>
    <w:tmpl w:val="BAA16E17"/>
    <w:lvl w:ilvl="0" w:tentative="0">
      <w:start w:val="2"/>
      <w:numFmt w:val="chineseCounting"/>
      <w:suff w:val="nothing"/>
      <w:lvlText w:val="（%1）"/>
      <w:lvlJc w:val="left"/>
      <w:rPr>
        <w:rFonts w:hint="eastAsia"/>
      </w:rPr>
    </w:lvl>
  </w:abstractNum>
  <w:abstractNum w:abstractNumId="1">
    <w:nsid w:val="F617AE44"/>
    <w:multiLevelType w:val="singleLevel"/>
    <w:tmpl w:val="F617AE44"/>
    <w:lvl w:ilvl="0" w:tentative="0">
      <w:start w:val="2"/>
      <w:numFmt w:val="chineseCounting"/>
      <w:suff w:val="nothing"/>
      <w:lvlText w:val="（%1）"/>
      <w:lvlJc w:val="left"/>
      <w:rPr>
        <w:rFonts w:hint="eastAsia"/>
      </w:rPr>
    </w:lvl>
  </w:abstractNum>
  <w:abstractNum w:abstractNumId="2">
    <w:nsid w:val="3E794925"/>
    <w:multiLevelType w:val="singleLevel"/>
    <w:tmpl w:val="3E794925"/>
    <w:lvl w:ilvl="0" w:tentative="0">
      <w:start w:val="3"/>
      <w:numFmt w:val="chineseCounting"/>
      <w:suff w:val="nothing"/>
      <w:lvlText w:val="（%1）"/>
      <w:lvlJc w:val="left"/>
      <w:rPr>
        <w:rFonts w:hint="eastAsia"/>
      </w:rPr>
    </w:lvl>
  </w:abstractNum>
  <w:abstractNum w:abstractNumId="3">
    <w:nsid w:val="4DEAC81F"/>
    <w:multiLevelType w:val="singleLevel"/>
    <w:tmpl w:val="4DEAC81F"/>
    <w:lvl w:ilvl="0" w:tentative="0">
      <w:start w:val="1"/>
      <w:numFmt w:val="decimal"/>
      <w:suff w:val="space"/>
      <w:lvlText w:val="%1."/>
      <w:lvlJc w:val="left"/>
    </w:lvl>
  </w:abstractNum>
  <w:abstractNum w:abstractNumId="4">
    <w:nsid w:val="5EAB391E"/>
    <w:multiLevelType w:val="singleLevel"/>
    <w:tmpl w:val="5EAB391E"/>
    <w:lvl w:ilvl="0" w:tentative="0">
      <w:start w:val="2"/>
      <w:numFmt w:val="decimal"/>
      <w:suff w:val="space"/>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C11249"/>
    <w:rsid w:val="0A1151C3"/>
    <w:rsid w:val="0C042E53"/>
    <w:rsid w:val="0DC31556"/>
    <w:rsid w:val="11B30D4A"/>
    <w:rsid w:val="17B417E8"/>
    <w:rsid w:val="1A3D6143"/>
    <w:rsid w:val="1C013801"/>
    <w:rsid w:val="1CB22269"/>
    <w:rsid w:val="29CA259E"/>
    <w:rsid w:val="2ACA2717"/>
    <w:rsid w:val="2D527252"/>
    <w:rsid w:val="2E9A7712"/>
    <w:rsid w:val="2EAE55F2"/>
    <w:rsid w:val="2EDF4302"/>
    <w:rsid w:val="37A771DD"/>
    <w:rsid w:val="47550EBA"/>
    <w:rsid w:val="5621301F"/>
    <w:rsid w:val="580E4D1B"/>
    <w:rsid w:val="628D67C3"/>
    <w:rsid w:val="62AB1EEE"/>
    <w:rsid w:val="6636451A"/>
    <w:rsid w:val="6ED3703B"/>
    <w:rsid w:val="6EF65E9C"/>
    <w:rsid w:val="71397E03"/>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eastAsia="宋体"/>
      <w:sz w:val="18"/>
      <w:szCs w:val="18"/>
    </w:rPr>
  </w:style>
  <w:style w:type="paragraph" w:styleId="3">
    <w:name w:val="Balloon Text"/>
    <w:basedOn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四号正文"/>
    <w:basedOn w:val="1"/>
    <w:link w:val="11"/>
    <w:qFormat/>
    <w:uiPriority w:val="0"/>
    <w:pPr>
      <w:spacing w:line="360" w:lineRule="auto"/>
    </w:pPr>
    <w:rPr>
      <w:rFonts w:ascii="??" w:hAnsi="??" w:eastAsia="宋体" w:cs="宋体"/>
      <w:color w:val="000000"/>
      <w:kern w:val="0"/>
      <w:sz w:val="28"/>
      <w:szCs w:val="21"/>
    </w:rPr>
  </w:style>
  <w:style w:type="character" w:customStyle="1" w:styleId="11">
    <w:name w:val="四号正文 Char"/>
    <w:basedOn w:val="8"/>
    <w:link w:val="10"/>
    <w:qFormat/>
    <w:uiPriority w:val="0"/>
    <w:rPr>
      <w:rFonts w:ascii="??" w:hAnsi="??" w:eastAsia="宋体" w:cs="宋体"/>
      <w:color w:val="000000"/>
      <w:sz w:val="28"/>
      <w:szCs w:val="21"/>
      <w:lang w:val="en-US" w:eastAsia="zh-CN" w:bidi="ar-SA"/>
    </w:rPr>
  </w:style>
  <w:style w:type="character" w:customStyle="1" w:styleId="12">
    <w:name w:val="文档结构图 字符"/>
    <w:basedOn w:val="8"/>
    <w:link w:val="2"/>
    <w:qFormat/>
    <w:uiPriority w:val="0"/>
    <w:rPr>
      <w:rFonts w:ascii="宋体"/>
      <w:kern w:val="2"/>
      <w:sz w:val="18"/>
      <w:szCs w:val="18"/>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页脚 字符"/>
    <w:basedOn w:val="8"/>
    <w:link w:val="4"/>
    <w:qFormat/>
    <w:uiPriority w:val="99"/>
    <w:rPr>
      <w:kern w:val="2"/>
      <w:sz w:val="18"/>
      <w:szCs w:val="18"/>
    </w:rPr>
  </w:style>
  <w:style w:type="character" w:customStyle="1" w:styleId="15">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1</Pages>
  <Words>52</Words>
  <Characters>302</Characters>
  <Lines>2</Lines>
  <Paragraphs>1</Paragraphs>
  <TotalTime>37</TotalTime>
  <ScaleCrop>false</ScaleCrop>
  <LinksUpToDate>false</LinksUpToDate>
  <CharactersWithSpaces>353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Lenovo</cp:lastModifiedBy>
  <cp:lastPrinted>2023-04-07T02:36:00Z</cp:lastPrinted>
  <dcterms:modified xsi:type="dcterms:W3CDTF">2024-06-20T01:09:26Z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5500665AC42A4D23A0316B5468744DDF</vt:lpwstr>
  </property>
</Properties>
</file>