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cs="方正小标宋简体"/>
          <w:kern w:val="2"/>
          <w:sz w:val="44"/>
          <w:szCs w:val="44"/>
          <w:lang w:val="zh-CN"/>
        </w:rPr>
      </w:pPr>
      <w:r>
        <w:rPr>
          <w:rFonts w:hint="eastAsia" w:cs="方正小标宋简体"/>
          <w:kern w:val="2"/>
          <w:sz w:val="44"/>
          <w:szCs w:val="44"/>
          <w:lang w:val="zh-CN"/>
        </w:rPr>
        <w:t>2022年度</w:t>
      </w:r>
    </w:p>
    <w:p>
      <w:pPr>
        <w:spacing w:line="300" w:lineRule="auto"/>
        <w:jc w:val="center"/>
        <w:rPr>
          <w:rFonts w:cs="方正小标宋简体"/>
          <w:kern w:val="2"/>
          <w:sz w:val="44"/>
          <w:szCs w:val="44"/>
          <w:lang w:val="zh-CN"/>
        </w:rPr>
      </w:pPr>
      <w:r>
        <w:rPr>
          <w:rFonts w:hint="eastAsia" w:cs="方正小标宋简体"/>
          <w:kern w:val="2"/>
          <w:sz w:val="44"/>
          <w:szCs w:val="44"/>
          <w:lang w:val="zh-CN"/>
        </w:rPr>
        <w:t>攀枝花市东区综合行政执法局部门决算</w:t>
      </w:r>
    </w:p>
    <w:p>
      <w:pPr>
        <w:keepNext/>
        <w:keepLines/>
        <w:tabs>
          <w:tab w:val="right" w:leader="dot" w:pos="8296"/>
        </w:tabs>
        <w:spacing w:line="353" w:lineRule="auto"/>
        <w:rPr>
          <w:rFonts w:cs="方正小标宋简体"/>
          <w:kern w:val="2"/>
          <w:sz w:val="52"/>
          <w:szCs w:val="52"/>
          <w:lang w:val="zh-CN"/>
        </w:rPr>
      </w:pPr>
    </w:p>
    <w:p>
      <w:pPr>
        <w:keepNext/>
        <w:keepLines/>
        <w:tabs>
          <w:tab w:val="right" w:leader="dot" w:pos="8296"/>
        </w:tabs>
        <w:spacing w:line="353" w:lineRule="auto"/>
        <w:rPr>
          <w:rFonts w:ascii="黑体" w:eastAsia="黑体" w:cs="黑体"/>
          <w:b/>
          <w:bCs/>
          <w:color w:val="FF0000"/>
          <w:kern w:val="2"/>
          <w:sz w:val="48"/>
          <w:szCs w:val="48"/>
          <w:lang w:val="zh-CN"/>
        </w:rPr>
      </w:pPr>
    </w:p>
    <w:p>
      <w:pPr>
        <w:spacing w:line="353" w:lineRule="auto"/>
        <w:jc w:val="center"/>
        <w:rPr>
          <w:rFonts w:ascii="黑体" w:eastAsia="黑体" w:cs="黑体"/>
          <w:kern w:val="2"/>
          <w:sz w:val="44"/>
          <w:szCs w:val="44"/>
          <w:lang w:val="zh-CN"/>
        </w:rPr>
      </w:pPr>
      <w:r>
        <w:rPr>
          <w:rFonts w:hint="eastAsia" w:ascii="黑体" w:eastAsia="黑体" w:cs="黑体"/>
          <w:kern w:val="2"/>
          <w:sz w:val="44"/>
          <w:szCs w:val="44"/>
          <w:lang w:val="zh-CN"/>
        </w:rPr>
        <w:t>目录</w:t>
      </w:r>
    </w:p>
    <w:p>
      <w:pPr>
        <w:spacing w:line="353" w:lineRule="auto"/>
        <w:jc w:val="center"/>
        <w:rPr>
          <w:rFonts w:ascii="黑体" w:eastAsia="黑体" w:cs="黑体"/>
          <w:kern w:val="2"/>
          <w:sz w:val="28"/>
          <w:szCs w:val="28"/>
          <w:lang w:val="zh-CN"/>
        </w:rPr>
      </w:pPr>
    </w:p>
    <w:p>
      <w:pPr>
        <w:tabs>
          <w:tab w:val="right" w:leader="dot" w:pos="8296"/>
        </w:tabs>
        <w:spacing w:before="93" w:line="353" w:lineRule="auto"/>
        <w:jc w:val="center"/>
        <w:rPr>
          <w:rFonts w:ascii="仿宋" w:eastAsia="仿宋" w:cs="仿宋"/>
          <w:kern w:val="2"/>
          <w:sz w:val="32"/>
          <w:szCs w:val="32"/>
          <w:lang w:val="zh-CN"/>
        </w:rPr>
      </w:pPr>
      <w:r>
        <w:rPr>
          <w:rFonts w:hint="eastAsia" w:ascii="仿宋" w:eastAsia="仿宋" w:cs="仿宋"/>
          <w:kern w:val="2"/>
          <w:sz w:val="32"/>
          <w:szCs w:val="32"/>
          <w:lang w:val="zh-CN"/>
        </w:rPr>
        <w:t>公开时间：</w:t>
      </w:r>
      <w:r>
        <w:rPr>
          <w:rFonts w:ascii="仿宋" w:eastAsia="仿宋" w:cs="仿宋"/>
          <w:kern w:val="2"/>
          <w:sz w:val="32"/>
          <w:szCs w:val="32"/>
          <w:lang w:val="zh-CN"/>
        </w:rPr>
        <w:t>2023</w:t>
      </w:r>
      <w:r>
        <w:rPr>
          <w:rFonts w:hint="eastAsia" w:ascii="仿宋" w:eastAsia="仿宋" w:cs="仿宋"/>
          <w:kern w:val="2"/>
          <w:sz w:val="32"/>
          <w:szCs w:val="32"/>
          <w:lang w:val="zh-CN"/>
        </w:rPr>
        <w:t>年</w:t>
      </w:r>
      <w:r>
        <w:rPr>
          <w:rFonts w:ascii="仿宋" w:eastAsia="仿宋" w:cs="仿宋"/>
          <w:kern w:val="2"/>
          <w:sz w:val="32"/>
          <w:szCs w:val="32"/>
          <w:lang w:val="zh-CN"/>
        </w:rPr>
        <w:t xml:space="preserve"> </w:t>
      </w:r>
      <w:r>
        <w:rPr>
          <w:rFonts w:hint="eastAsia" w:ascii="仿宋" w:eastAsia="仿宋" w:cs="仿宋"/>
          <w:kern w:val="2"/>
          <w:sz w:val="32"/>
          <w:szCs w:val="32"/>
          <w:lang w:val="zh-CN"/>
        </w:rPr>
        <w:t>10</w:t>
      </w:r>
      <w:r>
        <w:rPr>
          <w:rFonts w:ascii="仿宋" w:eastAsia="仿宋" w:cs="仿宋"/>
          <w:kern w:val="2"/>
          <w:sz w:val="32"/>
          <w:szCs w:val="32"/>
          <w:lang w:val="zh-CN"/>
        </w:rPr>
        <w:t xml:space="preserve"> </w:t>
      </w:r>
      <w:r>
        <w:rPr>
          <w:rFonts w:hint="eastAsia" w:ascii="仿宋" w:eastAsia="仿宋" w:cs="仿宋"/>
          <w:kern w:val="2"/>
          <w:sz w:val="32"/>
          <w:szCs w:val="32"/>
          <w:lang w:val="zh-CN"/>
        </w:rPr>
        <w:t>月</w:t>
      </w:r>
      <w:r>
        <w:rPr>
          <w:rFonts w:ascii="仿宋" w:eastAsia="仿宋" w:cs="仿宋"/>
          <w:kern w:val="2"/>
          <w:sz w:val="32"/>
          <w:szCs w:val="32"/>
          <w:lang w:val="zh-CN"/>
        </w:rPr>
        <w:t xml:space="preserve"> </w:t>
      </w:r>
      <w:r>
        <w:rPr>
          <w:rFonts w:hint="eastAsia" w:ascii="仿宋" w:eastAsia="仿宋" w:cs="仿宋"/>
          <w:kern w:val="2"/>
          <w:sz w:val="32"/>
          <w:szCs w:val="32"/>
          <w:lang w:val="zh-CN"/>
        </w:rPr>
        <w:t>27</w:t>
      </w:r>
      <w:r>
        <w:rPr>
          <w:rFonts w:ascii="仿宋" w:eastAsia="仿宋" w:cs="仿宋"/>
          <w:kern w:val="2"/>
          <w:sz w:val="32"/>
          <w:szCs w:val="32"/>
          <w:lang w:val="zh-CN"/>
        </w:rPr>
        <w:t xml:space="preserve"> </w:t>
      </w:r>
      <w:r>
        <w:rPr>
          <w:rFonts w:hint="eastAsia" w:ascii="仿宋" w:eastAsia="仿宋" w:cs="仿宋"/>
          <w:kern w:val="2"/>
          <w:sz w:val="32"/>
          <w:szCs w:val="32"/>
          <w:lang w:val="zh-CN"/>
        </w:rPr>
        <w:t>日</w:t>
      </w:r>
    </w:p>
    <w:p>
      <w:pPr>
        <w:spacing w:line="353" w:lineRule="auto"/>
        <w:jc w:val="both"/>
        <w:rPr>
          <w:rFonts w:ascii="Times New Roman" w:hAnsi="Times New Roman" w:eastAsia="仿宋" w:cs="Times New Roman"/>
          <w:kern w:val="2"/>
          <w:sz w:val="32"/>
          <w:szCs w:val="32"/>
          <w:lang w:val="zh-CN"/>
        </w:rPr>
      </w:pPr>
    </w:p>
    <w:p>
      <w:pPr>
        <w:tabs>
          <w:tab w:val="right" w:leader="dot" w:pos="8296"/>
        </w:tabs>
        <w:spacing w:line="353" w:lineRule="auto"/>
        <w:rPr>
          <w:rFonts w:ascii="仿宋" w:hAnsi="Times New Roman" w:eastAsia="仿宋" w:cs="仿宋"/>
          <w:kern w:val="2"/>
          <w:sz w:val="32"/>
          <w:szCs w:val="32"/>
          <w:lang w:val="zh-CN"/>
        </w:rPr>
      </w:pPr>
      <w:r>
        <w:rPr>
          <w:rFonts w:hint="eastAsia" w:ascii="仿宋" w:hAnsi="Times New Roman" w:eastAsia="仿宋" w:cs="仿宋"/>
          <w:kern w:val="2"/>
          <w:sz w:val="32"/>
          <w:szCs w:val="32"/>
          <w:lang w:val="zh-CN"/>
        </w:rPr>
        <w:t>第一部分</w:t>
      </w:r>
      <w:r>
        <w:rPr>
          <w:rFonts w:ascii="仿宋" w:hAnsi="Times New Roman" w:eastAsia="仿宋" w:cs="仿宋"/>
          <w:kern w:val="2"/>
          <w:sz w:val="32"/>
          <w:szCs w:val="32"/>
          <w:lang w:val="zh-CN"/>
        </w:rPr>
        <w:t xml:space="preserve"> </w:t>
      </w:r>
      <w:r>
        <w:rPr>
          <w:rFonts w:hint="eastAsia" w:ascii="仿宋" w:hAnsi="Times New Roman" w:eastAsia="仿宋" w:cs="仿宋"/>
          <w:kern w:val="2"/>
          <w:sz w:val="32"/>
          <w:szCs w:val="32"/>
          <w:lang w:val="zh-CN"/>
        </w:rPr>
        <w:t>部门概况</w:t>
      </w:r>
      <w:r>
        <w:rPr>
          <w:rFonts w:ascii="仿宋" w:hAnsi="Times New Roman" w:eastAsia="仿宋" w:cs="仿宋"/>
          <w:kern w:val="2"/>
          <w:sz w:val="32"/>
          <w:szCs w:val="32"/>
          <w:lang w:val="zh-CN"/>
        </w:rPr>
        <w:t>…………………………………………</w:t>
      </w:r>
      <w:r>
        <w:rPr>
          <w:rFonts w:hint="eastAsia" w:ascii="仿宋" w:hAnsi="Times New Roman" w:eastAsia="仿宋" w:cs="仿宋"/>
          <w:kern w:val="2"/>
          <w:sz w:val="32"/>
          <w:szCs w:val="32"/>
          <w:lang w:val="zh-CN"/>
        </w:rPr>
        <w:t>..</w:t>
      </w:r>
      <w:r>
        <w:rPr>
          <w:rFonts w:hint="eastAsia" w:ascii="宋体" w:hAnsi="Times New Roman" w:eastAsia="宋体" w:cs="宋体"/>
          <w:kern w:val="2"/>
          <w:sz w:val="28"/>
          <w:szCs w:val="28"/>
          <w:lang w:val="zh-CN"/>
        </w:rPr>
        <w:t>3</w:t>
      </w:r>
    </w:p>
    <w:p>
      <w:pPr>
        <w:tabs>
          <w:tab w:val="right" w:leader="dot" w:pos="8296"/>
        </w:tabs>
        <w:spacing w:line="353" w:lineRule="auto"/>
        <w:ind w:left="420"/>
        <w:rPr>
          <w:rFonts w:ascii="仿宋" w:hAnsi="Times New Roman" w:eastAsia="仿宋" w:cs="仿宋"/>
          <w:kern w:val="2"/>
          <w:sz w:val="28"/>
          <w:szCs w:val="28"/>
          <w:lang w:val="zh-CN"/>
        </w:rPr>
      </w:pPr>
      <w:r>
        <w:rPr>
          <w:rFonts w:hint="eastAsia" w:ascii="宋体" w:hAnsi="Times New Roman" w:eastAsia="宋体" w:cs="宋体"/>
          <w:kern w:val="2"/>
          <w:sz w:val="28"/>
          <w:szCs w:val="28"/>
          <w:lang w:val="zh-CN"/>
        </w:rPr>
        <w:t>一、部门职责</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.3</w:t>
      </w:r>
      <w:r>
        <w:rPr>
          <w:rFonts w:ascii="仿宋" w:hAnsi="Times New Roman" w:eastAsia="仿宋" w:cs="仿宋"/>
          <w:kern w:val="2"/>
          <w:sz w:val="28"/>
          <w:szCs w:val="28"/>
          <w:lang w:val="zh-CN"/>
        </w:rPr>
        <w:t xml:space="preserve"> </w:t>
      </w:r>
    </w:p>
    <w:p>
      <w:pPr>
        <w:tabs>
          <w:tab w:val="right" w:leader="dot" w:pos="8296"/>
        </w:tabs>
        <w:spacing w:line="353" w:lineRule="auto"/>
        <w:ind w:left="420"/>
        <w:rPr>
          <w:rFonts w:ascii="仿宋" w:hAnsi="Times New Roman" w:eastAsia="仿宋" w:cs="仿宋"/>
          <w:kern w:val="2"/>
          <w:sz w:val="28"/>
          <w:szCs w:val="28"/>
          <w:lang w:val="zh-CN"/>
        </w:rPr>
      </w:pPr>
      <w:r>
        <w:rPr>
          <w:rFonts w:hint="eastAsia" w:ascii="宋体" w:hAnsi="Times New Roman" w:eastAsia="宋体" w:cs="宋体"/>
          <w:kern w:val="2"/>
          <w:sz w:val="28"/>
          <w:szCs w:val="28"/>
          <w:lang w:val="zh-CN"/>
        </w:rPr>
        <w:t>二、机构设置</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.4</w:t>
      </w:r>
    </w:p>
    <w:p>
      <w:pPr>
        <w:tabs>
          <w:tab w:val="right" w:leader="dot" w:pos="8296"/>
        </w:tabs>
        <w:spacing w:line="353" w:lineRule="auto"/>
        <w:rPr>
          <w:rFonts w:ascii="仿宋" w:hAnsi="Times New Roman" w:eastAsia="仿宋" w:cs="仿宋"/>
          <w:kern w:val="2"/>
          <w:sz w:val="32"/>
          <w:szCs w:val="32"/>
          <w:lang w:val="zh-CN"/>
        </w:rPr>
      </w:pPr>
      <w:r>
        <w:rPr>
          <w:rFonts w:hint="eastAsia" w:ascii="仿宋" w:hAnsi="Times New Roman" w:eastAsia="仿宋" w:cs="仿宋"/>
          <w:kern w:val="2"/>
          <w:sz w:val="32"/>
          <w:szCs w:val="32"/>
          <w:lang w:val="zh-CN"/>
        </w:rPr>
        <w:t>第二部分</w:t>
      </w:r>
      <w:r>
        <w:rPr>
          <w:rFonts w:ascii="仿宋" w:hAnsi="Times New Roman" w:eastAsia="仿宋" w:cs="仿宋"/>
          <w:kern w:val="2"/>
          <w:sz w:val="32"/>
          <w:szCs w:val="32"/>
          <w:lang w:val="zh-CN"/>
        </w:rPr>
        <w:t xml:space="preserve"> 2022</w:t>
      </w:r>
      <w:r>
        <w:rPr>
          <w:rFonts w:hint="eastAsia" w:ascii="仿宋" w:hAnsi="Times New Roman" w:eastAsia="仿宋" w:cs="仿宋"/>
          <w:kern w:val="2"/>
          <w:sz w:val="32"/>
          <w:szCs w:val="32"/>
          <w:lang w:val="zh-CN"/>
        </w:rPr>
        <w:t>年度部门决算情况说明</w:t>
      </w:r>
      <w:r>
        <w:rPr>
          <w:rFonts w:ascii="仿宋" w:hAnsi="Times New Roman" w:eastAsia="仿宋" w:cs="仿宋"/>
          <w:kern w:val="2"/>
          <w:sz w:val="32"/>
          <w:szCs w:val="32"/>
          <w:lang w:val="zh-CN"/>
        </w:rPr>
        <w:t>……………………</w:t>
      </w:r>
      <w:r>
        <w:rPr>
          <w:rFonts w:hint="eastAsia" w:ascii="仿宋" w:hAnsi="Times New Roman" w:eastAsia="仿宋" w:cs="仿宋"/>
          <w:kern w:val="2"/>
          <w:sz w:val="32"/>
          <w:szCs w:val="32"/>
          <w:lang w:val="zh-CN"/>
        </w:rPr>
        <w:t>..</w:t>
      </w:r>
      <w:r>
        <w:rPr>
          <w:rFonts w:hint="eastAsia" w:ascii="仿宋" w:hAnsi="Times New Roman" w:eastAsia="仿宋" w:cs="仿宋"/>
          <w:kern w:val="2"/>
          <w:sz w:val="28"/>
          <w:szCs w:val="28"/>
          <w:lang w:val="zh-CN"/>
        </w:rPr>
        <w:t>5</w:t>
      </w:r>
    </w:p>
    <w:p>
      <w:pPr>
        <w:tabs>
          <w:tab w:val="right" w:leader="dot" w:pos="8296"/>
        </w:tabs>
        <w:spacing w:line="353" w:lineRule="auto"/>
        <w:ind w:left="420"/>
        <w:rPr>
          <w:rFonts w:ascii="仿宋" w:hAnsi="Times New Roman" w:eastAsia="仿宋" w:cs="仿宋"/>
          <w:kern w:val="2"/>
          <w:sz w:val="28"/>
          <w:szCs w:val="28"/>
          <w:lang w:val="zh-CN"/>
        </w:rPr>
      </w:pPr>
      <w:r>
        <w:rPr>
          <w:rFonts w:hint="eastAsia" w:ascii="宋体" w:hAnsi="Times New Roman" w:eastAsia="宋体" w:cs="宋体"/>
          <w:kern w:val="2"/>
          <w:sz w:val="28"/>
          <w:szCs w:val="28"/>
          <w:lang w:val="zh-CN"/>
        </w:rPr>
        <w:t>一、收入支出决算总体情况说明</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5</w:t>
      </w:r>
    </w:p>
    <w:p>
      <w:pPr>
        <w:tabs>
          <w:tab w:val="right" w:leader="dot" w:pos="8296"/>
        </w:tabs>
        <w:spacing w:line="353" w:lineRule="auto"/>
        <w:ind w:left="420"/>
        <w:rPr>
          <w:rFonts w:ascii="仿宋" w:hAnsi="Times New Roman" w:eastAsia="仿宋" w:cs="仿宋"/>
          <w:kern w:val="2"/>
          <w:sz w:val="28"/>
          <w:szCs w:val="28"/>
          <w:lang w:val="zh-CN"/>
        </w:rPr>
      </w:pPr>
      <w:r>
        <w:rPr>
          <w:rFonts w:hint="eastAsia" w:ascii="宋体" w:hAnsi="Times New Roman" w:eastAsia="宋体" w:cs="宋体"/>
          <w:kern w:val="2"/>
          <w:sz w:val="28"/>
          <w:szCs w:val="28"/>
          <w:lang w:val="zh-CN"/>
        </w:rPr>
        <w:t>二、收入决算情况说明</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..6</w:t>
      </w:r>
    </w:p>
    <w:p>
      <w:pPr>
        <w:tabs>
          <w:tab w:val="right" w:leader="dot" w:pos="8296"/>
        </w:tabs>
        <w:spacing w:line="353" w:lineRule="auto"/>
        <w:ind w:left="420"/>
        <w:rPr>
          <w:rFonts w:ascii="仿宋" w:hAnsi="Times New Roman" w:eastAsia="仿宋" w:cs="仿宋"/>
          <w:kern w:val="2"/>
          <w:sz w:val="28"/>
          <w:szCs w:val="28"/>
          <w:lang w:val="zh-CN"/>
        </w:rPr>
      </w:pPr>
      <w:r>
        <w:rPr>
          <w:rFonts w:hint="eastAsia" w:ascii="宋体" w:hAnsi="Times New Roman" w:eastAsia="宋体" w:cs="宋体"/>
          <w:kern w:val="2"/>
          <w:sz w:val="28"/>
          <w:szCs w:val="28"/>
          <w:lang w:val="zh-CN"/>
        </w:rPr>
        <w:t>三、支出决算情况说明</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6</w:t>
      </w:r>
    </w:p>
    <w:p>
      <w:pPr>
        <w:tabs>
          <w:tab w:val="right" w:leader="dot" w:pos="8296"/>
        </w:tabs>
        <w:spacing w:line="353" w:lineRule="auto"/>
        <w:ind w:left="420"/>
        <w:rPr>
          <w:rFonts w:ascii="仿宋" w:hAnsi="Times New Roman" w:eastAsia="仿宋" w:cs="仿宋"/>
          <w:kern w:val="2"/>
          <w:sz w:val="28"/>
          <w:szCs w:val="28"/>
          <w:lang w:val="zh-CN"/>
        </w:rPr>
      </w:pPr>
      <w:r>
        <w:rPr>
          <w:rFonts w:hint="eastAsia" w:ascii="宋体" w:hAnsi="Times New Roman" w:eastAsia="宋体" w:cs="宋体"/>
          <w:kern w:val="2"/>
          <w:sz w:val="28"/>
          <w:szCs w:val="28"/>
          <w:lang w:val="zh-CN"/>
        </w:rPr>
        <w:t>四、财政拨款收入支出决算总体情况说明</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..7</w:t>
      </w:r>
    </w:p>
    <w:p>
      <w:pPr>
        <w:tabs>
          <w:tab w:val="right" w:leader="dot" w:pos="8296"/>
        </w:tabs>
        <w:spacing w:line="353" w:lineRule="auto"/>
        <w:ind w:left="420"/>
        <w:rPr>
          <w:rFonts w:ascii="仿宋" w:hAnsi="Times New Roman" w:eastAsia="仿宋" w:cs="仿宋"/>
          <w:kern w:val="2"/>
          <w:sz w:val="28"/>
          <w:szCs w:val="28"/>
          <w:lang w:val="zh-CN"/>
        </w:rPr>
      </w:pPr>
      <w:r>
        <w:rPr>
          <w:rFonts w:hint="eastAsia" w:ascii="宋体" w:hAnsi="Times New Roman" w:eastAsia="宋体" w:cs="宋体"/>
          <w:kern w:val="2"/>
          <w:sz w:val="28"/>
          <w:szCs w:val="28"/>
          <w:lang w:val="zh-CN"/>
        </w:rPr>
        <w:t>五、一般公共预算财政拨款支出决算情况说明</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..8</w:t>
      </w:r>
    </w:p>
    <w:p>
      <w:pPr>
        <w:tabs>
          <w:tab w:val="right" w:leader="dot" w:pos="8296"/>
        </w:tabs>
        <w:spacing w:line="353" w:lineRule="auto"/>
        <w:ind w:left="420"/>
        <w:rPr>
          <w:rFonts w:ascii="仿宋" w:hAnsi="Times New Roman" w:eastAsia="仿宋" w:cs="仿宋"/>
          <w:kern w:val="2"/>
          <w:sz w:val="28"/>
          <w:szCs w:val="28"/>
          <w:lang w:val="zh-CN"/>
        </w:rPr>
      </w:pPr>
      <w:r>
        <w:rPr>
          <w:rFonts w:hint="eastAsia" w:ascii="宋体" w:hAnsi="Times New Roman" w:eastAsia="宋体" w:cs="宋体"/>
          <w:kern w:val="2"/>
          <w:sz w:val="28"/>
          <w:szCs w:val="28"/>
          <w:lang w:val="zh-CN"/>
        </w:rPr>
        <w:t>六、一般公共预算财政拨款基本支出决算情况说明</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11</w:t>
      </w:r>
    </w:p>
    <w:p>
      <w:pPr>
        <w:tabs>
          <w:tab w:val="right" w:leader="dot" w:pos="8296"/>
        </w:tabs>
        <w:spacing w:line="353" w:lineRule="auto"/>
        <w:ind w:left="420"/>
        <w:rPr>
          <w:rFonts w:ascii="仿宋" w:hAnsi="Times New Roman" w:eastAsia="仿宋" w:cs="仿宋"/>
          <w:kern w:val="2"/>
          <w:sz w:val="32"/>
          <w:szCs w:val="32"/>
          <w:lang w:val="zh-CN"/>
        </w:rPr>
      </w:pPr>
      <w:r>
        <w:rPr>
          <w:rFonts w:hint="eastAsia" w:ascii="宋体" w:hAnsi="Times New Roman" w:eastAsia="宋体" w:cs="宋体"/>
          <w:kern w:val="2"/>
          <w:sz w:val="28"/>
          <w:szCs w:val="28"/>
          <w:lang w:val="zh-CN"/>
        </w:rPr>
        <w:t>七、财政拨款</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三公</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经费支出决算情况说明</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.12</w:t>
      </w:r>
    </w:p>
    <w:p>
      <w:pPr>
        <w:tabs>
          <w:tab w:val="right" w:leader="dot" w:pos="8296"/>
        </w:tabs>
        <w:spacing w:line="353" w:lineRule="auto"/>
        <w:ind w:left="420"/>
        <w:rPr>
          <w:rFonts w:ascii="仿宋" w:hAnsi="Times New Roman" w:eastAsia="仿宋" w:cs="仿宋"/>
          <w:kern w:val="2"/>
          <w:sz w:val="28"/>
          <w:szCs w:val="28"/>
          <w:lang w:val="zh-CN"/>
        </w:rPr>
      </w:pPr>
      <w:r>
        <w:rPr>
          <w:rFonts w:hint="eastAsia" w:ascii="宋体" w:hAnsi="Times New Roman" w:eastAsia="宋体" w:cs="宋体"/>
          <w:kern w:val="2"/>
          <w:sz w:val="28"/>
          <w:szCs w:val="28"/>
          <w:lang w:val="zh-CN"/>
        </w:rPr>
        <w:t>八、政府性基金预算支出决算情况说明</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.14</w:t>
      </w:r>
    </w:p>
    <w:p>
      <w:pPr>
        <w:tabs>
          <w:tab w:val="right" w:leader="dot" w:pos="8296"/>
        </w:tabs>
        <w:spacing w:line="353" w:lineRule="auto"/>
        <w:ind w:left="420"/>
        <w:rPr>
          <w:rFonts w:ascii="宋体" w:hAnsi="Times New Roman" w:eastAsia="宋体" w:cs="宋体"/>
          <w:kern w:val="2"/>
          <w:sz w:val="28"/>
          <w:szCs w:val="28"/>
          <w:lang w:val="zh-CN"/>
        </w:rPr>
      </w:pPr>
      <w:r>
        <w:rPr>
          <w:rFonts w:hint="eastAsia" w:ascii="宋体" w:hAnsi="Times New Roman" w:eastAsia="宋体" w:cs="宋体"/>
          <w:kern w:val="2"/>
          <w:sz w:val="28"/>
          <w:szCs w:val="28"/>
          <w:lang w:val="zh-CN"/>
        </w:rPr>
        <w:t>九、国有资本经营预算支出决算情况说明</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..14</w:t>
      </w:r>
    </w:p>
    <w:p>
      <w:pPr>
        <w:keepNext/>
        <w:keepLines/>
        <w:spacing w:line="353" w:lineRule="auto"/>
        <w:ind w:firstLine="420"/>
        <w:rPr>
          <w:rFonts w:ascii="宋体" w:hAnsi="Times New Roman" w:eastAsia="宋体" w:cs="宋体"/>
          <w:kern w:val="2"/>
          <w:sz w:val="32"/>
          <w:szCs w:val="32"/>
          <w:lang w:val="zh-CN"/>
        </w:rPr>
      </w:pPr>
      <w:r>
        <w:rPr>
          <w:rFonts w:hint="eastAsia" w:ascii="宋体" w:hAnsi="Times New Roman" w:eastAsia="宋体" w:cs="宋体"/>
          <w:kern w:val="2"/>
          <w:sz w:val="28"/>
          <w:szCs w:val="28"/>
          <w:lang w:val="zh-CN"/>
        </w:rPr>
        <w:t>十、其他重要事项的情况说明</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14</w:t>
      </w:r>
    </w:p>
    <w:p>
      <w:pPr>
        <w:tabs>
          <w:tab w:val="right" w:leader="dot" w:pos="8296"/>
        </w:tabs>
        <w:spacing w:line="353" w:lineRule="auto"/>
        <w:rPr>
          <w:rFonts w:ascii="仿宋" w:hAnsi="Times New Roman" w:eastAsia="仿宋" w:cs="仿宋"/>
          <w:kern w:val="2"/>
          <w:sz w:val="32"/>
          <w:szCs w:val="32"/>
          <w:lang w:val="zh-CN"/>
        </w:rPr>
      </w:pPr>
      <w:r>
        <w:rPr>
          <w:rFonts w:hint="eastAsia" w:ascii="仿宋" w:hAnsi="Times New Roman" w:eastAsia="仿宋" w:cs="仿宋"/>
          <w:kern w:val="2"/>
          <w:sz w:val="32"/>
          <w:szCs w:val="32"/>
          <w:lang w:val="zh-CN"/>
        </w:rPr>
        <w:t>第三部分</w:t>
      </w:r>
      <w:r>
        <w:rPr>
          <w:rFonts w:ascii="仿宋" w:hAnsi="Times New Roman" w:eastAsia="仿宋" w:cs="仿宋"/>
          <w:kern w:val="2"/>
          <w:sz w:val="32"/>
          <w:szCs w:val="32"/>
          <w:lang w:val="zh-CN"/>
        </w:rPr>
        <w:t xml:space="preserve"> </w:t>
      </w:r>
      <w:r>
        <w:rPr>
          <w:rFonts w:hint="eastAsia" w:ascii="仿宋" w:hAnsi="Times New Roman" w:eastAsia="仿宋" w:cs="仿宋"/>
          <w:kern w:val="2"/>
          <w:sz w:val="32"/>
          <w:szCs w:val="32"/>
          <w:lang w:val="zh-CN"/>
        </w:rPr>
        <w:t>名词解释</w:t>
      </w:r>
      <w:r>
        <w:rPr>
          <w:rFonts w:ascii="仿宋" w:hAnsi="Times New Roman" w:eastAsia="仿宋" w:cs="仿宋"/>
          <w:kern w:val="2"/>
          <w:sz w:val="32"/>
          <w:szCs w:val="32"/>
          <w:lang w:val="zh-CN"/>
        </w:rPr>
        <w:t>………………………………</w:t>
      </w:r>
      <w:r>
        <w:rPr>
          <w:rFonts w:hint="eastAsia" w:ascii="仿宋" w:hAnsi="Times New Roman" w:eastAsia="仿宋" w:cs="仿宋"/>
          <w:kern w:val="2"/>
          <w:sz w:val="32"/>
          <w:szCs w:val="32"/>
          <w:lang w:val="zh-CN"/>
        </w:rPr>
        <w:t>..</w:t>
      </w:r>
      <w:r>
        <w:rPr>
          <w:rFonts w:ascii="仿宋" w:hAnsi="Times New Roman" w:eastAsia="仿宋" w:cs="仿宋"/>
          <w:kern w:val="2"/>
          <w:sz w:val="32"/>
          <w:szCs w:val="32"/>
          <w:lang w:val="zh-CN"/>
        </w:rPr>
        <w:t>………</w:t>
      </w:r>
      <w:r>
        <w:rPr>
          <w:rFonts w:hint="eastAsia" w:ascii="仿宋" w:hAnsi="Times New Roman" w:eastAsia="仿宋" w:cs="仿宋"/>
          <w:kern w:val="2"/>
          <w:sz w:val="32"/>
          <w:szCs w:val="32"/>
          <w:lang w:val="zh-CN"/>
        </w:rPr>
        <w:t>.</w:t>
      </w:r>
      <w:r>
        <w:rPr>
          <w:rFonts w:hint="eastAsia" w:ascii="仿宋" w:hAnsi="Times New Roman" w:eastAsia="仿宋" w:cs="仿宋"/>
          <w:kern w:val="2"/>
          <w:sz w:val="28"/>
          <w:szCs w:val="28"/>
          <w:lang w:val="zh-CN"/>
        </w:rPr>
        <w:t>17</w:t>
      </w:r>
    </w:p>
    <w:p>
      <w:pPr>
        <w:tabs>
          <w:tab w:val="right" w:leader="dot" w:pos="8296"/>
        </w:tabs>
        <w:spacing w:line="353" w:lineRule="auto"/>
        <w:rPr>
          <w:rFonts w:ascii="仿宋" w:hAnsi="Times New Roman" w:eastAsia="仿宋" w:cs="仿宋"/>
          <w:kern w:val="2"/>
          <w:sz w:val="32"/>
          <w:szCs w:val="32"/>
          <w:lang w:val="zh-CN"/>
        </w:rPr>
      </w:pPr>
      <w:r>
        <w:rPr>
          <w:rFonts w:hint="eastAsia" w:ascii="仿宋" w:hAnsi="Times New Roman" w:eastAsia="仿宋" w:cs="仿宋"/>
          <w:kern w:val="2"/>
          <w:sz w:val="32"/>
          <w:szCs w:val="32"/>
          <w:lang w:val="zh-CN"/>
        </w:rPr>
        <w:t>第四部分</w:t>
      </w:r>
      <w:r>
        <w:rPr>
          <w:rFonts w:ascii="仿宋" w:hAnsi="Times New Roman" w:eastAsia="仿宋" w:cs="仿宋"/>
          <w:kern w:val="2"/>
          <w:sz w:val="32"/>
          <w:szCs w:val="32"/>
          <w:lang w:val="zh-CN"/>
        </w:rPr>
        <w:t xml:space="preserve"> </w:t>
      </w:r>
      <w:r>
        <w:rPr>
          <w:rFonts w:hint="eastAsia" w:ascii="仿宋" w:hAnsi="Times New Roman" w:eastAsia="仿宋" w:cs="仿宋"/>
          <w:kern w:val="2"/>
          <w:sz w:val="32"/>
          <w:szCs w:val="32"/>
          <w:lang w:val="zh-CN"/>
        </w:rPr>
        <w:t>附件</w:t>
      </w:r>
      <w:r>
        <w:rPr>
          <w:rFonts w:ascii="仿宋" w:hAnsi="Times New Roman" w:eastAsia="仿宋" w:cs="仿宋"/>
          <w:kern w:val="2"/>
          <w:sz w:val="32"/>
          <w:szCs w:val="32"/>
          <w:lang w:val="zh-CN"/>
        </w:rPr>
        <w:t>……………………………………</w:t>
      </w:r>
      <w:r>
        <w:rPr>
          <w:rFonts w:hint="eastAsia" w:ascii="仿宋" w:hAnsi="Times New Roman" w:eastAsia="仿宋" w:cs="仿宋"/>
          <w:kern w:val="2"/>
          <w:sz w:val="32"/>
          <w:szCs w:val="32"/>
          <w:lang w:val="zh-CN"/>
        </w:rPr>
        <w:t>..</w:t>
      </w:r>
      <w:r>
        <w:rPr>
          <w:rFonts w:ascii="仿宋" w:hAnsi="Times New Roman" w:eastAsia="仿宋" w:cs="仿宋"/>
          <w:kern w:val="2"/>
          <w:sz w:val="32"/>
          <w:szCs w:val="32"/>
          <w:lang w:val="zh-CN"/>
        </w:rPr>
        <w:t>………</w:t>
      </w:r>
      <w:r>
        <w:rPr>
          <w:rFonts w:hint="eastAsia" w:ascii="仿宋" w:hAnsi="Times New Roman" w:eastAsia="仿宋" w:cs="仿宋"/>
          <w:kern w:val="2"/>
          <w:sz w:val="32"/>
          <w:szCs w:val="32"/>
          <w:lang w:val="zh-CN"/>
        </w:rPr>
        <w:t>.</w:t>
      </w:r>
      <w:r>
        <w:rPr>
          <w:rFonts w:hint="eastAsia" w:ascii="仿宋" w:hAnsi="Times New Roman" w:eastAsia="仿宋" w:cs="仿宋"/>
          <w:kern w:val="2"/>
          <w:sz w:val="28"/>
          <w:szCs w:val="28"/>
          <w:lang w:val="zh-CN"/>
        </w:rPr>
        <w:t>21</w:t>
      </w:r>
    </w:p>
    <w:p>
      <w:pPr>
        <w:tabs>
          <w:tab w:val="right" w:leader="dot" w:pos="8296"/>
        </w:tabs>
        <w:spacing w:line="353" w:lineRule="auto"/>
        <w:rPr>
          <w:rFonts w:ascii="仿宋" w:hAnsi="Times New Roman" w:eastAsia="仿宋" w:cs="仿宋"/>
          <w:kern w:val="2"/>
          <w:sz w:val="32"/>
          <w:szCs w:val="32"/>
          <w:lang w:val="zh-CN"/>
        </w:rPr>
      </w:pPr>
      <w:r>
        <w:rPr>
          <w:rFonts w:hint="eastAsia" w:ascii="仿宋" w:hAnsi="Times New Roman" w:eastAsia="仿宋" w:cs="仿宋"/>
          <w:kern w:val="2"/>
          <w:sz w:val="32"/>
          <w:szCs w:val="32"/>
          <w:lang w:val="zh-CN"/>
        </w:rPr>
        <w:t>第五部分 附表</w:t>
      </w:r>
      <w:r>
        <w:rPr>
          <w:rFonts w:ascii="仿宋" w:hAnsi="Times New Roman" w:eastAsia="仿宋" w:cs="仿宋"/>
          <w:kern w:val="2"/>
          <w:sz w:val="32"/>
          <w:szCs w:val="32"/>
          <w:lang w:val="zh-CN"/>
        </w:rPr>
        <w:t>………………………</w:t>
      </w:r>
      <w:r>
        <w:rPr>
          <w:rFonts w:hint="eastAsia" w:ascii="仿宋" w:hAnsi="Times New Roman" w:eastAsia="仿宋" w:cs="仿宋"/>
          <w:kern w:val="2"/>
          <w:sz w:val="32"/>
          <w:szCs w:val="32"/>
          <w:lang w:val="zh-CN"/>
        </w:rPr>
        <w:t>..</w:t>
      </w:r>
      <w:r>
        <w:rPr>
          <w:rFonts w:ascii="仿宋" w:hAnsi="Times New Roman" w:eastAsia="仿宋" w:cs="仿宋"/>
          <w:kern w:val="2"/>
          <w:sz w:val="32"/>
          <w:szCs w:val="32"/>
          <w:lang w:val="zh-CN"/>
        </w:rPr>
        <w:t>…………</w:t>
      </w:r>
      <w:r>
        <w:rPr>
          <w:rFonts w:hint="eastAsia" w:ascii="仿宋" w:hAnsi="Times New Roman" w:eastAsia="仿宋" w:cs="仿宋"/>
          <w:kern w:val="2"/>
          <w:sz w:val="32"/>
          <w:szCs w:val="32"/>
          <w:lang w:val="zh-CN"/>
        </w:rPr>
        <w:t>..</w:t>
      </w:r>
      <w:r>
        <w:rPr>
          <w:rFonts w:ascii="仿宋" w:hAnsi="Times New Roman" w:eastAsia="仿宋" w:cs="仿宋"/>
          <w:kern w:val="2"/>
          <w:sz w:val="32"/>
          <w:szCs w:val="32"/>
          <w:lang w:val="zh-CN"/>
        </w:rPr>
        <w:t>………</w:t>
      </w:r>
      <w:r>
        <w:rPr>
          <w:rFonts w:hint="eastAsia" w:ascii="仿宋" w:hAnsi="Times New Roman" w:eastAsia="仿宋" w:cs="仿宋"/>
          <w:kern w:val="2"/>
          <w:sz w:val="32"/>
          <w:szCs w:val="32"/>
          <w:lang w:val="zh-CN"/>
        </w:rPr>
        <w:t>.</w:t>
      </w:r>
      <w:r>
        <w:rPr>
          <w:rFonts w:hint="eastAsia" w:ascii="仿宋" w:hAnsi="Times New Roman" w:eastAsia="仿宋" w:cs="仿宋"/>
          <w:kern w:val="2"/>
          <w:sz w:val="28"/>
          <w:szCs w:val="28"/>
          <w:lang w:val="zh-CN"/>
        </w:rPr>
        <w:t>87</w:t>
      </w:r>
    </w:p>
    <w:p>
      <w:pPr>
        <w:tabs>
          <w:tab w:val="right" w:leader="dot" w:pos="8296"/>
        </w:tabs>
        <w:spacing w:line="353" w:lineRule="auto"/>
        <w:ind w:left="420"/>
        <w:rPr>
          <w:rFonts w:ascii="宋体" w:hAnsi="Times New Roman" w:eastAsia="宋体" w:cs="宋体"/>
          <w:kern w:val="2"/>
          <w:sz w:val="28"/>
          <w:szCs w:val="28"/>
          <w:lang w:val="zh-CN"/>
        </w:rPr>
      </w:pPr>
      <w:r>
        <w:rPr>
          <w:rFonts w:hint="eastAsia" w:ascii="宋体" w:hAnsi="Times New Roman" w:eastAsia="宋体" w:cs="宋体"/>
          <w:kern w:val="2"/>
          <w:sz w:val="28"/>
          <w:szCs w:val="28"/>
          <w:lang w:val="zh-CN"/>
        </w:rPr>
        <w:t>一、收入支出决算总表</w:t>
      </w:r>
    </w:p>
    <w:p>
      <w:pPr>
        <w:tabs>
          <w:tab w:val="right" w:leader="dot" w:pos="8296"/>
        </w:tabs>
        <w:spacing w:line="353" w:lineRule="auto"/>
        <w:ind w:left="420"/>
        <w:rPr>
          <w:rFonts w:ascii="宋体" w:hAnsi="Times New Roman" w:eastAsia="宋体" w:cs="宋体"/>
          <w:kern w:val="2"/>
          <w:sz w:val="28"/>
          <w:szCs w:val="28"/>
          <w:lang w:val="zh-CN"/>
        </w:rPr>
      </w:pPr>
      <w:r>
        <w:rPr>
          <w:rFonts w:hint="eastAsia" w:ascii="宋体" w:hAnsi="Times New Roman" w:eastAsia="宋体" w:cs="宋体"/>
          <w:kern w:val="2"/>
          <w:sz w:val="28"/>
          <w:szCs w:val="28"/>
          <w:lang w:val="zh-CN"/>
        </w:rPr>
        <w:t>二、收入决算表</w:t>
      </w:r>
    </w:p>
    <w:p>
      <w:pPr>
        <w:tabs>
          <w:tab w:val="right" w:leader="dot" w:pos="8296"/>
        </w:tabs>
        <w:spacing w:line="353" w:lineRule="auto"/>
        <w:ind w:left="420"/>
        <w:rPr>
          <w:rFonts w:ascii="宋体" w:hAnsi="Times New Roman" w:eastAsia="宋体" w:cs="宋体"/>
          <w:kern w:val="2"/>
          <w:sz w:val="28"/>
          <w:szCs w:val="28"/>
          <w:lang w:val="zh-CN"/>
        </w:rPr>
      </w:pPr>
      <w:r>
        <w:rPr>
          <w:rFonts w:hint="eastAsia" w:ascii="宋体" w:hAnsi="Times New Roman" w:eastAsia="宋体" w:cs="宋体"/>
          <w:kern w:val="2"/>
          <w:sz w:val="28"/>
          <w:szCs w:val="28"/>
          <w:lang w:val="zh-CN"/>
        </w:rPr>
        <w:t>三、支出决算表</w:t>
      </w:r>
    </w:p>
    <w:p>
      <w:pPr>
        <w:tabs>
          <w:tab w:val="right" w:leader="dot" w:pos="8296"/>
        </w:tabs>
        <w:spacing w:line="353" w:lineRule="auto"/>
        <w:ind w:left="420"/>
        <w:rPr>
          <w:rFonts w:ascii="宋体" w:hAnsi="Times New Roman" w:eastAsia="宋体" w:cs="宋体"/>
          <w:kern w:val="2"/>
          <w:sz w:val="28"/>
          <w:szCs w:val="28"/>
          <w:lang w:val="zh-CN"/>
        </w:rPr>
      </w:pPr>
      <w:r>
        <w:rPr>
          <w:rFonts w:hint="eastAsia" w:ascii="宋体" w:hAnsi="Times New Roman" w:eastAsia="宋体" w:cs="宋体"/>
          <w:kern w:val="2"/>
          <w:sz w:val="28"/>
          <w:szCs w:val="28"/>
          <w:lang w:val="zh-CN"/>
        </w:rPr>
        <w:t>四、财政拨款收入支出决算总表</w:t>
      </w:r>
    </w:p>
    <w:p>
      <w:pPr>
        <w:tabs>
          <w:tab w:val="right" w:leader="dot" w:pos="8296"/>
        </w:tabs>
        <w:spacing w:line="353" w:lineRule="auto"/>
        <w:ind w:left="420"/>
        <w:rPr>
          <w:rFonts w:ascii="宋体" w:hAnsi="Times New Roman" w:eastAsia="宋体" w:cs="宋体"/>
          <w:kern w:val="2"/>
          <w:sz w:val="28"/>
          <w:szCs w:val="28"/>
          <w:lang w:val="zh-CN"/>
        </w:rPr>
      </w:pPr>
      <w:r>
        <w:rPr>
          <w:rFonts w:hint="eastAsia" w:ascii="宋体" w:hAnsi="Times New Roman" w:eastAsia="宋体" w:cs="宋体"/>
          <w:kern w:val="2"/>
          <w:sz w:val="28"/>
          <w:szCs w:val="28"/>
          <w:lang w:val="zh-CN"/>
        </w:rPr>
        <w:t>五、财政拨款支出决算明细表</w:t>
      </w:r>
    </w:p>
    <w:p>
      <w:pPr>
        <w:tabs>
          <w:tab w:val="right" w:leader="dot" w:pos="8296"/>
        </w:tabs>
        <w:spacing w:line="353" w:lineRule="auto"/>
        <w:ind w:left="420"/>
        <w:rPr>
          <w:rFonts w:ascii="宋体" w:hAnsi="Times New Roman" w:eastAsia="宋体" w:cs="宋体"/>
          <w:kern w:val="2"/>
          <w:sz w:val="28"/>
          <w:szCs w:val="28"/>
          <w:lang w:val="zh-CN"/>
        </w:rPr>
      </w:pPr>
      <w:r>
        <w:rPr>
          <w:rFonts w:hint="eastAsia" w:ascii="宋体" w:hAnsi="Times New Roman" w:eastAsia="宋体" w:cs="宋体"/>
          <w:kern w:val="2"/>
          <w:sz w:val="28"/>
          <w:szCs w:val="28"/>
          <w:lang w:val="zh-CN"/>
        </w:rPr>
        <w:t>六、一般公共预算财政拨款支出决算表</w:t>
      </w:r>
    </w:p>
    <w:p>
      <w:pPr>
        <w:tabs>
          <w:tab w:val="right" w:leader="dot" w:pos="8296"/>
        </w:tabs>
        <w:spacing w:line="353" w:lineRule="auto"/>
        <w:ind w:left="420"/>
        <w:rPr>
          <w:rFonts w:ascii="宋体" w:hAnsi="Times New Roman" w:eastAsia="宋体" w:cs="宋体"/>
          <w:kern w:val="2"/>
          <w:sz w:val="28"/>
          <w:szCs w:val="28"/>
          <w:lang w:val="zh-CN"/>
        </w:rPr>
      </w:pPr>
      <w:r>
        <w:rPr>
          <w:rFonts w:hint="eastAsia" w:ascii="宋体" w:hAnsi="Times New Roman" w:eastAsia="宋体" w:cs="宋体"/>
          <w:kern w:val="2"/>
          <w:sz w:val="28"/>
          <w:szCs w:val="28"/>
          <w:lang w:val="zh-CN"/>
        </w:rPr>
        <w:t>七、一般公共预算财政拨款支出决算明细表</w:t>
      </w:r>
    </w:p>
    <w:p>
      <w:pPr>
        <w:tabs>
          <w:tab w:val="right" w:leader="dot" w:pos="8296"/>
        </w:tabs>
        <w:spacing w:line="353" w:lineRule="auto"/>
        <w:ind w:left="420"/>
        <w:rPr>
          <w:rFonts w:ascii="宋体" w:hAnsi="Times New Roman" w:eastAsia="宋体" w:cs="宋体"/>
          <w:kern w:val="2"/>
          <w:sz w:val="28"/>
          <w:szCs w:val="28"/>
          <w:lang w:val="zh-CN"/>
        </w:rPr>
      </w:pPr>
      <w:r>
        <w:rPr>
          <w:rFonts w:hint="eastAsia" w:ascii="宋体" w:hAnsi="Times New Roman" w:eastAsia="宋体" w:cs="宋体"/>
          <w:kern w:val="2"/>
          <w:sz w:val="28"/>
          <w:szCs w:val="28"/>
          <w:lang w:val="zh-CN"/>
        </w:rPr>
        <w:t>八、一般公共预算财政拨款基本支出决算明细表</w:t>
      </w:r>
    </w:p>
    <w:p>
      <w:pPr>
        <w:tabs>
          <w:tab w:val="right" w:leader="dot" w:pos="8296"/>
        </w:tabs>
        <w:spacing w:line="353" w:lineRule="auto"/>
        <w:ind w:left="420"/>
        <w:rPr>
          <w:rFonts w:ascii="宋体" w:hAnsi="Times New Roman" w:eastAsia="宋体" w:cs="宋体"/>
          <w:kern w:val="2"/>
          <w:sz w:val="28"/>
          <w:szCs w:val="28"/>
          <w:lang w:val="zh-CN"/>
        </w:rPr>
      </w:pPr>
      <w:r>
        <w:rPr>
          <w:rFonts w:hint="eastAsia" w:ascii="宋体" w:hAnsi="Times New Roman" w:eastAsia="宋体" w:cs="宋体"/>
          <w:kern w:val="2"/>
          <w:sz w:val="28"/>
          <w:szCs w:val="28"/>
          <w:lang w:val="zh-CN"/>
        </w:rPr>
        <w:t>九、一般公共预算财政拨款项目支出决算表</w:t>
      </w:r>
    </w:p>
    <w:p>
      <w:pPr>
        <w:tabs>
          <w:tab w:val="right" w:leader="dot" w:pos="8296"/>
        </w:tabs>
        <w:spacing w:line="353" w:lineRule="auto"/>
        <w:ind w:left="420"/>
        <w:rPr>
          <w:rFonts w:ascii="宋体" w:hAnsi="Times New Roman" w:eastAsia="宋体" w:cs="宋体"/>
          <w:kern w:val="2"/>
          <w:sz w:val="28"/>
          <w:szCs w:val="28"/>
          <w:lang w:val="zh-CN"/>
        </w:rPr>
      </w:pPr>
      <w:r>
        <w:rPr>
          <w:rFonts w:hint="eastAsia" w:ascii="宋体" w:hAnsi="Times New Roman" w:eastAsia="宋体" w:cs="宋体"/>
          <w:kern w:val="2"/>
          <w:sz w:val="28"/>
          <w:szCs w:val="28"/>
          <w:lang w:val="zh-CN"/>
        </w:rPr>
        <w:t>十、政府性基金预算财政拨款收入支出决算表</w:t>
      </w:r>
    </w:p>
    <w:p>
      <w:pPr>
        <w:tabs>
          <w:tab w:val="right" w:leader="dot" w:pos="8296"/>
        </w:tabs>
        <w:spacing w:line="353" w:lineRule="auto"/>
        <w:ind w:left="420"/>
        <w:rPr>
          <w:rFonts w:ascii="宋体" w:hAnsi="Times New Roman" w:eastAsia="宋体" w:cs="宋体"/>
          <w:kern w:val="2"/>
          <w:sz w:val="28"/>
          <w:szCs w:val="28"/>
          <w:lang w:val="zh-CN"/>
        </w:rPr>
      </w:pPr>
      <w:r>
        <w:rPr>
          <w:rFonts w:hint="eastAsia" w:ascii="宋体" w:hAnsi="Times New Roman" w:eastAsia="宋体" w:cs="宋体"/>
          <w:kern w:val="2"/>
          <w:sz w:val="28"/>
          <w:szCs w:val="28"/>
          <w:lang w:val="zh-CN"/>
        </w:rPr>
        <w:t>十一、国有资本经营预算财政拨款收入支出决算表</w:t>
      </w:r>
    </w:p>
    <w:p>
      <w:pPr>
        <w:tabs>
          <w:tab w:val="right" w:leader="dot" w:pos="8296"/>
        </w:tabs>
        <w:spacing w:line="353" w:lineRule="auto"/>
        <w:ind w:left="420"/>
        <w:rPr>
          <w:rFonts w:ascii="宋体" w:hAnsi="Times New Roman" w:eastAsia="宋体" w:cs="宋体"/>
          <w:kern w:val="2"/>
          <w:sz w:val="28"/>
          <w:szCs w:val="28"/>
          <w:lang w:val="zh-CN"/>
        </w:rPr>
      </w:pPr>
      <w:r>
        <w:rPr>
          <w:rFonts w:hint="eastAsia" w:ascii="宋体" w:hAnsi="Times New Roman" w:eastAsia="宋体" w:cs="宋体"/>
          <w:kern w:val="2"/>
          <w:sz w:val="28"/>
          <w:szCs w:val="28"/>
          <w:lang w:val="zh-CN"/>
        </w:rPr>
        <w:t>十二、国有资本经营预算财政拨款支出决算表</w:t>
      </w:r>
    </w:p>
    <w:p>
      <w:pPr>
        <w:tabs>
          <w:tab w:val="right" w:leader="dot" w:pos="8296"/>
        </w:tabs>
        <w:spacing w:line="353" w:lineRule="auto"/>
        <w:ind w:left="420"/>
        <w:rPr>
          <w:rFonts w:ascii="宋体" w:hAnsi="Times New Roman" w:eastAsia="宋体" w:cs="宋体"/>
          <w:kern w:val="2"/>
          <w:sz w:val="28"/>
          <w:szCs w:val="28"/>
          <w:lang w:val="zh-CN"/>
        </w:rPr>
      </w:pPr>
      <w:r>
        <w:rPr>
          <w:rFonts w:hint="eastAsia" w:ascii="宋体" w:hAnsi="Times New Roman" w:eastAsia="宋体" w:cs="宋体"/>
          <w:kern w:val="2"/>
          <w:sz w:val="28"/>
          <w:szCs w:val="28"/>
          <w:lang w:val="zh-CN"/>
        </w:rPr>
        <w:t>十三、财政拨款</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三公</w:t>
      </w:r>
      <w:r>
        <w:rPr>
          <w:rFonts w:ascii="宋体" w:hAnsi="Times New Roman" w:eastAsia="宋体" w:cs="宋体"/>
          <w:kern w:val="2"/>
          <w:sz w:val="28"/>
          <w:szCs w:val="28"/>
          <w:lang w:val="zh-CN"/>
        </w:rPr>
        <w:t>”</w:t>
      </w:r>
      <w:r>
        <w:rPr>
          <w:rFonts w:hint="eastAsia" w:ascii="宋体" w:hAnsi="Times New Roman" w:eastAsia="宋体" w:cs="宋体"/>
          <w:kern w:val="2"/>
          <w:sz w:val="28"/>
          <w:szCs w:val="28"/>
          <w:lang w:val="zh-CN"/>
        </w:rPr>
        <w:t>经费支出决算表</w:t>
      </w:r>
    </w:p>
    <w:p>
      <w:pPr>
        <w:spacing w:line="353" w:lineRule="auto"/>
        <w:ind w:firstLine="1320"/>
        <w:rPr>
          <w:rFonts w:ascii="仿宋" w:hAnsi="Times New Roman" w:eastAsia="仿宋" w:cs="仿宋"/>
          <w:kern w:val="2"/>
          <w:lang w:val="zh-CN"/>
        </w:rPr>
      </w:pPr>
    </w:p>
    <w:p>
      <w:pPr>
        <w:spacing w:line="353" w:lineRule="auto"/>
        <w:ind w:firstLine="1320"/>
        <w:rPr>
          <w:rFonts w:ascii="仿宋" w:hAnsi="Times New Roman" w:eastAsia="仿宋" w:cs="仿宋"/>
          <w:kern w:val="2"/>
          <w:lang w:val="zh-CN"/>
        </w:rPr>
      </w:pPr>
    </w:p>
    <w:p>
      <w:pPr>
        <w:spacing w:line="353" w:lineRule="auto"/>
        <w:rPr>
          <w:rFonts w:ascii="仿宋" w:hAnsi="Times New Roman" w:eastAsia="仿宋" w:cs="仿宋"/>
          <w:kern w:val="44"/>
          <w:lang w:val="zh-CN"/>
        </w:rPr>
      </w:pPr>
      <w:r>
        <w:rPr>
          <w:rFonts w:ascii="仿宋" w:hAnsi="Times New Roman" w:eastAsia="仿宋" w:cs="仿宋"/>
          <w:b/>
          <w:bCs/>
          <w:kern w:val="2"/>
          <w:lang w:val="zh-CN"/>
        </w:rPr>
        <w:br w:type="page"/>
      </w:r>
    </w:p>
    <w:p>
      <w:pPr>
        <w:pStyle w:val="2"/>
        <w:keepNext/>
        <w:keepLines/>
        <w:spacing w:before="340" w:after="330" w:line="353" w:lineRule="auto"/>
        <w:jc w:val="center"/>
        <w:rPr>
          <w:rFonts w:ascii="黑体" w:hAnsi="Times New Roman" w:eastAsia="黑体" w:cs="黑体"/>
          <w:b/>
          <w:bCs/>
          <w:kern w:val="44"/>
          <w:sz w:val="44"/>
          <w:szCs w:val="44"/>
          <w:lang w:val="zh-CN"/>
        </w:rPr>
      </w:pPr>
      <w:r>
        <w:rPr>
          <w:rFonts w:hint="eastAsia" w:ascii="黑体" w:hAnsi="Times New Roman" w:eastAsia="黑体" w:cs="黑体"/>
          <w:kern w:val="44"/>
          <w:sz w:val="44"/>
          <w:szCs w:val="44"/>
          <w:lang w:val="zh-CN"/>
        </w:rPr>
        <w:t>第一部分</w:t>
      </w:r>
      <w:r>
        <w:rPr>
          <w:rFonts w:ascii="黑体" w:hAnsi="Times New Roman" w:eastAsia="黑体" w:cs="黑体"/>
          <w:kern w:val="44"/>
          <w:sz w:val="44"/>
          <w:szCs w:val="44"/>
          <w:lang w:val="zh-CN"/>
        </w:rPr>
        <w:t xml:space="preserve"> </w:t>
      </w:r>
      <w:r>
        <w:rPr>
          <w:rFonts w:hint="eastAsia" w:ascii="黑体" w:hAnsi="Times New Roman" w:eastAsia="黑体" w:cs="黑体"/>
          <w:kern w:val="44"/>
          <w:sz w:val="44"/>
          <w:szCs w:val="44"/>
          <w:lang w:val="zh-CN"/>
        </w:rPr>
        <w:t>部门概况</w:t>
      </w:r>
    </w:p>
    <w:p>
      <w:pPr>
        <w:widowControl/>
        <w:spacing w:line="353" w:lineRule="auto"/>
        <w:ind w:firstLine="641"/>
        <w:rPr>
          <w:rFonts w:ascii="黑体" w:hAnsi="黑体" w:eastAsia="黑体"/>
          <w:sz w:val="32"/>
          <w:szCs w:val="32"/>
        </w:rPr>
      </w:pPr>
      <w:r>
        <w:rPr>
          <w:rFonts w:hint="eastAsia" w:ascii="黑体" w:hAnsi="黑体" w:eastAsia="黑体"/>
          <w:sz w:val="32"/>
          <w:szCs w:val="32"/>
        </w:rPr>
        <w:t>一、部门职责</w:t>
      </w:r>
    </w:p>
    <w:p>
      <w:pPr>
        <w:widowControl/>
        <w:spacing w:line="353" w:lineRule="auto"/>
        <w:ind w:firstLine="641"/>
        <w:rPr>
          <w:rFonts w:ascii="仿宋_GB2312" w:hAnsi="仿宋" w:eastAsia="仿宋_GB2312"/>
          <w:sz w:val="32"/>
          <w:szCs w:val="32"/>
        </w:rPr>
      </w:pPr>
      <w:r>
        <w:rPr>
          <w:rFonts w:hint="eastAsia" w:ascii="仿宋_GB2312" w:hAnsi="仿宋" w:eastAsia="仿宋_GB2312"/>
          <w:sz w:val="32"/>
          <w:szCs w:val="32"/>
        </w:rPr>
        <w:t>（一）拟订全区综合行政执法、城市管理发展规划、实施计划、管理标准等规范性文件。会同相关部门拟订综合行政执法和城市管理工作目标，并组织实施。</w:t>
      </w:r>
    </w:p>
    <w:p>
      <w:pPr>
        <w:widowControl/>
        <w:snapToGrid w:val="0"/>
        <w:spacing w:line="353" w:lineRule="auto"/>
        <w:ind w:firstLine="641"/>
        <w:rPr>
          <w:rFonts w:ascii="仿宋_GB2312" w:hAnsi="仿宋" w:eastAsia="仿宋_GB2312"/>
          <w:sz w:val="32"/>
          <w:szCs w:val="32"/>
        </w:rPr>
      </w:pPr>
      <w:r>
        <w:rPr>
          <w:rFonts w:hint="eastAsia" w:ascii="仿宋_GB2312" w:hAnsi="仿宋" w:eastAsia="仿宋_GB2312"/>
          <w:sz w:val="32"/>
          <w:szCs w:val="32"/>
        </w:rPr>
        <w:t>（二）负责权限内综合行政执法工作。集中行使权限内市容环境卫生管理、市政设施管理、公用事业管理方面的行政处罚权，根据省、市、区部署和要求，推进城市执法体制改革、改进城市管理工作。</w:t>
      </w:r>
    </w:p>
    <w:p>
      <w:pPr>
        <w:widowControl/>
        <w:snapToGrid w:val="0"/>
        <w:spacing w:line="353" w:lineRule="auto"/>
        <w:ind w:firstLine="641"/>
        <w:rPr>
          <w:rFonts w:ascii="仿宋_GB2312" w:hAnsi="仿宋" w:eastAsia="仿宋_GB2312"/>
          <w:sz w:val="32"/>
          <w:szCs w:val="32"/>
        </w:rPr>
      </w:pPr>
      <w:r>
        <w:rPr>
          <w:rFonts w:hint="eastAsia" w:ascii="仿宋_GB2312" w:hAnsi="仿宋" w:eastAsia="仿宋_GB2312"/>
          <w:sz w:val="32"/>
          <w:szCs w:val="32"/>
        </w:rPr>
        <w:t>（三）负责权限内城市市容环境卫生综合管理工作。依法对城市市容环境卫生实施监督检查和考核。负责环境卫生作业企业的行业管理。负责权限内户外广告和招牌的监督管理。</w:t>
      </w:r>
    </w:p>
    <w:p>
      <w:pPr>
        <w:widowControl/>
        <w:snapToGrid w:val="0"/>
        <w:spacing w:line="353" w:lineRule="auto"/>
        <w:ind w:firstLine="641"/>
        <w:rPr>
          <w:rFonts w:ascii="仿宋_GB2312" w:hAnsi="仿宋" w:eastAsia="仿宋_GB2312"/>
          <w:sz w:val="32"/>
          <w:szCs w:val="32"/>
        </w:rPr>
      </w:pPr>
      <w:r>
        <w:rPr>
          <w:rFonts w:hint="eastAsia" w:ascii="仿宋_GB2312" w:hAnsi="仿宋" w:eastAsia="仿宋_GB2312"/>
          <w:sz w:val="32"/>
          <w:szCs w:val="32"/>
        </w:rPr>
        <w:t>（四）负责权限内燃气行业综合管理工作。</w:t>
      </w:r>
    </w:p>
    <w:p>
      <w:pPr>
        <w:widowControl/>
        <w:snapToGrid w:val="0"/>
        <w:spacing w:line="353" w:lineRule="auto"/>
        <w:ind w:firstLine="641"/>
        <w:rPr>
          <w:rFonts w:ascii="仿宋_GB2312" w:hAnsi="仿宋" w:eastAsia="仿宋_GB2312"/>
          <w:sz w:val="32"/>
          <w:szCs w:val="32"/>
        </w:rPr>
      </w:pPr>
      <w:r>
        <w:rPr>
          <w:rFonts w:hint="eastAsia" w:ascii="仿宋_GB2312" w:hAnsi="仿宋" w:eastAsia="仿宋_GB2312"/>
          <w:sz w:val="32"/>
          <w:szCs w:val="32"/>
        </w:rPr>
        <w:t>（五）负责推进数字化城市管理和信息化建设。负责民生服务热线12345涉及东区事项的办理。</w:t>
      </w:r>
    </w:p>
    <w:p>
      <w:pPr>
        <w:widowControl/>
        <w:snapToGrid w:val="0"/>
        <w:spacing w:line="353" w:lineRule="auto"/>
        <w:ind w:firstLine="641"/>
        <w:rPr>
          <w:rFonts w:ascii="仿宋_GB2312" w:hAnsi="仿宋" w:eastAsia="仿宋_GB2312"/>
          <w:sz w:val="32"/>
          <w:szCs w:val="32"/>
        </w:rPr>
      </w:pPr>
      <w:r>
        <w:rPr>
          <w:rFonts w:hint="eastAsia" w:ascii="仿宋_GB2312" w:hAnsi="仿宋" w:eastAsia="仿宋_GB2312"/>
          <w:sz w:val="32"/>
          <w:szCs w:val="32"/>
        </w:rPr>
        <w:t>（六）拟订城市管理工作专项经费的中长期计划和年度计划，会同有关部门对使用情况实施监督管理。</w:t>
      </w:r>
    </w:p>
    <w:p>
      <w:pPr>
        <w:widowControl/>
        <w:snapToGrid w:val="0"/>
        <w:spacing w:line="353" w:lineRule="auto"/>
        <w:ind w:firstLine="641"/>
        <w:rPr>
          <w:rFonts w:ascii="仿宋_GB2312" w:hAnsi="仿宋" w:eastAsia="仿宋_GB2312"/>
          <w:sz w:val="32"/>
          <w:szCs w:val="32"/>
        </w:rPr>
      </w:pPr>
      <w:r>
        <w:rPr>
          <w:rFonts w:hint="eastAsia" w:ascii="仿宋_GB2312" w:hAnsi="仿宋" w:eastAsia="仿宋_GB2312"/>
          <w:sz w:val="32"/>
          <w:szCs w:val="32"/>
        </w:rPr>
        <w:t>（七）承担职责范围内的安全生产和职业健康、生态环境保护、审批服务便民化等工作。</w:t>
      </w:r>
    </w:p>
    <w:p>
      <w:pPr>
        <w:widowControl/>
        <w:snapToGrid w:val="0"/>
        <w:spacing w:line="353" w:lineRule="auto"/>
        <w:ind w:firstLine="641"/>
        <w:rPr>
          <w:rFonts w:ascii="仿宋_GB2312" w:hAnsi="仿宋" w:eastAsia="仿宋_GB2312"/>
          <w:sz w:val="32"/>
          <w:szCs w:val="32"/>
        </w:rPr>
      </w:pPr>
      <w:r>
        <w:rPr>
          <w:rFonts w:hint="eastAsia" w:ascii="仿宋_GB2312" w:hAnsi="仿宋" w:eastAsia="仿宋_GB2312"/>
          <w:sz w:val="32"/>
          <w:szCs w:val="32"/>
        </w:rPr>
        <w:t>（八）完成区委、区政府交办的其他任务。</w:t>
      </w:r>
    </w:p>
    <w:p>
      <w:pPr>
        <w:widowControl/>
        <w:spacing w:line="353" w:lineRule="auto"/>
        <w:ind w:firstLine="641"/>
        <w:rPr>
          <w:rFonts w:ascii="黑体" w:hAnsi="黑体" w:eastAsia="黑体"/>
          <w:sz w:val="32"/>
          <w:szCs w:val="32"/>
        </w:rPr>
      </w:pPr>
      <w:r>
        <w:rPr>
          <w:rFonts w:hint="eastAsia" w:ascii="仿宋_GB2312" w:hAnsi="仿宋" w:eastAsia="仿宋_GB2312"/>
          <w:sz w:val="32"/>
          <w:szCs w:val="32"/>
        </w:rPr>
        <w:t>（九）职能转变。按照中央、省、市、区城管执法体制改革和综合行政执法改革的要求，整合组建综合执法队伍，统筹配置行政执法职能和执法资源，推进相对集中行政处罚权、行政强制权改革，完善执法程序，严格执法责任，加强执法监督，提高执法队伍综合素质和执法能力，推动执法力量下沉到街道（镇），落实属地管理责任。推动城市管理“互联网+”，推进智慧城管、数字城管建设</w:t>
      </w:r>
      <w:r>
        <w:rPr>
          <w:rFonts w:hint="eastAsia" w:ascii="仿宋" w:hAnsi="仿宋" w:eastAsia="仿宋"/>
          <w:sz w:val="32"/>
          <w:szCs w:val="32"/>
        </w:rPr>
        <w:t>。</w:t>
      </w:r>
    </w:p>
    <w:p>
      <w:pPr>
        <w:widowControl/>
        <w:spacing w:line="353" w:lineRule="auto"/>
        <w:ind w:firstLine="641"/>
        <w:rPr>
          <w:rFonts w:ascii="黑体" w:hAnsi="黑体" w:eastAsia="黑体"/>
          <w:sz w:val="32"/>
          <w:szCs w:val="32"/>
        </w:rPr>
      </w:pPr>
      <w:r>
        <w:rPr>
          <w:rFonts w:hint="eastAsia" w:ascii="黑体" w:hAnsi="黑体" w:eastAsia="黑体"/>
          <w:sz w:val="32"/>
          <w:szCs w:val="32"/>
        </w:rPr>
        <w:t>二、机构设置</w:t>
      </w:r>
    </w:p>
    <w:p>
      <w:pPr>
        <w:widowControl/>
        <w:snapToGrid w:val="0"/>
        <w:spacing w:line="353" w:lineRule="auto"/>
        <w:ind w:firstLine="641"/>
        <w:rPr>
          <w:rFonts w:ascii="仿宋_GB2312" w:hAnsi="Times New Roman" w:eastAsia="仿宋_GB2312" w:cs="仿宋_GB2312"/>
          <w:color w:val="000000"/>
          <w:kern w:val="2"/>
          <w:sz w:val="32"/>
          <w:szCs w:val="32"/>
          <w:lang w:val="zh-CN"/>
        </w:rPr>
      </w:pPr>
      <w:r>
        <w:rPr>
          <w:rFonts w:hint="eastAsia" w:ascii="仿宋_GB2312" w:hAnsi="Times New Roman" w:eastAsia="仿宋_GB2312" w:cs="仿宋_GB2312"/>
          <w:color w:val="000000"/>
          <w:kern w:val="2"/>
          <w:sz w:val="32"/>
          <w:szCs w:val="32"/>
          <w:lang w:val="zh-CN"/>
        </w:rPr>
        <w:t>攀枝花市东区综合行政执法局下属二级单位0个，其中行政单位0个，参照公务员法管理的事业单位0个，其他事业单位0个。</w:t>
      </w:r>
    </w:p>
    <w:p>
      <w:pPr>
        <w:widowControl/>
        <w:snapToGrid w:val="0"/>
        <w:spacing w:line="353" w:lineRule="auto"/>
        <w:ind w:firstLine="641"/>
        <w:rPr>
          <w:rFonts w:ascii="仿宋_GB2312" w:hAnsi="Times New Roman" w:eastAsia="仿宋_GB2312" w:cs="仿宋_GB2312"/>
          <w:color w:val="000000"/>
          <w:kern w:val="2"/>
          <w:sz w:val="32"/>
          <w:szCs w:val="32"/>
          <w:lang w:val="zh-CN"/>
        </w:rPr>
      </w:pPr>
      <w:r>
        <w:rPr>
          <w:rFonts w:hint="eastAsia" w:ascii="仿宋_GB2312" w:hAnsi="Times New Roman" w:eastAsia="仿宋_GB2312" w:cs="仿宋_GB2312"/>
          <w:color w:val="000000"/>
          <w:kern w:val="2"/>
          <w:sz w:val="32"/>
          <w:szCs w:val="32"/>
          <w:lang w:val="zh-CN"/>
        </w:rPr>
        <w:t>没有纳入2022年度部门决算编制范围的二级预算单位。</w:t>
      </w:r>
    </w:p>
    <w:p>
      <w:pPr>
        <w:spacing w:before="93" w:line="353" w:lineRule="auto"/>
        <w:ind w:firstLine="640"/>
        <w:jc w:val="both"/>
        <w:rPr>
          <w:rFonts w:ascii="仿宋" w:hAnsi="Cambria" w:eastAsia="仿宋" w:cs="仿宋"/>
          <w:color w:val="000000"/>
          <w:kern w:val="2"/>
          <w:sz w:val="32"/>
          <w:szCs w:val="32"/>
          <w:lang w:val="zh-CN"/>
        </w:rPr>
      </w:pPr>
    </w:p>
    <w:p>
      <w:pPr>
        <w:spacing w:before="93" w:line="353" w:lineRule="auto"/>
        <w:ind w:firstLine="640"/>
        <w:jc w:val="both"/>
        <w:rPr>
          <w:rFonts w:ascii="仿宋" w:hAnsi="Cambria" w:eastAsia="仿宋" w:cs="仿宋"/>
          <w:color w:val="000000"/>
          <w:kern w:val="2"/>
          <w:sz w:val="32"/>
          <w:szCs w:val="32"/>
          <w:lang w:val="zh-CN"/>
        </w:rPr>
      </w:pPr>
    </w:p>
    <w:p>
      <w:pPr>
        <w:spacing w:before="93" w:line="353" w:lineRule="auto"/>
        <w:ind w:firstLine="640"/>
        <w:jc w:val="both"/>
        <w:rPr>
          <w:rFonts w:ascii="仿宋" w:hAnsi="Cambria" w:eastAsia="仿宋" w:cs="仿宋"/>
          <w:color w:val="000000"/>
          <w:kern w:val="2"/>
          <w:sz w:val="32"/>
          <w:szCs w:val="32"/>
          <w:lang w:val="zh-CN"/>
        </w:rPr>
      </w:pPr>
    </w:p>
    <w:p>
      <w:pPr>
        <w:spacing w:before="93" w:line="353" w:lineRule="auto"/>
        <w:ind w:firstLine="640"/>
        <w:jc w:val="both"/>
        <w:rPr>
          <w:rFonts w:ascii="仿宋" w:hAnsi="Cambria" w:eastAsia="仿宋" w:cs="仿宋"/>
          <w:color w:val="000000"/>
          <w:kern w:val="2"/>
          <w:sz w:val="32"/>
          <w:szCs w:val="32"/>
          <w:lang w:val="zh-CN"/>
        </w:rPr>
      </w:pPr>
    </w:p>
    <w:p>
      <w:pPr>
        <w:pStyle w:val="2"/>
        <w:keepNext/>
        <w:keepLines/>
        <w:spacing w:before="340" w:after="330" w:line="353" w:lineRule="auto"/>
        <w:ind w:right="442" w:firstLine="880"/>
        <w:jc w:val="center"/>
        <w:rPr>
          <w:rFonts w:ascii="Times New Roman" w:hAnsi="Times New Roman" w:eastAsia="黑体" w:cs="Times New Roman"/>
          <w:b/>
          <w:bCs/>
          <w:kern w:val="44"/>
          <w:sz w:val="44"/>
          <w:szCs w:val="44"/>
          <w:lang w:val="zh-CN"/>
        </w:rPr>
      </w:pPr>
      <w:r>
        <w:rPr>
          <w:rFonts w:hint="eastAsia" w:ascii="黑体" w:hAnsi="Cambria" w:eastAsia="黑体" w:cs="黑体"/>
          <w:color w:val="000000"/>
          <w:kern w:val="44"/>
          <w:sz w:val="44"/>
          <w:szCs w:val="44"/>
          <w:lang w:val="zh-CN"/>
        </w:rPr>
        <w:t>第二部分</w:t>
      </w:r>
      <w:r>
        <w:rPr>
          <w:rFonts w:ascii="黑体" w:hAnsi="Cambria" w:eastAsia="黑体" w:cs="黑体"/>
          <w:b/>
          <w:bCs/>
          <w:color w:val="000000"/>
          <w:kern w:val="44"/>
          <w:sz w:val="44"/>
          <w:szCs w:val="44"/>
          <w:lang w:val="zh-CN"/>
        </w:rPr>
        <w:t xml:space="preserve"> </w:t>
      </w:r>
      <w:r>
        <w:rPr>
          <w:rFonts w:ascii="黑体" w:hAnsi="Cambria" w:eastAsia="黑体" w:cs="黑体"/>
          <w:kern w:val="44"/>
          <w:sz w:val="44"/>
          <w:szCs w:val="44"/>
          <w:lang w:val="zh-CN"/>
        </w:rPr>
        <w:t>2022</w:t>
      </w:r>
      <w:r>
        <w:rPr>
          <w:rFonts w:hint="eastAsia" w:ascii="黑体" w:hAnsi="Cambria" w:eastAsia="黑体" w:cs="黑体"/>
          <w:kern w:val="44"/>
          <w:sz w:val="44"/>
          <w:szCs w:val="44"/>
          <w:lang w:val="zh-CN"/>
        </w:rPr>
        <w:t>年度部门决算情况说明</w:t>
      </w:r>
    </w:p>
    <w:p>
      <w:pPr>
        <w:keepNext/>
        <w:keepLines/>
        <w:spacing w:line="353" w:lineRule="auto"/>
        <w:jc w:val="both"/>
        <w:rPr>
          <w:rFonts w:ascii="黑体" w:hAnsi="Times New Roman" w:eastAsia="黑体" w:cs="黑体"/>
          <w:kern w:val="2"/>
          <w:sz w:val="32"/>
          <w:szCs w:val="32"/>
          <w:lang w:val="zh-CN"/>
        </w:rPr>
      </w:pPr>
      <w:r>
        <w:rPr>
          <w:rFonts w:ascii="黑体" w:hAnsi="Times New Roman" w:eastAsia="黑体" w:cs="黑体"/>
          <w:color w:val="000000"/>
          <w:kern w:val="2"/>
          <w:sz w:val="32"/>
          <w:szCs w:val="32"/>
          <w:lang w:val="zh-CN"/>
        </w:rPr>
        <w:t xml:space="preserve">    </w:t>
      </w:r>
      <w:r>
        <w:rPr>
          <w:rFonts w:hint="eastAsia" w:ascii="黑体" w:hAnsi="Times New Roman" w:eastAsia="黑体" w:cs="黑体"/>
          <w:color w:val="000000"/>
          <w:kern w:val="2"/>
          <w:sz w:val="32"/>
          <w:szCs w:val="32"/>
          <w:lang w:val="zh-CN"/>
        </w:rPr>
        <w:t>一、收</w:t>
      </w:r>
      <w:r>
        <w:rPr>
          <w:rFonts w:hint="eastAsia" w:ascii="黑体" w:hAnsi="Times New Roman" w:eastAsia="黑体" w:cs="黑体"/>
          <w:kern w:val="2"/>
          <w:sz w:val="32"/>
          <w:szCs w:val="32"/>
          <w:lang w:val="zh-CN"/>
        </w:rPr>
        <w:t>入支出决算总体情况说明</w:t>
      </w:r>
    </w:p>
    <w:p>
      <w:pPr>
        <w:keepNext/>
        <w:keepLines/>
        <w:spacing w:line="353" w:lineRule="auto"/>
        <w:ind w:firstLine="640"/>
        <w:jc w:val="both"/>
        <w:rPr>
          <w:rFonts w:ascii="仿宋_GB2312" w:hAnsi="Times New Roman" w:eastAsia="仿宋_GB2312" w:cs="仿宋_GB2312"/>
          <w:color w:val="000000"/>
          <w:kern w:val="2"/>
          <w:sz w:val="32"/>
          <w:szCs w:val="32"/>
          <w:lang w:val="zh-CN"/>
        </w:rPr>
      </w:pPr>
      <w:r>
        <w:rPr>
          <w:rFonts w:ascii="仿宋_GB2312" w:hAnsi="Times New Roman" w:eastAsia="仿宋_GB2312" w:cs="仿宋_GB2312"/>
          <w:color w:val="000000"/>
          <w:kern w:val="2"/>
          <w:sz w:val="32"/>
          <w:szCs w:val="32"/>
          <w:lang w:val="zh-CN"/>
        </w:rPr>
        <w:t>2022</w:t>
      </w:r>
      <w:r>
        <w:rPr>
          <w:rFonts w:hint="eastAsia" w:ascii="仿宋_GB2312" w:hAnsi="Times New Roman" w:eastAsia="仿宋_GB2312" w:cs="仿宋_GB2312"/>
          <w:color w:val="000000"/>
          <w:kern w:val="2"/>
          <w:sz w:val="32"/>
          <w:szCs w:val="32"/>
          <w:lang w:val="zh-CN"/>
        </w:rPr>
        <w:t>年度收、支总计</w:t>
      </w:r>
      <w:r>
        <w:rPr>
          <w:rFonts w:ascii="仿宋_GB2312" w:hAnsi="Times New Roman" w:eastAsia="仿宋_GB2312" w:cs="仿宋_GB2312"/>
          <w:color w:val="000000"/>
          <w:kern w:val="2"/>
          <w:sz w:val="32"/>
          <w:szCs w:val="32"/>
          <w:lang w:val="zh-CN"/>
        </w:rPr>
        <w:t>2,266.36</w:t>
      </w:r>
      <w:r>
        <w:rPr>
          <w:rFonts w:hint="eastAsia" w:ascii="仿宋_GB2312" w:hAnsi="Times New Roman" w:eastAsia="仿宋_GB2312" w:cs="仿宋_GB2312"/>
          <w:color w:val="000000"/>
          <w:kern w:val="2"/>
          <w:sz w:val="32"/>
          <w:szCs w:val="32"/>
          <w:lang w:val="zh-CN"/>
        </w:rPr>
        <w:t>万元。与</w:t>
      </w:r>
      <w:r>
        <w:rPr>
          <w:rFonts w:ascii="仿宋_GB2312" w:hAnsi="Times New Roman" w:eastAsia="仿宋_GB2312" w:cs="仿宋_GB2312"/>
          <w:color w:val="000000"/>
          <w:kern w:val="2"/>
          <w:sz w:val="32"/>
          <w:szCs w:val="32"/>
          <w:lang w:val="zh-CN"/>
        </w:rPr>
        <w:t>2021</w:t>
      </w:r>
      <w:r>
        <w:rPr>
          <w:rFonts w:hint="eastAsia" w:ascii="仿宋_GB2312" w:hAnsi="Times New Roman" w:eastAsia="仿宋_GB2312" w:cs="仿宋_GB2312"/>
          <w:color w:val="000000"/>
          <w:kern w:val="2"/>
          <w:sz w:val="32"/>
          <w:szCs w:val="32"/>
          <w:lang w:val="zh-CN"/>
        </w:rPr>
        <w:t>年相比，收、支总计各增加</w:t>
      </w:r>
      <w:r>
        <w:rPr>
          <w:rFonts w:ascii="仿宋_GB2312" w:hAnsi="Times New Roman" w:eastAsia="仿宋_GB2312" w:cs="仿宋_GB2312"/>
          <w:color w:val="000000"/>
          <w:kern w:val="2"/>
          <w:sz w:val="32"/>
          <w:szCs w:val="32"/>
          <w:lang w:val="zh-CN"/>
        </w:rPr>
        <w:t>209.94</w:t>
      </w:r>
      <w:r>
        <w:rPr>
          <w:rFonts w:hint="eastAsia" w:ascii="仿宋_GB2312" w:hAnsi="Times New Roman" w:eastAsia="仿宋_GB2312" w:cs="仿宋_GB2312"/>
          <w:color w:val="000000"/>
          <w:kern w:val="2"/>
          <w:sz w:val="32"/>
          <w:szCs w:val="32"/>
          <w:lang w:val="zh-CN"/>
        </w:rPr>
        <w:t>万元，增长</w:t>
      </w:r>
      <w:r>
        <w:rPr>
          <w:rFonts w:ascii="仿宋_GB2312" w:hAnsi="Times New Roman" w:eastAsia="仿宋_GB2312" w:cs="仿宋_GB2312"/>
          <w:color w:val="000000"/>
          <w:kern w:val="2"/>
          <w:sz w:val="32"/>
          <w:szCs w:val="32"/>
          <w:lang w:val="zh-CN"/>
        </w:rPr>
        <w:t>10.2%</w:t>
      </w:r>
      <w:r>
        <w:rPr>
          <w:rFonts w:hint="eastAsia" w:ascii="仿宋_GB2312" w:hAnsi="Times New Roman" w:eastAsia="仿宋_GB2312" w:cs="仿宋_GB2312"/>
          <w:color w:val="000000"/>
          <w:kern w:val="2"/>
          <w:sz w:val="32"/>
          <w:szCs w:val="32"/>
          <w:lang w:val="zh-CN"/>
        </w:rPr>
        <w:t>。主要变动原因是项目支出减少，机构改革人员开支增加。</w:t>
      </w:r>
    </w:p>
    <w:p>
      <w:pPr>
        <w:spacing w:line="353" w:lineRule="auto"/>
        <w:jc w:val="both"/>
        <w:rPr>
          <w:rFonts w:ascii="仿宋_GB2312" w:hAnsi="Times New Roman" w:eastAsia="仿宋_GB2312" w:cs="仿宋_GB2312"/>
          <w:color w:val="000000"/>
          <w:kern w:val="2"/>
          <w:sz w:val="32"/>
          <w:szCs w:val="32"/>
          <w:lang w:val="zh-CN"/>
        </w:rPr>
      </w:pPr>
    </w:p>
    <w:p>
      <w:pPr>
        <w:spacing w:line="353" w:lineRule="auto"/>
        <w:ind w:firstLine="641"/>
        <w:jc w:val="both"/>
        <w:rPr>
          <w:rFonts w:ascii="仿宋_GB2312" w:hAnsi="Times New Roman" w:eastAsia="仿宋_GB2312" w:cs="仿宋_GB2312"/>
          <w:color w:val="000000"/>
          <w:kern w:val="2"/>
          <w:sz w:val="32"/>
          <w:szCs w:val="32"/>
          <w:lang w:val="zh-CN"/>
        </w:rPr>
      </w:pPr>
      <w:r>
        <w:drawing>
          <wp:inline distT="0" distB="0" distL="114300" distR="114300">
            <wp:extent cx="4572000" cy="3913505"/>
            <wp:effectExtent l="4445" t="4445" r="14605" b="6350"/>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53" w:lineRule="auto"/>
        <w:jc w:val="both"/>
        <w:rPr>
          <w:rFonts w:ascii="仿宋" w:hAnsi="Times New Roman" w:eastAsia="仿宋" w:cs="仿宋"/>
          <w:kern w:val="2"/>
          <w:sz w:val="32"/>
          <w:szCs w:val="32"/>
        </w:rPr>
      </w:pPr>
    </w:p>
    <w:p>
      <w:pPr>
        <w:keepNext/>
        <w:keepLines/>
        <w:spacing w:line="353" w:lineRule="auto"/>
        <w:ind w:firstLine="640"/>
        <w:jc w:val="both"/>
        <w:rPr>
          <w:rFonts w:ascii="黑体" w:hAnsi="Times New Roman" w:eastAsia="黑体" w:cs="黑体"/>
          <w:kern w:val="2"/>
          <w:sz w:val="32"/>
          <w:szCs w:val="32"/>
          <w:lang w:val="zh-CN"/>
        </w:rPr>
      </w:pPr>
      <w:r>
        <w:rPr>
          <w:rFonts w:hint="eastAsia" w:ascii="黑体" w:hAnsi="Times New Roman" w:eastAsia="黑体" w:cs="黑体"/>
          <w:color w:val="000000"/>
          <w:kern w:val="2"/>
          <w:sz w:val="32"/>
          <w:szCs w:val="32"/>
          <w:lang w:val="zh-CN"/>
        </w:rPr>
        <w:t>二、收</w:t>
      </w:r>
      <w:r>
        <w:rPr>
          <w:rFonts w:hint="eastAsia" w:ascii="黑体" w:hAnsi="Times New Roman" w:eastAsia="黑体" w:cs="黑体"/>
          <w:kern w:val="2"/>
          <w:sz w:val="32"/>
          <w:szCs w:val="32"/>
          <w:lang w:val="zh-CN"/>
        </w:rPr>
        <w:t>入决算情况说明</w:t>
      </w:r>
    </w:p>
    <w:p>
      <w:pPr>
        <w:keepNext/>
        <w:keepLines/>
        <w:spacing w:line="353" w:lineRule="auto"/>
        <w:ind w:firstLine="640"/>
        <w:jc w:val="both"/>
        <w:rPr>
          <w:rFonts w:ascii="仿宋_GB2312" w:hAnsi="Times New Roman" w:eastAsia="仿宋_GB2312" w:cs="仿宋_GB2312"/>
          <w:color w:val="000000"/>
          <w:kern w:val="2"/>
          <w:sz w:val="32"/>
          <w:szCs w:val="32"/>
          <w:lang w:val="zh-CN"/>
        </w:rPr>
      </w:pPr>
      <w:r>
        <w:rPr>
          <w:rFonts w:ascii="仿宋_GB2312" w:hAnsi="Times New Roman" w:eastAsia="仿宋_GB2312" w:cs="仿宋_GB2312"/>
          <w:color w:val="000000"/>
          <w:kern w:val="2"/>
          <w:sz w:val="32"/>
          <w:szCs w:val="32"/>
          <w:lang w:val="zh-CN"/>
        </w:rPr>
        <w:t>2022</w:t>
      </w:r>
      <w:r>
        <w:rPr>
          <w:rFonts w:hint="eastAsia" w:ascii="仿宋_GB2312" w:hAnsi="Times New Roman" w:eastAsia="仿宋_GB2312" w:cs="仿宋_GB2312"/>
          <w:color w:val="000000"/>
          <w:kern w:val="2"/>
          <w:sz w:val="32"/>
          <w:szCs w:val="32"/>
          <w:lang w:val="zh-CN"/>
        </w:rPr>
        <w:t>年本年收入合计</w:t>
      </w:r>
      <w:r>
        <w:rPr>
          <w:rFonts w:ascii="仿宋_GB2312" w:hAnsi="Times New Roman" w:eastAsia="仿宋_GB2312" w:cs="仿宋_GB2312"/>
          <w:color w:val="000000"/>
          <w:kern w:val="2"/>
          <w:sz w:val="32"/>
          <w:szCs w:val="32"/>
          <w:lang w:val="zh-CN"/>
        </w:rPr>
        <w:t>2,254.22</w:t>
      </w:r>
      <w:r>
        <w:rPr>
          <w:rFonts w:hint="eastAsia" w:ascii="仿宋_GB2312" w:hAnsi="Times New Roman" w:eastAsia="仿宋_GB2312" w:cs="仿宋_GB2312"/>
          <w:color w:val="000000"/>
          <w:kern w:val="2"/>
          <w:sz w:val="32"/>
          <w:szCs w:val="32"/>
          <w:lang w:val="zh-CN"/>
        </w:rPr>
        <w:t>万元，其中：一般公共预算财政拨款收入</w:t>
      </w:r>
      <w:r>
        <w:rPr>
          <w:rFonts w:ascii="仿宋_GB2312" w:hAnsi="Times New Roman" w:eastAsia="仿宋_GB2312" w:cs="仿宋_GB2312"/>
          <w:color w:val="000000"/>
          <w:kern w:val="2"/>
          <w:sz w:val="32"/>
          <w:szCs w:val="32"/>
          <w:lang w:val="zh-CN"/>
        </w:rPr>
        <w:t>2,228.62</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98.9%</w:t>
      </w:r>
      <w:r>
        <w:rPr>
          <w:rFonts w:hint="eastAsia" w:ascii="仿宋_GB2312" w:hAnsi="Times New Roman" w:eastAsia="仿宋_GB2312" w:cs="仿宋_GB2312"/>
          <w:color w:val="000000"/>
          <w:kern w:val="2"/>
          <w:sz w:val="32"/>
          <w:szCs w:val="32"/>
          <w:lang w:val="zh-CN"/>
        </w:rPr>
        <w:t>；政府性基金预算财政拨款收入</w:t>
      </w:r>
      <w:r>
        <w:rPr>
          <w:rFonts w:ascii="仿宋_GB2312" w:hAnsi="Times New Roman" w:eastAsia="仿宋_GB2312" w:cs="仿宋_GB2312"/>
          <w:color w:val="000000"/>
          <w:kern w:val="2"/>
          <w:sz w:val="32"/>
          <w:szCs w:val="32"/>
          <w:lang w:val="zh-CN"/>
        </w:rPr>
        <w:t>25.61</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1.1%</w:t>
      </w:r>
      <w:r>
        <w:rPr>
          <w:rFonts w:hint="eastAsia" w:ascii="仿宋_GB2312" w:hAnsi="Times New Roman" w:eastAsia="仿宋_GB2312" w:cs="仿宋_GB2312"/>
          <w:color w:val="000000"/>
          <w:kern w:val="2"/>
          <w:sz w:val="32"/>
          <w:szCs w:val="32"/>
          <w:lang w:val="zh-CN"/>
        </w:rPr>
        <w:t>；国有资本经营预算财政拨款收入</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；上级补助收入</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；事业收入</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；经营收入</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；附属单位上缴收入</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；其他收入</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w:t>
      </w:r>
    </w:p>
    <w:p>
      <w:pPr>
        <w:spacing w:line="353" w:lineRule="auto"/>
        <w:ind w:firstLine="641"/>
        <w:jc w:val="both"/>
        <w:rPr>
          <w:rFonts w:ascii="仿宋" w:hAnsi="Times New Roman" w:eastAsia="仿宋" w:cs="仿宋"/>
          <w:b/>
          <w:bCs/>
          <w:kern w:val="2"/>
          <w:sz w:val="32"/>
          <w:szCs w:val="32"/>
        </w:rPr>
      </w:pPr>
    </w:p>
    <w:p>
      <w:pPr>
        <w:spacing w:line="353" w:lineRule="auto"/>
        <w:ind w:firstLine="641"/>
        <w:jc w:val="both"/>
        <w:rPr>
          <w:rFonts w:ascii="仿宋" w:hAnsi="Times New Roman" w:eastAsia="仿宋" w:cs="仿宋"/>
          <w:b/>
          <w:bCs/>
          <w:kern w:val="2"/>
          <w:sz w:val="32"/>
          <w:szCs w:val="32"/>
        </w:rPr>
      </w:pPr>
      <w:r>
        <w:drawing>
          <wp:inline distT="0" distB="0" distL="114300" distR="114300">
            <wp:extent cx="4572000" cy="2743200"/>
            <wp:effectExtent l="4445" t="4445" r="14605" b="14605"/>
            <wp:docPr id="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53" w:lineRule="auto"/>
        <w:ind w:firstLine="641"/>
        <w:jc w:val="both"/>
        <w:rPr>
          <w:rFonts w:ascii="仿宋" w:hAnsi="Times New Roman" w:eastAsia="仿宋" w:cs="仿宋"/>
          <w:b/>
          <w:bCs/>
          <w:kern w:val="2"/>
          <w:sz w:val="32"/>
          <w:szCs w:val="32"/>
        </w:rPr>
      </w:pPr>
      <w:r>
        <w:rPr>
          <w:rFonts w:hint="eastAsia" w:ascii="黑体" w:hAnsi="Times New Roman" w:eastAsia="黑体" w:cs="黑体"/>
          <w:color w:val="000000"/>
          <w:kern w:val="2"/>
          <w:sz w:val="32"/>
          <w:szCs w:val="32"/>
          <w:lang w:val="zh-CN"/>
        </w:rPr>
        <w:t>三、支</w:t>
      </w:r>
      <w:r>
        <w:rPr>
          <w:rFonts w:hint="eastAsia" w:ascii="黑体" w:hAnsi="Times New Roman" w:eastAsia="黑体" w:cs="黑体"/>
          <w:kern w:val="2"/>
          <w:sz w:val="32"/>
          <w:szCs w:val="32"/>
          <w:lang w:val="zh-CN"/>
        </w:rPr>
        <w:t>出决算情况说明</w:t>
      </w:r>
    </w:p>
    <w:p>
      <w:pPr>
        <w:spacing w:line="353" w:lineRule="auto"/>
        <w:ind w:firstLine="641"/>
        <w:jc w:val="both"/>
        <w:rPr>
          <w:rFonts w:ascii="仿宋" w:hAnsi="Times New Roman" w:eastAsia="仿宋" w:cs="仿宋"/>
          <w:b/>
          <w:bCs/>
          <w:kern w:val="2"/>
          <w:sz w:val="32"/>
          <w:szCs w:val="32"/>
        </w:rPr>
      </w:pPr>
      <w:r>
        <w:rPr>
          <w:rFonts w:ascii="仿宋_GB2312" w:hAnsi="Times New Roman" w:eastAsia="仿宋_GB2312" w:cs="仿宋_GB2312"/>
          <w:color w:val="000000"/>
          <w:kern w:val="2"/>
          <w:sz w:val="32"/>
          <w:szCs w:val="32"/>
          <w:lang w:val="zh-CN"/>
        </w:rPr>
        <w:t>2022</w:t>
      </w:r>
      <w:r>
        <w:rPr>
          <w:rFonts w:hint="eastAsia" w:ascii="仿宋_GB2312" w:hAnsi="Times New Roman" w:eastAsia="仿宋_GB2312" w:cs="仿宋_GB2312"/>
          <w:color w:val="000000"/>
          <w:kern w:val="2"/>
          <w:sz w:val="32"/>
          <w:szCs w:val="32"/>
          <w:lang w:val="zh-CN"/>
        </w:rPr>
        <w:t>年本年支出合计</w:t>
      </w:r>
      <w:r>
        <w:rPr>
          <w:rFonts w:ascii="仿宋_GB2312" w:hAnsi="Times New Roman" w:eastAsia="仿宋_GB2312" w:cs="仿宋_GB2312"/>
          <w:color w:val="000000"/>
          <w:kern w:val="2"/>
          <w:sz w:val="32"/>
          <w:szCs w:val="32"/>
          <w:lang w:val="zh-CN"/>
        </w:rPr>
        <w:t>2,264.87</w:t>
      </w:r>
      <w:r>
        <w:rPr>
          <w:rFonts w:hint="eastAsia" w:ascii="仿宋_GB2312" w:hAnsi="Times New Roman" w:eastAsia="仿宋_GB2312" w:cs="仿宋_GB2312"/>
          <w:color w:val="000000"/>
          <w:kern w:val="2"/>
          <w:sz w:val="32"/>
          <w:szCs w:val="32"/>
          <w:lang w:val="zh-CN"/>
        </w:rPr>
        <w:t>万元，其中：基本支出</w:t>
      </w:r>
      <w:r>
        <w:rPr>
          <w:rFonts w:ascii="仿宋_GB2312" w:hAnsi="Times New Roman" w:eastAsia="仿宋_GB2312" w:cs="仿宋_GB2312"/>
          <w:color w:val="000000"/>
          <w:kern w:val="2"/>
          <w:sz w:val="32"/>
          <w:szCs w:val="32"/>
          <w:lang w:val="zh-CN"/>
        </w:rPr>
        <w:t>1,584.75</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70%</w:t>
      </w:r>
      <w:r>
        <w:rPr>
          <w:rFonts w:hint="eastAsia" w:ascii="仿宋_GB2312" w:hAnsi="Times New Roman" w:eastAsia="仿宋_GB2312" w:cs="仿宋_GB2312"/>
          <w:color w:val="000000"/>
          <w:kern w:val="2"/>
          <w:sz w:val="32"/>
          <w:szCs w:val="32"/>
          <w:lang w:val="zh-CN"/>
        </w:rPr>
        <w:t>；项目支出</w:t>
      </w:r>
      <w:r>
        <w:rPr>
          <w:rFonts w:ascii="仿宋_GB2312" w:hAnsi="Times New Roman" w:eastAsia="仿宋_GB2312" w:cs="仿宋_GB2312"/>
          <w:color w:val="000000"/>
          <w:kern w:val="2"/>
          <w:sz w:val="32"/>
          <w:szCs w:val="32"/>
          <w:lang w:val="zh-CN"/>
        </w:rPr>
        <w:t>680.12</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30%</w:t>
      </w:r>
      <w:r>
        <w:rPr>
          <w:rFonts w:hint="eastAsia" w:ascii="仿宋_GB2312" w:hAnsi="Times New Roman" w:eastAsia="仿宋_GB2312" w:cs="仿宋_GB2312"/>
          <w:color w:val="000000"/>
          <w:kern w:val="2"/>
          <w:sz w:val="32"/>
          <w:szCs w:val="32"/>
          <w:lang w:val="zh-CN"/>
        </w:rPr>
        <w:t>；上缴上级支出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；经营支出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；对附属单位补助支出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w:t>
      </w:r>
    </w:p>
    <w:p>
      <w:pPr>
        <w:spacing w:line="353" w:lineRule="auto"/>
        <w:ind w:firstLine="641"/>
        <w:jc w:val="both"/>
        <w:rPr>
          <w:rFonts w:ascii="仿宋" w:hAnsi="Times New Roman" w:eastAsia="仿宋" w:cs="仿宋"/>
          <w:b/>
          <w:bCs/>
          <w:kern w:val="2"/>
          <w:sz w:val="32"/>
          <w:szCs w:val="32"/>
        </w:rPr>
      </w:pPr>
      <w:r>
        <w:drawing>
          <wp:inline distT="0" distB="0" distL="114300" distR="114300">
            <wp:extent cx="4334510" cy="2381250"/>
            <wp:effectExtent l="4445" t="4445" r="23495" b="14605"/>
            <wp:docPr id="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keepLines/>
        <w:spacing w:line="353" w:lineRule="auto"/>
        <w:ind w:firstLine="640"/>
        <w:jc w:val="both"/>
        <w:rPr>
          <w:rFonts w:ascii="黑体" w:hAnsi="Times New Roman" w:eastAsia="黑体" w:cs="黑体"/>
          <w:kern w:val="2"/>
          <w:sz w:val="32"/>
          <w:szCs w:val="32"/>
          <w:lang w:val="zh-CN"/>
        </w:rPr>
      </w:pPr>
      <w:r>
        <w:rPr>
          <w:rFonts w:hint="eastAsia" w:ascii="黑体" w:hAnsi="Times New Roman" w:eastAsia="黑体" w:cs="黑体"/>
          <w:color w:val="000000"/>
          <w:kern w:val="2"/>
          <w:sz w:val="32"/>
          <w:szCs w:val="32"/>
          <w:lang w:val="zh-CN"/>
        </w:rPr>
        <w:t>四、财</w:t>
      </w:r>
      <w:r>
        <w:rPr>
          <w:rFonts w:hint="eastAsia" w:ascii="黑体" w:hAnsi="Times New Roman" w:eastAsia="黑体" w:cs="黑体"/>
          <w:kern w:val="2"/>
          <w:sz w:val="32"/>
          <w:szCs w:val="32"/>
          <w:lang w:val="zh-CN"/>
        </w:rPr>
        <w:t>政拨款收入支出决算总体情况说明</w:t>
      </w:r>
    </w:p>
    <w:p>
      <w:pPr>
        <w:keepNext/>
        <w:keepLines/>
        <w:spacing w:line="353" w:lineRule="auto"/>
        <w:ind w:firstLine="640"/>
        <w:jc w:val="both"/>
        <w:rPr>
          <w:rFonts w:ascii="黑体" w:hAnsi="Times New Roman" w:eastAsia="黑体" w:cs="黑体"/>
          <w:kern w:val="2"/>
          <w:sz w:val="32"/>
          <w:szCs w:val="32"/>
          <w:lang w:val="zh-CN"/>
        </w:rPr>
      </w:pPr>
      <w:r>
        <w:rPr>
          <w:rFonts w:ascii="仿宋_GB2312" w:hAnsi="Times New Roman" w:eastAsia="仿宋_GB2312" w:cs="仿宋_GB2312"/>
          <w:color w:val="000000"/>
          <w:kern w:val="2"/>
          <w:sz w:val="32"/>
          <w:szCs w:val="32"/>
          <w:lang w:val="zh-CN"/>
        </w:rPr>
        <w:t>2022</w:t>
      </w:r>
      <w:r>
        <w:rPr>
          <w:rFonts w:hint="eastAsia" w:ascii="仿宋_GB2312" w:hAnsi="Times New Roman" w:eastAsia="仿宋_GB2312" w:cs="仿宋_GB2312"/>
          <w:color w:val="000000"/>
          <w:kern w:val="2"/>
          <w:sz w:val="32"/>
          <w:szCs w:val="32"/>
          <w:lang w:val="zh-CN"/>
        </w:rPr>
        <w:t>年财政拨款收、支总计</w:t>
      </w:r>
      <w:r>
        <w:rPr>
          <w:rFonts w:ascii="仿宋_GB2312" w:hAnsi="Times New Roman" w:eastAsia="仿宋_GB2312" w:cs="仿宋_GB2312"/>
          <w:color w:val="000000"/>
          <w:kern w:val="2"/>
          <w:sz w:val="32"/>
          <w:szCs w:val="32"/>
          <w:lang w:val="zh-CN"/>
        </w:rPr>
        <w:t>2,266.36</w:t>
      </w:r>
      <w:r>
        <w:rPr>
          <w:rFonts w:hint="eastAsia" w:ascii="仿宋_GB2312" w:hAnsi="Times New Roman" w:eastAsia="仿宋_GB2312" w:cs="仿宋_GB2312"/>
          <w:color w:val="000000"/>
          <w:kern w:val="2"/>
          <w:sz w:val="32"/>
          <w:szCs w:val="32"/>
          <w:lang w:val="zh-CN"/>
        </w:rPr>
        <w:t>万元。与</w:t>
      </w:r>
      <w:r>
        <w:rPr>
          <w:rFonts w:ascii="仿宋_GB2312" w:hAnsi="Times New Roman" w:eastAsia="仿宋_GB2312" w:cs="仿宋_GB2312"/>
          <w:color w:val="000000"/>
          <w:kern w:val="2"/>
          <w:sz w:val="32"/>
          <w:szCs w:val="32"/>
          <w:lang w:val="zh-CN"/>
        </w:rPr>
        <w:t>2021</w:t>
      </w:r>
      <w:r>
        <w:rPr>
          <w:rFonts w:hint="eastAsia" w:ascii="仿宋_GB2312" w:hAnsi="Times New Roman" w:eastAsia="仿宋_GB2312" w:cs="仿宋_GB2312"/>
          <w:color w:val="000000"/>
          <w:kern w:val="2"/>
          <w:sz w:val="32"/>
          <w:szCs w:val="32"/>
          <w:lang w:val="zh-CN"/>
        </w:rPr>
        <w:t>年相比，财政拨款收、支总计增加</w:t>
      </w:r>
      <w:r>
        <w:rPr>
          <w:rFonts w:ascii="仿宋_GB2312" w:hAnsi="Times New Roman" w:eastAsia="仿宋_GB2312" w:cs="仿宋_GB2312"/>
          <w:color w:val="000000"/>
          <w:kern w:val="2"/>
          <w:sz w:val="32"/>
          <w:szCs w:val="32"/>
          <w:lang w:val="zh-CN"/>
        </w:rPr>
        <w:t>209.9</w:t>
      </w:r>
      <w:r>
        <w:rPr>
          <w:rFonts w:hint="eastAsia" w:ascii="仿宋_GB2312" w:hAnsi="Times New Roman" w:eastAsia="仿宋_GB2312" w:cs="仿宋_GB2312"/>
          <w:color w:val="000000"/>
          <w:kern w:val="2"/>
          <w:sz w:val="32"/>
          <w:szCs w:val="32"/>
          <w:lang w:val="zh-CN"/>
        </w:rPr>
        <w:t>9万元，增长</w:t>
      </w:r>
      <w:r>
        <w:rPr>
          <w:rFonts w:ascii="仿宋_GB2312" w:hAnsi="Times New Roman" w:eastAsia="仿宋_GB2312" w:cs="仿宋_GB2312"/>
          <w:color w:val="000000"/>
          <w:kern w:val="2"/>
          <w:sz w:val="32"/>
          <w:szCs w:val="32"/>
          <w:lang w:val="zh-CN"/>
        </w:rPr>
        <w:t>10.2%</w:t>
      </w:r>
      <w:r>
        <w:rPr>
          <w:rFonts w:hint="eastAsia" w:ascii="仿宋_GB2312" w:hAnsi="Times New Roman" w:eastAsia="仿宋_GB2312" w:cs="仿宋_GB2312"/>
          <w:color w:val="000000"/>
          <w:kern w:val="2"/>
          <w:sz w:val="32"/>
          <w:szCs w:val="32"/>
          <w:lang w:val="zh-CN"/>
        </w:rPr>
        <w:t>。主要变动原因是项目支出减少，机构改革人员开支增加。</w:t>
      </w:r>
    </w:p>
    <w:p>
      <w:pPr>
        <w:spacing w:line="353" w:lineRule="auto"/>
        <w:ind w:firstLine="641"/>
        <w:jc w:val="both"/>
        <w:rPr>
          <w:rFonts w:ascii="仿宋" w:hAnsi="Times New Roman" w:eastAsia="仿宋" w:cs="仿宋"/>
          <w:b/>
          <w:bCs/>
          <w:kern w:val="2"/>
          <w:sz w:val="32"/>
          <w:szCs w:val="32"/>
        </w:rPr>
      </w:pPr>
      <w:r>
        <w:drawing>
          <wp:inline distT="0" distB="0" distL="114300" distR="114300">
            <wp:extent cx="4572000" cy="344805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keepLines/>
        <w:spacing w:line="353" w:lineRule="auto"/>
        <w:ind w:firstLine="640"/>
        <w:jc w:val="both"/>
        <w:rPr>
          <w:rFonts w:ascii="黑体" w:hAnsi="Times New Roman" w:eastAsia="黑体" w:cs="黑体"/>
          <w:kern w:val="2"/>
          <w:sz w:val="32"/>
          <w:szCs w:val="32"/>
          <w:lang w:val="zh-CN"/>
        </w:rPr>
      </w:pPr>
      <w:r>
        <w:rPr>
          <w:rFonts w:hint="eastAsia" w:ascii="黑体" w:hAnsi="Times New Roman" w:eastAsia="黑体" w:cs="黑体"/>
          <w:color w:val="000000"/>
          <w:kern w:val="2"/>
          <w:sz w:val="32"/>
          <w:szCs w:val="32"/>
          <w:lang w:val="zh-CN"/>
        </w:rPr>
        <w:t>五、</w:t>
      </w:r>
      <w:r>
        <w:rPr>
          <w:rFonts w:hint="eastAsia" w:ascii="黑体" w:hAnsi="Times New Roman" w:eastAsia="黑体" w:cs="黑体"/>
          <w:b/>
          <w:bCs/>
          <w:color w:val="000000"/>
          <w:kern w:val="2"/>
          <w:sz w:val="32"/>
          <w:szCs w:val="32"/>
          <w:lang w:val="zh-CN"/>
        </w:rPr>
        <w:t>一</w:t>
      </w:r>
      <w:r>
        <w:rPr>
          <w:rFonts w:hint="eastAsia" w:ascii="黑体" w:hAnsi="Times New Roman" w:eastAsia="黑体" w:cs="黑体"/>
          <w:kern w:val="2"/>
          <w:sz w:val="32"/>
          <w:szCs w:val="32"/>
          <w:lang w:val="zh-CN"/>
        </w:rPr>
        <w:t>般公共预算财政拨款支出决算情况说明</w:t>
      </w:r>
    </w:p>
    <w:p>
      <w:pPr>
        <w:keepNext/>
        <w:keepLines/>
        <w:spacing w:line="353" w:lineRule="auto"/>
        <w:ind w:firstLine="643"/>
        <w:jc w:val="both"/>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b/>
          <w:bCs/>
          <w:color w:val="000000"/>
          <w:kern w:val="2"/>
          <w:sz w:val="32"/>
          <w:szCs w:val="32"/>
          <w:lang w:val="zh-CN"/>
        </w:rPr>
        <w:t>（一）一般公共预算财政拨款支出决算总体情况。</w:t>
      </w:r>
    </w:p>
    <w:p>
      <w:pPr>
        <w:keepNext/>
        <w:keepLines/>
        <w:spacing w:line="353" w:lineRule="auto"/>
        <w:ind w:firstLine="641"/>
        <w:rPr>
          <w:rFonts w:hint="eastAsia" w:ascii="仿宋_GB2312" w:hAnsi="Times New Roman" w:eastAsia="仿宋_GB2312" w:cs="仿宋_GB2312"/>
          <w:color w:val="000000"/>
          <w:kern w:val="2"/>
          <w:sz w:val="32"/>
          <w:szCs w:val="32"/>
          <w:lang w:val="zh-CN"/>
        </w:rPr>
      </w:pPr>
      <w:r>
        <w:rPr>
          <w:rFonts w:ascii="仿宋_GB2312" w:hAnsi="Times New Roman" w:eastAsia="仿宋_GB2312" w:cs="仿宋_GB2312"/>
          <w:color w:val="000000"/>
          <w:kern w:val="2"/>
          <w:sz w:val="32"/>
          <w:szCs w:val="32"/>
          <w:lang w:val="zh-CN"/>
        </w:rPr>
        <w:t>2022</w:t>
      </w:r>
      <w:r>
        <w:rPr>
          <w:rFonts w:hint="eastAsia" w:ascii="仿宋_GB2312" w:hAnsi="Times New Roman" w:eastAsia="仿宋_GB2312" w:cs="仿宋_GB2312"/>
          <w:color w:val="000000"/>
          <w:kern w:val="2"/>
          <w:sz w:val="32"/>
          <w:szCs w:val="32"/>
          <w:lang w:val="zh-CN"/>
        </w:rPr>
        <w:t>年一般公共预算财政拨款支出</w:t>
      </w:r>
      <w:r>
        <w:rPr>
          <w:rFonts w:ascii="仿宋_GB2312" w:hAnsi="Times New Roman" w:eastAsia="仿宋_GB2312" w:cs="仿宋_GB2312"/>
          <w:color w:val="000000"/>
          <w:kern w:val="2"/>
          <w:sz w:val="32"/>
          <w:szCs w:val="32"/>
          <w:lang w:val="zh-CN"/>
        </w:rPr>
        <w:t>2,239.27</w:t>
      </w:r>
      <w:r>
        <w:rPr>
          <w:rFonts w:hint="eastAsia" w:ascii="仿宋_GB2312" w:hAnsi="Times New Roman" w:eastAsia="仿宋_GB2312" w:cs="仿宋_GB2312"/>
          <w:color w:val="000000"/>
          <w:kern w:val="2"/>
          <w:sz w:val="32"/>
          <w:szCs w:val="32"/>
          <w:lang w:val="zh-CN"/>
        </w:rPr>
        <w:t>万元，占本年支出合计的</w:t>
      </w:r>
      <w:r>
        <w:rPr>
          <w:rFonts w:ascii="仿宋_GB2312" w:hAnsi="Times New Roman" w:eastAsia="仿宋_GB2312" w:cs="仿宋_GB2312"/>
          <w:color w:val="000000"/>
          <w:kern w:val="2"/>
          <w:sz w:val="32"/>
          <w:szCs w:val="32"/>
          <w:lang w:val="zh-CN"/>
        </w:rPr>
        <w:t>98.9%</w:t>
      </w:r>
      <w:r>
        <w:rPr>
          <w:rFonts w:hint="eastAsia" w:ascii="仿宋_GB2312" w:hAnsi="Times New Roman" w:eastAsia="仿宋_GB2312" w:cs="仿宋_GB2312"/>
          <w:color w:val="000000"/>
          <w:kern w:val="2"/>
          <w:sz w:val="32"/>
          <w:szCs w:val="32"/>
          <w:lang w:val="zh-CN"/>
        </w:rPr>
        <w:t>。与</w:t>
      </w:r>
      <w:r>
        <w:rPr>
          <w:rFonts w:ascii="仿宋_GB2312" w:hAnsi="Times New Roman" w:eastAsia="仿宋_GB2312" w:cs="仿宋_GB2312"/>
          <w:color w:val="000000"/>
          <w:kern w:val="2"/>
          <w:sz w:val="32"/>
          <w:szCs w:val="32"/>
          <w:lang w:val="zh-CN"/>
        </w:rPr>
        <w:t>2021</w:t>
      </w:r>
      <w:r>
        <w:rPr>
          <w:rFonts w:hint="eastAsia" w:ascii="仿宋_GB2312" w:hAnsi="Times New Roman" w:eastAsia="仿宋_GB2312" w:cs="仿宋_GB2312"/>
          <w:color w:val="000000"/>
          <w:kern w:val="2"/>
          <w:sz w:val="32"/>
          <w:szCs w:val="32"/>
          <w:lang w:val="zh-CN"/>
        </w:rPr>
        <w:t>年相比，一般公共预算财政拨款支出增加</w:t>
      </w:r>
      <w:r>
        <w:rPr>
          <w:rFonts w:ascii="仿宋_GB2312" w:hAnsi="Times New Roman" w:eastAsia="仿宋_GB2312" w:cs="仿宋_GB2312"/>
          <w:color w:val="000000"/>
          <w:kern w:val="2"/>
          <w:sz w:val="32"/>
          <w:szCs w:val="32"/>
          <w:lang w:val="zh-CN"/>
        </w:rPr>
        <w:t>475.74</w:t>
      </w:r>
      <w:r>
        <w:rPr>
          <w:rFonts w:hint="eastAsia" w:ascii="仿宋_GB2312" w:hAnsi="Times New Roman" w:eastAsia="仿宋_GB2312" w:cs="仿宋_GB2312"/>
          <w:color w:val="000000"/>
          <w:kern w:val="2"/>
          <w:sz w:val="32"/>
          <w:szCs w:val="32"/>
          <w:lang w:val="zh-CN"/>
        </w:rPr>
        <w:t>万元，增长</w:t>
      </w:r>
      <w:r>
        <w:rPr>
          <w:rFonts w:ascii="仿宋_GB2312" w:hAnsi="Times New Roman" w:eastAsia="仿宋_GB2312" w:cs="仿宋_GB2312"/>
          <w:color w:val="000000"/>
          <w:kern w:val="2"/>
          <w:sz w:val="32"/>
          <w:szCs w:val="32"/>
          <w:lang w:val="zh-CN"/>
        </w:rPr>
        <w:t>27%</w:t>
      </w:r>
      <w:r>
        <w:rPr>
          <w:rFonts w:hint="eastAsia" w:ascii="仿宋_GB2312" w:hAnsi="Times New Roman" w:eastAsia="仿宋_GB2312" w:cs="仿宋_GB2312"/>
          <w:color w:val="000000"/>
          <w:kern w:val="2"/>
          <w:sz w:val="32"/>
          <w:szCs w:val="32"/>
          <w:lang w:val="zh-CN"/>
        </w:rPr>
        <w:t>。主要变动原因是机构改革人员开支增加。</w:t>
      </w:r>
    </w:p>
    <w:p>
      <w:pPr>
        <w:keepNext/>
        <w:keepLines/>
        <w:spacing w:line="353" w:lineRule="auto"/>
        <w:ind w:firstLine="641"/>
        <w:rPr>
          <w:rFonts w:hint="eastAsia" w:ascii="仿宋_GB2312" w:hAnsi="Times New Roman" w:eastAsia="仿宋_GB2312" w:cs="仿宋_GB2312"/>
          <w:color w:val="000000"/>
          <w:kern w:val="2"/>
          <w:sz w:val="32"/>
          <w:szCs w:val="32"/>
          <w:lang w:val="zh-CN"/>
        </w:rPr>
      </w:pPr>
    </w:p>
    <w:p>
      <w:pPr>
        <w:keepNext/>
        <w:keepLines/>
        <w:spacing w:line="353" w:lineRule="auto"/>
        <w:ind w:firstLine="641"/>
        <w:rPr>
          <w:rFonts w:hint="eastAsia" w:ascii="仿宋_GB2312" w:hAnsi="Times New Roman" w:eastAsia="仿宋_GB2312" w:cs="仿宋_GB2312"/>
          <w:color w:val="000000"/>
          <w:kern w:val="2"/>
          <w:sz w:val="32"/>
          <w:szCs w:val="32"/>
          <w:lang w:val="zh-CN"/>
        </w:rPr>
      </w:pPr>
      <w:r>
        <w:drawing>
          <wp:inline distT="0" distB="0" distL="114300" distR="114300">
            <wp:extent cx="4572000" cy="4761865"/>
            <wp:effectExtent l="5080" t="4445" r="13970" b="15240"/>
            <wp:docPr id="6"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keepLines/>
        <w:spacing w:line="353" w:lineRule="auto"/>
        <w:ind w:firstLine="641"/>
        <w:rPr>
          <w:rFonts w:hint="eastAsia" w:ascii="仿宋_GB2312" w:hAnsi="Times New Roman" w:eastAsia="仿宋_GB2312" w:cs="仿宋_GB2312"/>
          <w:color w:val="000000"/>
          <w:kern w:val="2"/>
          <w:sz w:val="32"/>
          <w:szCs w:val="32"/>
          <w:lang w:val="zh-CN"/>
        </w:rPr>
      </w:pPr>
    </w:p>
    <w:p>
      <w:pPr>
        <w:keepNext/>
        <w:keepLines/>
        <w:spacing w:line="353" w:lineRule="auto"/>
        <w:ind w:firstLine="641"/>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b/>
          <w:bCs/>
          <w:color w:val="000000"/>
          <w:kern w:val="2"/>
          <w:sz w:val="32"/>
          <w:szCs w:val="32"/>
          <w:lang w:val="zh-CN"/>
        </w:rPr>
        <w:t>（二）一般公共预算财政拨款支出决算结构情况。</w:t>
      </w:r>
    </w:p>
    <w:p>
      <w:pPr>
        <w:keepNext/>
        <w:keepLines/>
        <w:spacing w:line="353" w:lineRule="auto"/>
        <w:ind w:firstLine="641"/>
        <w:rPr>
          <w:rFonts w:ascii="仿宋" w:hAnsi="Times New Roman" w:eastAsia="仿宋" w:cs="仿宋"/>
          <w:kern w:val="2"/>
          <w:sz w:val="32"/>
          <w:szCs w:val="32"/>
        </w:rPr>
      </w:pPr>
      <w:r>
        <w:rPr>
          <w:rFonts w:ascii="仿宋_GB2312" w:hAnsi="Times New Roman" w:eastAsia="仿宋_GB2312" w:cs="仿宋_GB2312"/>
          <w:color w:val="000000"/>
          <w:kern w:val="2"/>
          <w:sz w:val="32"/>
          <w:szCs w:val="32"/>
          <w:lang w:val="zh-CN"/>
        </w:rPr>
        <w:t>2022</w:t>
      </w:r>
      <w:r>
        <w:rPr>
          <w:rFonts w:hint="eastAsia" w:ascii="仿宋_GB2312" w:hAnsi="Times New Roman" w:eastAsia="仿宋_GB2312" w:cs="仿宋_GB2312"/>
          <w:color w:val="000000"/>
          <w:kern w:val="2"/>
          <w:sz w:val="32"/>
          <w:szCs w:val="32"/>
          <w:lang w:val="zh-CN"/>
        </w:rPr>
        <w:t>年一般公共预算财政拨款支出</w:t>
      </w:r>
      <w:r>
        <w:rPr>
          <w:rFonts w:ascii="仿宋_GB2312" w:hAnsi="Times New Roman" w:eastAsia="仿宋_GB2312" w:cs="仿宋_GB2312"/>
          <w:color w:val="000000"/>
          <w:kern w:val="2"/>
          <w:sz w:val="32"/>
          <w:szCs w:val="32"/>
          <w:lang w:val="zh-CN"/>
        </w:rPr>
        <w:t>2,239.27</w:t>
      </w:r>
      <w:r>
        <w:rPr>
          <w:rFonts w:hint="eastAsia" w:ascii="仿宋_GB2312" w:hAnsi="Times New Roman" w:eastAsia="仿宋_GB2312" w:cs="仿宋_GB2312"/>
          <w:color w:val="000000"/>
          <w:kern w:val="2"/>
          <w:sz w:val="32"/>
          <w:szCs w:val="32"/>
          <w:lang w:val="zh-CN"/>
        </w:rPr>
        <w:t>万元，主要用于以下方面</w:t>
      </w:r>
      <w:r>
        <w:rPr>
          <w:rFonts w:ascii="仿宋_GB2312" w:hAnsi="Times New Roman" w:eastAsia="仿宋_GB2312" w:cs="仿宋_GB2312"/>
          <w:color w:val="000000"/>
          <w:kern w:val="2"/>
          <w:sz w:val="32"/>
          <w:szCs w:val="32"/>
          <w:lang w:val="zh-CN"/>
        </w:rPr>
        <w:t xml:space="preserve">: </w:t>
      </w:r>
      <w:r>
        <w:rPr>
          <w:rFonts w:hint="eastAsia" w:ascii="仿宋_GB2312" w:hAnsi="Times New Roman" w:eastAsia="仿宋_GB2312" w:cs="仿宋_GB2312"/>
          <w:color w:val="000000"/>
          <w:kern w:val="2"/>
          <w:sz w:val="32"/>
          <w:szCs w:val="32"/>
          <w:lang w:val="zh-CN"/>
        </w:rPr>
        <w:t>一般公共服务支出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；外交支出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；国防支出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；公共安全支出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；教育支出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；科学技术支出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；文化体育与传媒支出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；社会保障和就业支出</w:t>
      </w:r>
      <w:r>
        <w:rPr>
          <w:rFonts w:ascii="仿宋_GB2312" w:hAnsi="Times New Roman" w:eastAsia="仿宋_GB2312" w:cs="仿宋_GB2312"/>
          <w:color w:val="000000"/>
          <w:kern w:val="2"/>
          <w:sz w:val="32"/>
          <w:szCs w:val="32"/>
          <w:lang w:val="zh-CN"/>
        </w:rPr>
        <w:t>144.03</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6.4%</w:t>
      </w:r>
      <w:r>
        <w:rPr>
          <w:rFonts w:hint="eastAsia" w:ascii="仿宋_GB2312" w:hAnsi="Times New Roman" w:eastAsia="仿宋_GB2312" w:cs="仿宋_GB2312"/>
          <w:color w:val="000000"/>
          <w:kern w:val="2"/>
          <w:sz w:val="32"/>
          <w:szCs w:val="32"/>
          <w:lang w:val="zh-CN"/>
        </w:rPr>
        <w:t>；卫生健康支出</w:t>
      </w:r>
      <w:r>
        <w:rPr>
          <w:rFonts w:ascii="仿宋_GB2312" w:hAnsi="Times New Roman" w:eastAsia="仿宋_GB2312" w:cs="仿宋_GB2312"/>
          <w:color w:val="000000"/>
          <w:kern w:val="2"/>
          <w:sz w:val="32"/>
          <w:szCs w:val="32"/>
          <w:lang w:val="zh-CN"/>
        </w:rPr>
        <w:t>132.22</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5.9%</w:t>
      </w:r>
      <w:r>
        <w:rPr>
          <w:rFonts w:hint="eastAsia" w:ascii="仿宋_GB2312" w:hAnsi="Times New Roman" w:eastAsia="仿宋_GB2312" w:cs="仿宋_GB2312"/>
          <w:color w:val="000000"/>
          <w:kern w:val="2"/>
          <w:sz w:val="32"/>
          <w:szCs w:val="32"/>
          <w:lang w:val="zh-CN"/>
        </w:rPr>
        <w:t>；节能环保支出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；城乡社区支出</w:t>
      </w:r>
      <w:r>
        <w:rPr>
          <w:rFonts w:ascii="仿宋_GB2312" w:hAnsi="Times New Roman" w:eastAsia="仿宋_GB2312" w:cs="仿宋_GB2312"/>
          <w:color w:val="000000"/>
          <w:kern w:val="2"/>
          <w:sz w:val="32"/>
          <w:szCs w:val="32"/>
          <w:lang w:val="zh-CN"/>
        </w:rPr>
        <w:t>1,825.59</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81.5%</w:t>
      </w:r>
      <w:r>
        <w:rPr>
          <w:rFonts w:hint="eastAsia" w:ascii="仿宋_GB2312" w:hAnsi="Times New Roman" w:eastAsia="仿宋_GB2312" w:cs="仿宋_GB2312"/>
          <w:color w:val="000000"/>
          <w:kern w:val="2"/>
          <w:sz w:val="32"/>
          <w:szCs w:val="32"/>
          <w:lang w:val="zh-CN"/>
        </w:rPr>
        <w:t>；农林水支出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；交通运输支出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；资源勘探工业信息等支出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；商业服务业等支出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；金融支出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；援助其他地区支出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；自然资源海洋气象等支出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；住房保障支出</w:t>
      </w:r>
      <w:r>
        <w:rPr>
          <w:rFonts w:ascii="仿宋_GB2312" w:hAnsi="Times New Roman" w:eastAsia="仿宋_GB2312" w:cs="仿宋_GB2312"/>
          <w:color w:val="000000"/>
          <w:kern w:val="2"/>
          <w:sz w:val="32"/>
          <w:szCs w:val="32"/>
          <w:lang w:val="zh-CN"/>
        </w:rPr>
        <w:t>126.78</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5.7%</w:t>
      </w:r>
      <w:r>
        <w:rPr>
          <w:rFonts w:hint="eastAsia" w:ascii="仿宋_GB2312" w:hAnsi="Times New Roman" w:eastAsia="仿宋_GB2312" w:cs="仿宋_GB2312"/>
          <w:color w:val="000000"/>
          <w:kern w:val="2"/>
          <w:sz w:val="32"/>
          <w:szCs w:val="32"/>
          <w:lang w:val="zh-CN"/>
        </w:rPr>
        <w:t>；粮油物资储备支出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；国有资本经营预算支出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；灾害防治及应急管理支出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；其他支出</w:t>
      </w:r>
      <w:r>
        <w:rPr>
          <w:rFonts w:ascii="仿宋_GB2312" w:hAnsi="Times New Roman" w:eastAsia="仿宋_GB2312" w:cs="仿宋_GB2312"/>
          <w:color w:val="000000"/>
          <w:kern w:val="2"/>
          <w:sz w:val="32"/>
          <w:szCs w:val="32"/>
          <w:lang w:val="zh-CN"/>
        </w:rPr>
        <w:t>10.65</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0.5%</w:t>
      </w:r>
      <w:r>
        <w:rPr>
          <w:rFonts w:hint="eastAsia" w:ascii="仿宋_GB2312" w:hAnsi="Times New Roman" w:eastAsia="仿宋_GB2312" w:cs="仿宋_GB2312"/>
          <w:color w:val="000000"/>
          <w:kern w:val="2"/>
          <w:sz w:val="32"/>
          <w:szCs w:val="32"/>
          <w:lang w:val="zh-CN"/>
        </w:rPr>
        <w:t>；债务还本支出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；债务付息支出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；抗疫特别国债安排的支出</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0%</w:t>
      </w:r>
      <w:r>
        <w:rPr>
          <w:rFonts w:hint="eastAsia" w:ascii="仿宋_GB2312" w:hAnsi="Times New Roman" w:eastAsia="仿宋_GB2312" w:cs="仿宋_GB2312"/>
          <w:color w:val="000000"/>
          <w:kern w:val="2"/>
          <w:sz w:val="32"/>
          <w:szCs w:val="32"/>
          <w:lang w:val="zh-CN"/>
        </w:rPr>
        <w:t>。</w:t>
      </w:r>
    </w:p>
    <w:p>
      <w:pPr>
        <w:spacing w:line="353" w:lineRule="auto"/>
        <w:ind w:firstLine="641"/>
        <w:jc w:val="both"/>
        <w:rPr>
          <w:rFonts w:ascii="仿宋" w:hAnsi="Times New Roman" w:eastAsia="仿宋" w:cs="仿宋"/>
          <w:b/>
          <w:bCs/>
          <w:kern w:val="2"/>
          <w:sz w:val="32"/>
          <w:szCs w:val="32"/>
        </w:rPr>
      </w:pPr>
      <w:r>
        <w:drawing>
          <wp:inline distT="0" distB="0" distL="114300" distR="114300">
            <wp:extent cx="5485130" cy="3555365"/>
            <wp:effectExtent l="4445" t="4445" r="15875" b="21590"/>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keepLines/>
        <w:spacing w:line="353" w:lineRule="auto"/>
        <w:ind w:firstLine="643"/>
        <w:jc w:val="both"/>
        <w:rPr>
          <w:rFonts w:ascii="仿宋_GB2312" w:hAnsi="Times New Roman" w:eastAsia="仿宋_GB2312" w:cs="仿宋_GB2312"/>
          <w:b/>
          <w:bCs/>
          <w:color w:val="000000"/>
          <w:kern w:val="2"/>
          <w:sz w:val="32"/>
          <w:szCs w:val="32"/>
          <w:lang w:val="zh-CN"/>
        </w:rPr>
      </w:pPr>
      <w:r>
        <w:rPr>
          <w:rFonts w:hint="eastAsia" w:ascii="仿宋_GB2312" w:hAnsi="Times New Roman" w:eastAsia="仿宋_GB2312" w:cs="仿宋_GB2312"/>
          <w:b/>
          <w:bCs/>
          <w:color w:val="000000"/>
          <w:kern w:val="2"/>
          <w:sz w:val="32"/>
          <w:szCs w:val="32"/>
          <w:lang w:val="zh-CN"/>
        </w:rPr>
        <w:t>（三）一般公共预算财政拨款支出决算具体情况。</w:t>
      </w:r>
    </w:p>
    <w:p>
      <w:pPr>
        <w:keepNext/>
        <w:keepLines/>
        <w:spacing w:line="353" w:lineRule="auto"/>
        <w:ind w:firstLine="643"/>
        <w:jc w:val="both"/>
        <w:rPr>
          <w:rFonts w:ascii="仿宋_GB2312" w:hAnsi="Times New Roman" w:eastAsia="仿宋_GB2312" w:cs="仿宋_GB2312"/>
          <w:b/>
          <w:bCs/>
          <w:color w:val="000000"/>
          <w:kern w:val="2"/>
          <w:sz w:val="32"/>
          <w:szCs w:val="32"/>
          <w:lang w:val="zh-CN"/>
        </w:rPr>
      </w:pPr>
      <w:r>
        <w:rPr>
          <w:rFonts w:ascii="仿宋_GB2312" w:hAnsi="Times New Roman" w:eastAsia="仿宋_GB2312" w:cs="仿宋_GB2312"/>
          <w:b/>
          <w:bCs/>
          <w:color w:val="000000"/>
          <w:kern w:val="2"/>
          <w:sz w:val="32"/>
          <w:szCs w:val="32"/>
          <w:lang w:val="zh-CN"/>
        </w:rPr>
        <w:t>2022</w:t>
      </w:r>
      <w:r>
        <w:rPr>
          <w:rFonts w:hint="eastAsia" w:ascii="仿宋_GB2312" w:hAnsi="Times New Roman" w:eastAsia="仿宋_GB2312" w:cs="仿宋_GB2312"/>
          <w:b/>
          <w:bCs/>
          <w:color w:val="000000"/>
          <w:kern w:val="2"/>
          <w:sz w:val="32"/>
          <w:szCs w:val="32"/>
          <w:lang w:val="zh-CN"/>
        </w:rPr>
        <w:t>年一般公共预算支出决算数为</w:t>
      </w:r>
      <w:r>
        <w:rPr>
          <w:rFonts w:ascii="仿宋_GB2312" w:hAnsi="Times New Roman" w:eastAsia="仿宋_GB2312" w:cs="仿宋_GB2312"/>
          <w:b/>
          <w:bCs/>
          <w:color w:val="000000"/>
          <w:kern w:val="2"/>
          <w:sz w:val="32"/>
          <w:szCs w:val="32"/>
          <w:lang w:val="zh-CN"/>
        </w:rPr>
        <w:t>2,239.27</w:t>
      </w:r>
      <w:r>
        <w:rPr>
          <w:rFonts w:hint="eastAsia" w:ascii="仿宋_GB2312" w:hAnsi="Times New Roman" w:eastAsia="仿宋_GB2312" w:cs="仿宋_GB2312"/>
          <w:b/>
          <w:bCs/>
          <w:color w:val="000000"/>
          <w:kern w:val="2"/>
          <w:sz w:val="32"/>
          <w:szCs w:val="32"/>
          <w:lang w:val="zh-CN"/>
        </w:rPr>
        <w:t>万元</w:t>
      </w:r>
      <w:r>
        <w:rPr>
          <w:rFonts w:hint="eastAsia" w:ascii="仿宋_GB2312" w:hAnsi="Times New Roman" w:eastAsia="仿宋_GB2312" w:cs="仿宋_GB2312"/>
          <w:color w:val="000000"/>
          <w:kern w:val="2"/>
          <w:sz w:val="32"/>
          <w:szCs w:val="32"/>
          <w:lang w:val="zh-CN"/>
        </w:rPr>
        <w:t>，</w:t>
      </w:r>
      <w:r>
        <w:rPr>
          <w:rFonts w:hint="eastAsia" w:ascii="仿宋_GB2312" w:hAnsi="Times New Roman" w:eastAsia="仿宋_GB2312" w:cs="仿宋_GB2312"/>
          <w:b/>
          <w:bCs/>
          <w:color w:val="000000"/>
          <w:kern w:val="2"/>
          <w:sz w:val="32"/>
          <w:szCs w:val="32"/>
          <w:lang w:val="zh-CN"/>
        </w:rPr>
        <w:t>完成预算100</w:t>
      </w:r>
      <w:r>
        <w:rPr>
          <w:rFonts w:ascii="仿宋_GB2312" w:hAnsi="Times New Roman" w:eastAsia="仿宋_GB2312" w:cs="仿宋_GB2312"/>
          <w:b/>
          <w:bCs/>
          <w:color w:val="000000"/>
          <w:kern w:val="2"/>
          <w:sz w:val="32"/>
          <w:szCs w:val="32"/>
          <w:lang w:val="zh-CN"/>
        </w:rPr>
        <w:t>%</w:t>
      </w:r>
      <w:r>
        <w:rPr>
          <w:rFonts w:hint="eastAsia" w:ascii="仿宋_GB2312" w:hAnsi="Times New Roman" w:eastAsia="仿宋_GB2312" w:cs="仿宋_GB2312"/>
          <w:b/>
          <w:bCs/>
          <w:color w:val="000000"/>
          <w:kern w:val="2"/>
          <w:sz w:val="32"/>
          <w:szCs w:val="32"/>
          <w:lang w:val="zh-CN"/>
        </w:rPr>
        <w:t>。其中：</w:t>
      </w:r>
    </w:p>
    <w:p>
      <w:pPr>
        <w:keepNext/>
        <w:keepLines/>
        <w:spacing w:line="353" w:lineRule="auto"/>
        <w:ind w:firstLine="643"/>
        <w:jc w:val="both"/>
        <w:rPr>
          <w:rFonts w:ascii="仿宋_GB2312" w:hAnsi="Times New Roman" w:eastAsia="仿宋_GB2312" w:cs="仿宋_GB2312"/>
          <w:b/>
          <w:bCs/>
          <w:color w:val="000000"/>
          <w:kern w:val="2"/>
          <w:sz w:val="32"/>
          <w:szCs w:val="32"/>
        </w:rPr>
      </w:pPr>
      <w:r>
        <w:rPr>
          <w:rFonts w:ascii="仿宋_GB2312" w:hAnsi="Times New Roman" w:eastAsia="仿宋_GB2312" w:cs="仿宋_GB2312"/>
          <w:b/>
          <w:bCs/>
          <w:color w:val="000000"/>
          <w:kern w:val="2"/>
          <w:sz w:val="32"/>
          <w:szCs w:val="32"/>
        </w:rPr>
        <w:t>1.</w:t>
      </w:r>
      <w:r>
        <w:rPr>
          <w:rFonts w:hint="eastAsia" w:ascii="仿宋_GB2312" w:hAnsi="Times New Roman" w:eastAsia="仿宋_GB2312" w:cs="仿宋_GB2312"/>
          <w:b/>
          <w:bCs/>
          <w:color w:val="000000"/>
          <w:kern w:val="2"/>
          <w:sz w:val="32"/>
          <w:szCs w:val="32"/>
        </w:rPr>
        <w:t xml:space="preserve"> 社会保障和就业支出（类）行政事业单位养老支出（款）行政单位离退休（项）</w:t>
      </w:r>
      <w:r>
        <w:rPr>
          <w:rFonts w:ascii="仿宋_GB2312" w:hAnsi="Times New Roman" w:eastAsia="仿宋_GB2312" w:cs="仿宋_GB2312"/>
          <w:b/>
          <w:bCs/>
          <w:color w:val="000000"/>
          <w:kern w:val="2"/>
          <w:sz w:val="32"/>
          <w:szCs w:val="32"/>
        </w:rPr>
        <w:t>:</w:t>
      </w:r>
      <w:r>
        <w:rPr>
          <w:rFonts w:ascii="仿宋_GB2312" w:hAnsi="Times New Roman" w:eastAsia="仿宋_GB2312" w:cs="仿宋_GB2312"/>
          <w:color w:val="000000"/>
          <w:kern w:val="2"/>
          <w:sz w:val="32"/>
          <w:szCs w:val="32"/>
        </w:rPr>
        <w:t xml:space="preserve"> </w:t>
      </w:r>
      <w:r>
        <w:rPr>
          <w:rFonts w:hint="eastAsia" w:ascii="仿宋_GB2312" w:hAnsi="Times New Roman" w:eastAsia="仿宋_GB2312" w:cs="仿宋"/>
          <w:kern w:val="2"/>
          <w:sz w:val="32"/>
          <w:szCs w:val="32"/>
        </w:rPr>
        <w:t>支出决算为10.74万元，完成预算100%。</w:t>
      </w:r>
    </w:p>
    <w:p>
      <w:pPr>
        <w:keepNext/>
        <w:keepLines/>
        <w:spacing w:line="353" w:lineRule="auto"/>
        <w:ind w:firstLine="643"/>
        <w:jc w:val="both"/>
        <w:rPr>
          <w:rFonts w:ascii="仿宋_GB2312" w:hAnsi="Times New Roman" w:eastAsia="仿宋_GB2312" w:cs="仿宋_GB2312"/>
          <w:b/>
          <w:bCs/>
          <w:color w:val="000000"/>
          <w:kern w:val="2"/>
          <w:sz w:val="32"/>
          <w:szCs w:val="32"/>
        </w:rPr>
      </w:pPr>
      <w:r>
        <w:rPr>
          <w:rFonts w:ascii="仿宋_GB2312" w:hAnsi="Times New Roman" w:eastAsia="仿宋_GB2312" w:cs="仿宋_GB2312"/>
          <w:b/>
          <w:bCs/>
          <w:color w:val="000000"/>
          <w:kern w:val="2"/>
          <w:sz w:val="32"/>
          <w:szCs w:val="32"/>
        </w:rPr>
        <w:t>2.</w:t>
      </w:r>
      <w:r>
        <w:rPr>
          <w:rFonts w:hint="eastAsia" w:ascii="仿宋_GB2312" w:hAnsi="Times New Roman" w:eastAsia="仿宋_GB2312" w:cs="仿宋_GB2312"/>
          <w:b/>
          <w:bCs/>
          <w:color w:val="000000"/>
          <w:kern w:val="2"/>
          <w:sz w:val="32"/>
          <w:szCs w:val="32"/>
        </w:rPr>
        <w:t xml:space="preserve"> 社会保障和就业支出（类）行政事业单位养老支出（款）</w:t>
      </w:r>
      <w:r>
        <w:rPr>
          <w:rStyle w:val="13"/>
          <w:rFonts w:hint="eastAsia" w:ascii="仿宋" w:hAnsi="仿宋" w:eastAsia="仿宋"/>
          <w:bCs/>
          <w:color w:val="000000"/>
          <w:sz w:val="32"/>
          <w:szCs w:val="32"/>
        </w:rPr>
        <w:t>机关事业单位基本养老保险缴费支出</w:t>
      </w:r>
      <w:r>
        <w:rPr>
          <w:rFonts w:hint="eastAsia" w:ascii="仿宋_GB2312" w:hAnsi="Times New Roman" w:eastAsia="仿宋_GB2312" w:cs="仿宋_GB2312"/>
          <w:b/>
          <w:bCs/>
          <w:color w:val="000000"/>
          <w:kern w:val="2"/>
          <w:sz w:val="32"/>
          <w:szCs w:val="32"/>
        </w:rPr>
        <w:t>（项）</w:t>
      </w:r>
      <w:r>
        <w:rPr>
          <w:rFonts w:ascii="仿宋_GB2312" w:hAnsi="Times New Roman" w:eastAsia="仿宋_GB2312" w:cs="仿宋_GB2312"/>
          <w:b/>
          <w:bCs/>
          <w:color w:val="000000"/>
          <w:kern w:val="2"/>
          <w:sz w:val="32"/>
          <w:szCs w:val="32"/>
        </w:rPr>
        <w:t>:</w:t>
      </w:r>
      <w:r>
        <w:rPr>
          <w:rFonts w:hint="eastAsia" w:ascii="仿宋_GB2312" w:hAnsi="Times New Roman" w:eastAsia="仿宋_GB2312" w:cs="仿宋"/>
          <w:kern w:val="2"/>
          <w:sz w:val="32"/>
          <w:szCs w:val="32"/>
        </w:rPr>
        <w:t>支出决算为132.51万元，完成预算100%。</w:t>
      </w:r>
    </w:p>
    <w:p>
      <w:pPr>
        <w:keepNext/>
        <w:keepLines/>
        <w:spacing w:line="353" w:lineRule="auto"/>
        <w:ind w:firstLine="643"/>
        <w:jc w:val="both"/>
        <w:rPr>
          <w:rFonts w:ascii="仿宋_GB2312" w:hAnsi="Times New Roman" w:eastAsia="仿宋_GB2312" w:cs="仿宋_GB2312"/>
          <w:b/>
          <w:bCs/>
          <w:color w:val="000000"/>
          <w:kern w:val="2"/>
          <w:sz w:val="32"/>
          <w:szCs w:val="32"/>
        </w:rPr>
      </w:pPr>
      <w:r>
        <w:rPr>
          <w:rFonts w:ascii="仿宋_GB2312" w:hAnsi="Times New Roman" w:eastAsia="仿宋_GB2312" w:cs="仿宋_GB2312"/>
          <w:b/>
          <w:bCs/>
          <w:color w:val="000000"/>
          <w:kern w:val="2"/>
          <w:sz w:val="32"/>
          <w:szCs w:val="32"/>
        </w:rPr>
        <w:t>3.</w:t>
      </w:r>
      <w:r>
        <w:rPr>
          <w:rFonts w:hint="eastAsia" w:ascii="仿宋_GB2312" w:hAnsi="Times New Roman" w:eastAsia="仿宋_GB2312" w:cs="仿宋_GB2312"/>
          <w:b/>
          <w:bCs/>
          <w:color w:val="000000"/>
          <w:kern w:val="2"/>
          <w:sz w:val="32"/>
          <w:szCs w:val="32"/>
        </w:rPr>
        <w:t xml:space="preserve"> 社会保障和就业支出（类）行政事业单位养老支出（款）</w:t>
      </w:r>
      <w:r>
        <w:rPr>
          <w:rStyle w:val="13"/>
          <w:rFonts w:hint="eastAsia" w:ascii="仿宋" w:hAnsi="仿宋" w:eastAsia="仿宋"/>
          <w:bCs/>
          <w:color w:val="000000"/>
          <w:sz w:val="32"/>
          <w:szCs w:val="32"/>
        </w:rPr>
        <w:t>机关事业单位职业年金缴费支出</w:t>
      </w:r>
      <w:r>
        <w:rPr>
          <w:rFonts w:hint="eastAsia" w:ascii="仿宋_GB2312" w:hAnsi="Times New Roman" w:eastAsia="仿宋_GB2312" w:cs="仿宋_GB2312"/>
          <w:b/>
          <w:bCs/>
          <w:color w:val="000000"/>
          <w:kern w:val="2"/>
          <w:sz w:val="32"/>
          <w:szCs w:val="32"/>
        </w:rPr>
        <w:t>（项）</w:t>
      </w:r>
      <w:r>
        <w:rPr>
          <w:rFonts w:ascii="仿宋_GB2312" w:hAnsi="Times New Roman" w:eastAsia="仿宋_GB2312" w:cs="仿宋_GB2312"/>
          <w:b/>
          <w:bCs/>
          <w:color w:val="000000"/>
          <w:kern w:val="2"/>
          <w:sz w:val="32"/>
          <w:szCs w:val="32"/>
        </w:rPr>
        <w:t>:</w:t>
      </w:r>
      <w:r>
        <w:rPr>
          <w:rFonts w:hint="eastAsia" w:ascii="仿宋_GB2312" w:hAnsi="Times New Roman" w:eastAsia="仿宋_GB2312" w:cs="仿宋_GB2312"/>
          <w:color w:val="000000"/>
          <w:kern w:val="2"/>
          <w:sz w:val="32"/>
          <w:szCs w:val="32"/>
        </w:rPr>
        <w:t xml:space="preserve"> </w:t>
      </w:r>
      <w:r>
        <w:rPr>
          <w:rFonts w:hint="eastAsia" w:ascii="仿宋_GB2312" w:hAnsi="Times New Roman" w:eastAsia="仿宋_GB2312" w:cs="仿宋"/>
          <w:kern w:val="2"/>
          <w:sz w:val="32"/>
          <w:szCs w:val="32"/>
        </w:rPr>
        <w:t>支出决算为0.78万元，完成预算100%。</w:t>
      </w:r>
    </w:p>
    <w:p>
      <w:pPr>
        <w:keepNext/>
        <w:keepLines/>
        <w:spacing w:line="353" w:lineRule="auto"/>
        <w:ind w:firstLine="643"/>
        <w:jc w:val="both"/>
        <w:rPr>
          <w:rFonts w:ascii="仿宋_GB2312" w:hAnsi="Times New Roman" w:eastAsia="仿宋_GB2312" w:cs="仿宋_GB2312"/>
          <w:b/>
          <w:bCs/>
          <w:color w:val="000000"/>
          <w:kern w:val="2"/>
          <w:sz w:val="32"/>
          <w:szCs w:val="32"/>
        </w:rPr>
      </w:pPr>
      <w:r>
        <w:rPr>
          <w:rFonts w:ascii="仿宋_GB2312" w:hAnsi="Times New Roman" w:eastAsia="仿宋_GB2312" w:cs="仿宋_GB2312"/>
          <w:b/>
          <w:bCs/>
          <w:color w:val="000000"/>
          <w:kern w:val="2"/>
          <w:sz w:val="32"/>
          <w:szCs w:val="32"/>
        </w:rPr>
        <w:t>4.</w:t>
      </w:r>
      <w:r>
        <w:rPr>
          <w:rFonts w:hint="eastAsia" w:ascii="仿宋" w:hAnsi="仿宋" w:eastAsia="仿宋"/>
          <w:b/>
          <w:bCs/>
          <w:color w:val="000000"/>
          <w:sz w:val="32"/>
          <w:szCs w:val="32"/>
        </w:rPr>
        <w:t xml:space="preserve"> 卫生健康支出</w:t>
      </w:r>
      <w:r>
        <w:rPr>
          <w:rFonts w:hint="eastAsia" w:ascii="仿宋_GB2312" w:hAnsi="Times New Roman" w:eastAsia="仿宋_GB2312" w:cs="仿宋_GB2312"/>
          <w:b/>
          <w:bCs/>
          <w:color w:val="000000"/>
          <w:kern w:val="2"/>
          <w:sz w:val="32"/>
          <w:szCs w:val="32"/>
        </w:rPr>
        <w:t>（类）</w:t>
      </w:r>
      <w:r>
        <w:rPr>
          <w:rStyle w:val="13"/>
          <w:rFonts w:hint="eastAsia" w:ascii="仿宋" w:hAnsi="仿宋" w:eastAsia="仿宋"/>
          <w:bCs/>
          <w:color w:val="000000"/>
          <w:sz w:val="32"/>
          <w:szCs w:val="32"/>
        </w:rPr>
        <w:t>行政事业单位医疗</w:t>
      </w:r>
      <w:r>
        <w:rPr>
          <w:rFonts w:hint="eastAsia" w:ascii="仿宋_GB2312" w:hAnsi="Times New Roman" w:eastAsia="仿宋_GB2312" w:cs="仿宋_GB2312"/>
          <w:b/>
          <w:bCs/>
          <w:color w:val="000000"/>
          <w:kern w:val="2"/>
          <w:sz w:val="32"/>
          <w:szCs w:val="32"/>
        </w:rPr>
        <w:t>（款）</w:t>
      </w:r>
      <w:r>
        <w:rPr>
          <w:rStyle w:val="13"/>
          <w:rFonts w:hint="eastAsia" w:ascii="仿宋" w:hAnsi="仿宋" w:eastAsia="仿宋"/>
          <w:bCs/>
          <w:color w:val="000000"/>
          <w:sz w:val="32"/>
          <w:szCs w:val="32"/>
        </w:rPr>
        <w:t>行政单位医疗</w:t>
      </w:r>
      <w:r>
        <w:rPr>
          <w:rFonts w:hint="eastAsia" w:ascii="仿宋_GB2312" w:hAnsi="Times New Roman" w:eastAsia="仿宋_GB2312" w:cs="仿宋_GB2312"/>
          <w:b/>
          <w:bCs/>
          <w:color w:val="000000"/>
          <w:kern w:val="2"/>
          <w:sz w:val="32"/>
          <w:szCs w:val="32"/>
        </w:rPr>
        <w:t>（项）</w:t>
      </w:r>
      <w:r>
        <w:rPr>
          <w:rFonts w:ascii="仿宋_GB2312" w:hAnsi="Times New Roman" w:eastAsia="仿宋_GB2312" w:cs="仿宋_GB2312"/>
          <w:b/>
          <w:bCs/>
          <w:color w:val="000000"/>
          <w:kern w:val="2"/>
          <w:sz w:val="32"/>
          <w:szCs w:val="32"/>
        </w:rPr>
        <w:t>:</w:t>
      </w:r>
      <w:r>
        <w:rPr>
          <w:rFonts w:hint="eastAsia" w:ascii="仿宋_GB2312" w:hAnsi="Times New Roman" w:eastAsia="仿宋_GB2312" w:cs="仿宋"/>
          <w:kern w:val="2"/>
          <w:sz w:val="32"/>
          <w:szCs w:val="32"/>
        </w:rPr>
        <w:t>支出决算为98.55万元，完成预算100%。</w:t>
      </w:r>
    </w:p>
    <w:p>
      <w:pPr>
        <w:keepNext/>
        <w:keepLines/>
        <w:spacing w:line="353" w:lineRule="auto"/>
        <w:ind w:firstLine="643"/>
        <w:jc w:val="both"/>
        <w:rPr>
          <w:rFonts w:ascii="仿宋_GB2312" w:hAnsi="Times New Roman" w:eastAsia="仿宋_GB2312" w:cs="仿宋_GB2312"/>
          <w:b/>
          <w:bCs/>
          <w:color w:val="000000"/>
          <w:kern w:val="2"/>
          <w:sz w:val="32"/>
          <w:szCs w:val="32"/>
        </w:rPr>
      </w:pPr>
      <w:r>
        <w:rPr>
          <w:rFonts w:ascii="仿宋_GB2312" w:hAnsi="Times New Roman" w:eastAsia="仿宋_GB2312" w:cs="仿宋_GB2312"/>
          <w:b/>
          <w:bCs/>
          <w:color w:val="000000"/>
          <w:kern w:val="2"/>
          <w:sz w:val="32"/>
          <w:szCs w:val="32"/>
        </w:rPr>
        <w:t>5.</w:t>
      </w:r>
      <w:r>
        <w:rPr>
          <w:rFonts w:hint="eastAsia" w:ascii="仿宋" w:hAnsi="仿宋" w:eastAsia="仿宋"/>
          <w:b/>
          <w:bCs/>
          <w:color w:val="000000"/>
          <w:sz w:val="32"/>
          <w:szCs w:val="32"/>
        </w:rPr>
        <w:t xml:space="preserve"> 卫生健康支出</w:t>
      </w:r>
      <w:r>
        <w:rPr>
          <w:rFonts w:hint="eastAsia" w:ascii="仿宋_GB2312" w:hAnsi="Times New Roman" w:eastAsia="仿宋_GB2312" w:cs="仿宋_GB2312"/>
          <w:b/>
          <w:bCs/>
          <w:color w:val="000000"/>
          <w:kern w:val="2"/>
          <w:sz w:val="32"/>
          <w:szCs w:val="32"/>
        </w:rPr>
        <w:t>（类）</w:t>
      </w:r>
      <w:r>
        <w:rPr>
          <w:rStyle w:val="13"/>
          <w:rFonts w:hint="eastAsia" w:ascii="仿宋" w:hAnsi="仿宋" w:eastAsia="仿宋"/>
          <w:bCs/>
          <w:color w:val="000000"/>
          <w:sz w:val="32"/>
          <w:szCs w:val="32"/>
        </w:rPr>
        <w:t>行政事业单位医疗</w:t>
      </w:r>
      <w:r>
        <w:rPr>
          <w:rFonts w:hint="eastAsia" w:ascii="仿宋_GB2312" w:hAnsi="Times New Roman" w:eastAsia="仿宋_GB2312" w:cs="仿宋_GB2312"/>
          <w:b/>
          <w:bCs/>
          <w:color w:val="000000"/>
          <w:kern w:val="2"/>
          <w:sz w:val="32"/>
          <w:szCs w:val="32"/>
        </w:rPr>
        <w:t>（款）</w:t>
      </w:r>
      <w:r>
        <w:rPr>
          <w:rStyle w:val="13"/>
          <w:rFonts w:hint="eastAsia" w:ascii="仿宋" w:hAnsi="仿宋" w:eastAsia="仿宋"/>
          <w:bCs/>
          <w:color w:val="000000"/>
          <w:sz w:val="32"/>
          <w:szCs w:val="32"/>
        </w:rPr>
        <w:t>公务员医疗补助</w:t>
      </w:r>
      <w:r>
        <w:rPr>
          <w:rFonts w:hint="eastAsia" w:ascii="仿宋_GB2312" w:hAnsi="Times New Roman" w:eastAsia="仿宋_GB2312" w:cs="仿宋_GB2312"/>
          <w:b/>
          <w:bCs/>
          <w:color w:val="000000"/>
          <w:kern w:val="2"/>
          <w:sz w:val="32"/>
          <w:szCs w:val="32"/>
        </w:rPr>
        <w:t>（项）</w:t>
      </w:r>
      <w:r>
        <w:rPr>
          <w:rFonts w:ascii="仿宋_GB2312" w:hAnsi="Times New Roman" w:eastAsia="仿宋_GB2312" w:cs="仿宋_GB2312"/>
          <w:b/>
          <w:bCs/>
          <w:color w:val="000000"/>
          <w:kern w:val="2"/>
          <w:sz w:val="32"/>
          <w:szCs w:val="32"/>
        </w:rPr>
        <w:t>:</w:t>
      </w:r>
      <w:r>
        <w:rPr>
          <w:rFonts w:hint="eastAsia" w:ascii="仿宋_GB2312" w:hAnsi="Times New Roman" w:eastAsia="仿宋_GB2312" w:cs="仿宋"/>
          <w:kern w:val="2"/>
          <w:sz w:val="32"/>
          <w:szCs w:val="32"/>
        </w:rPr>
        <w:t>支出决算为33.68万元，完成预算100%。</w:t>
      </w:r>
    </w:p>
    <w:p>
      <w:pPr>
        <w:keepNext/>
        <w:keepLines/>
        <w:spacing w:line="353" w:lineRule="auto"/>
        <w:ind w:firstLine="643"/>
        <w:jc w:val="both"/>
        <w:rPr>
          <w:rFonts w:ascii="仿宋_GB2312" w:hAnsi="Times New Roman" w:eastAsia="仿宋_GB2312" w:cs="仿宋_GB2312"/>
          <w:b/>
          <w:bCs/>
          <w:color w:val="000000"/>
          <w:kern w:val="2"/>
          <w:sz w:val="32"/>
          <w:szCs w:val="32"/>
        </w:rPr>
      </w:pPr>
      <w:r>
        <w:rPr>
          <w:rFonts w:ascii="仿宋_GB2312" w:hAnsi="Times New Roman" w:eastAsia="仿宋_GB2312" w:cs="仿宋_GB2312"/>
          <w:b/>
          <w:bCs/>
          <w:color w:val="000000"/>
          <w:kern w:val="2"/>
          <w:sz w:val="32"/>
          <w:szCs w:val="32"/>
        </w:rPr>
        <w:t>6.</w:t>
      </w:r>
      <w:r>
        <w:rPr>
          <w:rFonts w:ascii="仿宋" w:hAnsi="仿宋" w:eastAsia="仿宋"/>
          <w:bCs/>
          <w:color w:val="000000"/>
          <w:sz w:val="32"/>
          <w:szCs w:val="32"/>
        </w:rPr>
        <w:t xml:space="preserve"> </w:t>
      </w:r>
      <w:r>
        <w:rPr>
          <w:rStyle w:val="13"/>
          <w:rFonts w:ascii="仿宋" w:hAnsi="仿宋" w:eastAsia="仿宋"/>
          <w:bCs/>
          <w:color w:val="000000"/>
          <w:sz w:val="32"/>
          <w:szCs w:val="32"/>
        </w:rPr>
        <w:t>城乡社区支出</w:t>
      </w:r>
      <w:r>
        <w:rPr>
          <w:rFonts w:hint="eastAsia" w:ascii="仿宋_GB2312" w:hAnsi="Times New Roman" w:eastAsia="仿宋_GB2312" w:cs="仿宋_GB2312"/>
          <w:b/>
          <w:bCs/>
          <w:color w:val="000000"/>
          <w:kern w:val="2"/>
          <w:sz w:val="32"/>
          <w:szCs w:val="32"/>
        </w:rPr>
        <w:t>（类）</w:t>
      </w:r>
      <w:r>
        <w:rPr>
          <w:rStyle w:val="13"/>
          <w:rFonts w:hint="eastAsia" w:ascii="仿宋" w:hAnsi="仿宋" w:eastAsia="仿宋"/>
          <w:bCs/>
          <w:color w:val="000000"/>
          <w:sz w:val="32"/>
          <w:szCs w:val="32"/>
        </w:rPr>
        <w:t>城乡社区管理事务</w:t>
      </w:r>
      <w:r>
        <w:rPr>
          <w:rFonts w:hint="eastAsia" w:ascii="仿宋_GB2312" w:hAnsi="Times New Roman" w:eastAsia="仿宋_GB2312" w:cs="仿宋_GB2312"/>
          <w:b/>
          <w:bCs/>
          <w:color w:val="000000"/>
          <w:kern w:val="2"/>
          <w:sz w:val="32"/>
          <w:szCs w:val="32"/>
        </w:rPr>
        <w:t>（款）</w:t>
      </w:r>
      <w:r>
        <w:rPr>
          <w:rStyle w:val="13"/>
          <w:rFonts w:hint="eastAsia" w:ascii="仿宋" w:hAnsi="仿宋" w:eastAsia="仿宋"/>
          <w:bCs/>
          <w:color w:val="000000"/>
          <w:sz w:val="32"/>
          <w:szCs w:val="32"/>
        </w:rPr>
        <w:t>行政运行</w:t>
      </w:r>
      <w:r>
        <w:rPr>
          <w:rFonts w:hint="eastAsia" w:ascii="仿宋_GB2312" w:hAnsi="Times New Roman" w:eastAsia="仿宋_GB2312" w:cs="仿宋_GB2312"/>
          <w:b/>
          <w:bCs/>
          <w:color w:val="000000"/>
          <w:kern w:val="2"/>
          <w:sz w:val="32"/>
          <w:szCs w:val="32"/>
        </w:rPr>
        <w:t>（项）</w:t>
      </w:r>
      <w:r>
        <w:rPr>
          <w:rFonts w:ascii="仿宋_GB2312" w:hAnsi="Times New Roman" w:eastAsia="仿宋_GB2312" w:cs="仿宋_GB2312"/>
          <w:b/>
          <w:bCs/>
          <w:color w:val="000000"/>
          <w:kern w:val="2"/>
          <w:sz w:val="32"/>
          <w:szCs w:val="32"/>
        </w:rPr>
        <w:t>:</w:t>
      </w:r>
      <w:r>
        <w:rPr>
          <w:rFonts w:hint="eastAsia" w:ascii="仿宋_GB2312" w:hAnsi="Times New Roman" w:eastAsia="仿宋_GB2312" w:cs="仿宋"/>
          <w:kern w:val="2"/>
          <w:sz w:val="32"/>
          <w:szCs w:val="32"/>
        </w:rPr>
        <w:t>支出决算为1181.72万元，完成预算100%</w:t>
      </w:r>
      <w:r>
        <w:rPr>
          <w:rFonts w:hint="eastAsia" w:ascii="仿宋" w:hAnsi="Times New Roman" w:eastAsia="仿宋" w:cs="仿宋"/>
          <w:kern w:val="2"/>
          <w:sz w:val="32"/>
          <w:szCs w:val="32"/>
        </w:rPr>
        <w:t>。</w:t>
      </w:r>
    </w:p>
    <w:p>
      <w:pPr>
        <w:keepNext/>
        <w:keepLines/>
        <w:spacing w:line="353" w:lineRule="auto"/>
        <w:ind w:firstLine="643"/>
        <w:jc w:val="both"/>
        <w:rPr>
          <w:rFonts w:ascii="仿宋_GB2312" w:hAnsi="Times New Roman" w:eastAsia="仿宋_GB2312" w:cs="仿宋_GB2312"/>
          <w:b/>
          <w:bCs/>
          <w:color w:val="000000"/>
          <w:kern w:val="2"/>
          <w:sz w:val="32"/>
          <w:szCs w:val="32"/>
        </w:rPr>
      </w:pPr>
      <w:r>
        <w:rPr>
          <w:rFonts w:hint="eastAsia" w:ascii="仿宋_GB2312" w:hAnsi="Times New Roman" w:eastAsia="仿宋_GB2312" w:cs="仿宋_GB2312"/>
          <w:b/>
          <w:bCs/>
          <w:color w:val="000000"/>
          <w:kern w:val="2"/>
          <w:sz w:val="32"/>
          <w:szCs w:val="32"/>
        </w:rPr>
        <w:t>7</w:t>
      </w:r>
      <w:r>
        <w:rPr>
          <w:rFonts w:ascii="仿宋_GB2312" w:hAnsi="Times New Roman" w:eastAsia="仿宋_GB2312" w:cs="仿宋_GB2312"/>
          <w:b/>
          <w:bCs/>
          <w:color w:val="000000"/>
          <w:kern w:val="2"/>
          <w:sz w:val="32"/>
          <w:szCs w:val="32"/>
        </w:rPr>
        <w:t>.</w:t>
      </w:r>
      <w:r>
        <w:rPr>
          <w:rFonts w:ascii="仿宋" w:hAnsi="仿宋" w:eastAsia="仿宋"/>
          <w:bCs/>
          <w:color w:val="000000"/>
          <w:sz w:val="32"/>
          <w:szCs w:val="32"/>
        </w:rPr>
        <w:t xml:space="preserve"> </w:t>
      </w:r>
      <w:r>
        <w:rPr>
          <w:rStyle w:val="13"/>
          <w:rFonts w:ascii="仿宋" w:hAnsi="仿宋" w:eastAsia="仿宋"/>
          <w:bCs/>
          <w:color w:val="000000"/>
          <w:sz w:val="32"/>
          <w:szCs w:val="32"/>
        </w:rPr>
        <w:t>城乡社区支出</w:t>
      </w:r>
      <w:r>
        <w:rPr>
          <w:rFonts w:hint="eastAsia" w:ascii="仿宋_GB2312" w:hAnsi="Times New Roman" w:eastAsia="仿宋_GB2312" w:cs="仿宋_GB2312"/>
          <w:b/>
          <w:bCs/>
          <w:color w:val="000000"/>
          <w:kern w:val="2"/>
          <w:sz w:val="32"/>
          <w:szCs w:val="32"/>
        </w:rPr>
        <w:t>（类）</w:t>
      </w:r>
      <w:r>
        <w:rPr>
          <w:rStyle w:val="13"/>
          <w:rFonts w:hint="eastAsia" w:ascii="仿宋" w:hAnsi="仿宋" w:eastAsia="仿宋"/>
          <w:bCs/>
          <w:color w:val="000000"/>
          <w:sz w:val="32"/>
          <w:szCs w:val="32"/>
        </w:rPr>
        <w:t>城乡社区管理事务</w:t>
      </w:r>
      <w:r>
        <w:rPr>
          <w:rFonts w:hint="eastAsia" w:ascii="仿宋_GB2312" w:hAnsi="Times New Roman" w:eastAsia="仿宋_GB2312" w:cs="仿宋_GB2312"/>
          <w:b/>
          <w:bCs/>
          <w:color w:val="000000"/>
          <w:kern w:val="2"/>
          <w:sz w:val="32"/>
          <w:szCs w:val="32"/>
        </w:rPr>
        <w:t>（款）</w:t>
      </w:r>
      <w:r>
        <w:rPr>
          <w:rStyle w:val="13"/>
          <w:rFonts w:hint="eastAsia" w:ascii="仿宋" w:hAnsi="仿宋" w:eastAsia="仿宋"/>
          <w:bCs/>
          <w:color w:val="000000"/>
          <w:sz w:val="32"/>
          <w:szCs w:val="32"/>
        </w:rPr>
        <w:t>一般行政管理事务</w:t>
      </w:r>
      <w:r>
        <w:rPr>
          <w:rFonts w:hint="eastAsia" w:ascii="仿宋_GB2312" w:hAnsi="Times New Roman" w:eastAsia="仿宋_GB2312" w:cs="仿宋_GB2312"/>
          <w:b/>
          <w:bCs/>
          <w:color w:val="000000"/>
          <w:kern w:val="2"/>
          <w:sz w:val="32"/>
          <w:szCs w:val="32"/>
        </w:rPr>
        <w:t>（项）</w:t>
      </w:r>
      <w:r>
        <w:rPr>
          <w:rFonts w:ascii="仿宋_GB2312" w:hAnsi="Times New Roman" w:eastAsia="仿宋_GB2312" w:cs="仿宋_GB2312"/>
          <w:b/>
          <w:bCs/>
          <w:color w:val="000000"/>
          <w:kern w:val="2"/>
          <w:sz w:val="32"/>
          <w:szCs w:val="32"/>
        </w:rPr>
        <w:t>:</w:t>
      </w:r>
      <w:r>
        <w:rPr>
          <w:rFonts w:hint="eastAsia" w:ascii="仿宋_GB2312" w:hAnsi="Times New Roman" w:eastAsia="仿宋_GB2312" w:cs="仿宋"/>
          <w:kern w:val="2"/>
          <w:sz w:val="32"/>
          <w:szCs w:val="32"/>
        </w:rPr>
        <w:t>支出决算为481.32万元，完成预算100%。</w:t>
      </w:r>
    </w:p>
    <w:p>
      <w:pPr>
        <w:keepNext/>
        <w:spacing w:line="353" w:lineRule="auto"/>
        <w:ind w:left="240" w:leftChars="100" w:firstLine="641"/>
        <w:jc w:val="both"/>
        <w:rPr>
          <w:rFonts w:ascii="仿宋_GB2312" w:hAnsi="Times New Roman" w:eastAsia="仿宋_GB2312" w:cs="仿宋"/>
          <w:kern w:val="2"/>
          <w:sz w:val="32"/>
          <w:szCs w:val="32"/>
        </w:rPr>
      </w:pPr>
      <w:r>
        <w:rPr>
          <w:rFonts w:hint="eastAsia" w:ascii="仿宋_GB2312" w:hAnsi="Times New Roman" w:eastAsia="仿宋_GB2312" w:cs="仿宋_GB2312"/>
          <w:b/>
          <w:bCs/>
          <w:color w:val="000000"/>
          <w:kern w:val="2"/>
          <w:sz w:val="32"/>
          <w:szCs w:val="32"/>
        </w:rPr>
        <w:t>8</w:t>
      </w:r>
      <w:r>
        <w:rPr>
          <w:rFonts w:ascii="仿宋_GB2312" w:hAnsi="Times New Roman" w:eastAsia="仿宋_GB2312" w:cs="仿宋_GB2312"/>
          <w:b/>
          <w:bCs/>
          <w:color w:val="000000"/>
          <w:kern w:val="2"/>
          <w:sz w:val="32"/>
          <w:szCs w:val="32"/>
        </w:rPr>
        <w:t>.</w:t>
      </w:r>
      <w:r>
        <w:rPr>
          <w:rFonts w:ascii="仿宋" w:hAnsi="仿宋" w:eastAsia="仿宋"/>
          <w:bCs/>
          <w:color w:val="000000"/>
          <w:sz w:val="32"/>
          <w:szCs w:val="32"/>
        </w:rPr>
        <w:t xml:space="preserve"> </w:t>
      </w:r>
      <w:r>
        <w:rPr>
          <w:rStyle w:val="13"/>
          <w:rFonts w:ascii="仿宋" w:hAnsi="仿宋" w:eastAsia="仿宋"/>
          <w:bCs/>
          <w:color w:val="000000"/>
          <w:sz w:val="32"/>
          <w:szCs w:val="32"/>
        </w:rPr>
        <w:t>城乡社区支出</w:t>
      </w:r>
      <w:r>
        <w:rPr>
          <w:rFonts w:hint="eastAsia" w:ascii="仿宋_GB2312" w:hAnsi="Times New Roman" w:eastAsia="仿宋_GB2312" w:cs="仿宋_GB2312"/>
          <w:b/>
          <w:bCs/>
          <w:color w:val="000000"/>
          <w:kern w:val="2"/>
          <w:sz w:val="32"/>
          <w:szCs w:val="32"/>
        </w:rPr>
        <w:t>（类）</w:t>
      </w:r>
      <w:r>
        <w:rPr>
          <w:rStyle w:val="13"/>
          <w:rFonts w:hint="eastAsia" w:ascii="仿宋" w:hAnsi="仿宋" w:eastAsia="仿宋"/>
          <w:bCs/>
          <w:color w:val="000000"/>
          <w:sz w:val="32"/>
          <w:szCs w:val="32"/>
        </w:rPr>
        <w:t>城乡社区管理事务</w:t>
      </w:r>
      <w:r>
        <w:rPr>
          <w:rFonts w:hint="eastAsia" w:ascii="仿宋_GB2312" w:hAnsi="Times New Roman" w:eastAsia="仿宋_GB2312" w:cs="仿宋_GB2312"/>
          <w:b/>
          <w:bCs/>
          <w:color w:val="000000"/>
          <w:kern w:val="2"/>
          <w:sz w:val="32"/>
          <w:szCs w:val="32"/>
        </w:rPr>
        <w:t>（款）</w:t>
      </w:r>
      <w:r>
        <w:rPr>
          <w:rStyle w:val="13"/>
          <w:rFonts w:hint="eastAsia" w:ascii="仿宋" w:hAnsi="仿宋" w:eastAsia="仿宋"/>
          <w:bCs/>
          <w:color w:val="000000"/>
          <w:sz w:val="32"/>
          <w:szCs w:val="32"/>
        </w:rPr>
        <w:t>城管执法</w:t>
      </w:r>
      <w:r>
        <w:rPr>
          <w:rFonts w:hint="eastAsia" w:ascii="仿宋_GB2312" w:hAnsi="Times New Roman" w:eastAsia="仿宋_GB2312" w:cs="仿宋_GB2312"/>
          <w:b/>
          <w:bCs/>
          <w:color w:val="000000"/>
          <w:kern w:val="2"/>
          <w:sz w:val="32"/>
          <w:szCs w:val="32"/>
        </w:rPr>
        <w:t>（项）</w:t>
      </w:r>
      <w:r>
        <w:rPr>
          <w:rFonts w:ascii="仿宋_GB2312" w:hAnsi="Times New Roman" w:eastAsia="仿宋_GB2312" w:cs="仿宋_GB2312"/>
          <w:b/>
          <w:bCs/>
          <w:color w:val="000000"/>
          <w:kern w:val="2"/>
          <w:sz w:val="32"/>
          <w:szCs w:val="32"/>
        </w:rPr>
        <w:t>:</w:t>
      </w:r>
      <w:r>
        <w:rPr>
          <w:rFonts w:hint="eastAsia" w:ascii="仿宋_GB2312" w:hAnsi="Times New Roman" w:eastAsia="仿宋_GB2312" w:cs="仿宋"/>
          <w:kern w:val="2"/>
          <w:sz w:val="32"/>
          <w:szCs w:val="32"/>
        </w:rPr>
        <w:t>支出决算为162.54万元，完成预算100%。</w:t>
      </w:r>
    </w:p>
    <w:p>
      <w:pPr>
        <w:keepNext/>
        <w:spacing w:line="353" w:lineRule="auto"/>
        <w:ind w:left="240" w:leftChars="100" w:firstLine="641"/>
        <w:jc w:val="both"/>
        <w:rPr>
          <w:rFonts w:ascii="仿宋_GB2312" w:hAnsi="Times New Roman" w:eastAsia="仿宋_GB2312" w:cs="仿宋"/>
          <w:kern w:val="2"/>
          <w:sz w:val="32"/>
          <w:szCs w:val="32"/>
        </w:rPr>
      </w:pPr>
      <w:r>
        <w:rPr>
          <w:rFonts w:hint="eastAsia" w:ascii="仿宋_GB2312" w:hAnsi="Times New Roman" w:eastAsia="仿宋_GB2312" w:cs="仿宋_GB2312"/>
          <w:b/>
          <w:bCs/>
          <w:color w:val="000000"/>
          <w:kern w:val="2"/>
          <w:sz w:val="32"/>
          <w:szCs w:val="32"/>
        </w:rPr>
        <w:t>9</w:t>
      </w:r>
      <w:r>
        <w:rPr>
          <w:rFonts w:ascii="仿宋_GB2312" w:hAnsi="Times New Roman" w:eastAsia="仿宋_GB2312" w:cs="仿宋_GB2312"/>
          <w:b/>
          <w:bCs/>
          <w:color w:val="000000"/>
          <w:kern w:val="2"/>
          <w:sz w:val="32"/>
          <w:szCs w:val="32"/>
        </w:rPr>
        <w:t>.</w:t>
      </w:r>
      <w:r>
        <w:rPr>
          <w:rStyle w:val="13"/>
          <w:rFonts w:ascii="仿宋" w:hAnsi="仿宋" w:eastAsia="仿宋"/>
          <w:bCs/>
          <w:color w:val="000000"/>
          <w:sz w:val="32"/>
          <w:szCs w:val="32"/>
        </w:rPr>
        <w:t xml:space="preserve"> 其他支出</w:t>
      </w:r>
      <w:r>
        <w:rPr>
          <w:rFonts w:hint="eastAsia" w:ascii="仿宋_GB2312" w:hAnsi="Times New Roman" w:eastAsia="仿宋_GB2312" w:cs="仿宋_GB2312"/>
          <w:b/>
          <w:bCs/>
          <w:color w:val="000000"/>
          <w:kern w:val="2"/>
          <w:sz w:val="32"/>
          <w:szCs w:val="32"/>
        </w:rPr>
        <w:t>（类）其他支出（款）其他支出（项）</w:t>
      </w:r>
      <w:r>
        <w:rPr>
          <w:rFonts w:ascii="仿宋_GB2312" w:hAnsi="Times New Roman" w:eastAsia="仿宋_GB2312" w:cs="仿宋_GB2312"/>
          <w:b/>
          <w:bCs/>
          <w:color w:val="000000"/>
          <w:kern w:val="2"/>
          <w:sz w:val="32"/>
          <w:szCs w:val="32"/>
        </w:rPr>
        <w:t>:</w:t>
      </w:r>
      <w:r>
        <w:rPr>
          <w:rFonts w:hint="eastAsia" w:ascii="仿宋_GB2312" w:hAnsi="Times New Roman" w:eastAsia="仿宋_GB2312" w:cs="仿宋"/>
          <w:kern w:val="2"/>
          <w:sz w:val="32"/>
          <w:szCs w:val="32"/>
        </w:rPr>
        <w:t>支出决算为10.65万元，完成预算100%。</w:t>
      </w:r>
    </w:p>
    <w:p>
      <w:pPr>
        <w:keepNext/>
        <w:spacing w:line="353" w:lineRule="auto"/>
        <w:ind w:left="240" w:leftChars="100" w:firstLine="641"/>
        <w:jc w:val="both"/>
        <w:rPr>
          <w:rFonts w:ascii="仿宋" w:hAnsi="Times New Roman" w:eastAsia="仿宋" w:cs="仿宋"/>
          <w:kern w:val="2"/>
          <w:sz w:val="32"/>
          <w:szCs w:val="32"/>
        </w:rPr>
      </w:pPr>
      <w:r>
        <w:rPr>
          <w:rFonts w:hint="eastAsia" w:ascii="仿宋_GB2312" w:hAnsi="Times New Roman" w:eastAsia="仿宋_GB2312" w:cs="仿宋_GB2312"/>
          <w:b/>
          <w:bCs/>
          <w:color w:val="000000"/>
          <w:kern w:val="2"/>
          <w:sz w:val="32"/>
          <w:szCs w:val="32"/>
        </w:rPr>
        <w:t>10</w:t>
      </w:r>
      <w:r>
        <w:rPr>
          <w:rFonts w:ascii="仿宋_GB2312" w:hAnsi="Times New Roman" w:eastAsia="仿宋_GB2312" w:cs="仿宋_GB2312"/>
          <w:b/>
          <w:bCs/>
          <w:color w:val="000000"/>
          <w:kern w:val="2"/>
          <w:sz w:val="32"/>
          <w:szCs w:val="32"/>
        </w:rPr>
        <w:t>.住房保障支出</w:t>
      </w:r>
      <w:r>
        <w:rPr>
          <w:rFonts w:hint="eastAsia" w:ascii="仿宋_GB2312" w:hAnsi="Times New Roman" w:eastAsia="仿宋_GB2312" w:cs="仿宋_GB2312"/>
          <w:b/>
          <w:bCs/>
          <w:color w:val="000000"/>
          <w:kern w:val="2"/>
          <w:sz w:val="32"/>
          <w:szCs w:val="32"/>
        </w:rPr>
        <w:t>（类）住房改革支出（款）住房公积金（项）</w:t>
      </w:r>
      <w:r>
        <w:rPr>
          <w:rFonts w:ascii="仿宋_GB2312" w:hAnsi="Times New Roman" w:eastAsia="仿宋_GB2312" w:cs="仿宋_GB2312"/>
          <w:b/>
          <w:bCs/>
          <w:color w:val="000000"/>
          <w:kern w:val="2"/>
          <w:sz w:val="32"/>
          <w:szCs w:val="32"/>
        </w:rPr>
        <w:t>:</w:t>
      </w:r>
      <w:r>
        <w:rPr>
          <w:rFonts w:hint="eastAsia" w:ascii="仿宋_GB2312" w:hAnsi="Times New Roman" w:eastAsia="仿宋_GB2312" w:cs="仿宋"/>
          <w:kern w:val="2"/>
          <w:sz w:val="32"/>
          <w:szCs w:val="32"/>
        </w:rPr>
        <w:t>支出决算为126.78万元，完成预算100%。</w:t>
      </w:r>
    </w:p>
    <w:p>
      <w:pPr>
        <w:keepNext/>
        <w:keepLines/>
        <w:spacing w:line="353" w:lineRule="auto"/>
        <w:ind w:left="240" w:leftChars="100" w:firstLine="643"/>
        <w:jc w:val="both"/>
        <w:rPr>
          <w:rFonts w:ascii="仿宋_GB2312" w:hAnsi="Cambria" w:eastAsia="仿宋_GB2312" w:cs="仿宋_GB2312"/>
          <w:color w:val="000000"/>
          <w:kern w:val="2"/>
          <w:sz w:val="32"/>
          <w:szCs w:val="32"/>
          <w:lang w:val="zh-CN"/>
        </w:rPr>
      </w:pPr>
      <w:r>
        <w:rPr>
          <w:rFonts w:hint="eastAsia" w:ascii="黑体" w:hAnsi="Times New Roman" w:eastAsia="黑体" w:cs="黑体"/>
          <w:color w:val="000000"/>
          <w:kern w:val="2"/>
          <w:sz w:val="32"/>
          <w:szCs w:val="32"/>
          <w:lang w:val="zh-CN"/>
        </w:rPr>
        <w:t>六</w:t>
      </w:r>
      <w:r>
        <w:rPr>
          <w:rFonts w:hint="eastAsia" w:ascii="黑体" w:hAnsi="Times New Roman" w:eastAsia="黑体" w:cs="黑体"/>
          <w:b/>
          <w:bCs/>
          <w:color w:val="000000"/>
          <w:kern w:val="2"/>
          <w:sz w:val="32"/>
          <w:szCs w:val="32"/>
          <w:lang w:val="zh-CN"/>
        </w:rPr>
        <w:t>、一</w:t>
      </w:r>
      <w:r>
        <w:rPr>
          <w:rFonts w:hint="eastAsia" w:ascii="黑体" w:hAnsi="Times New Roman" w:eastAsia="黑体" w:cs="黑体"/>
          <w:kern w:val="2"/>
          <w:sz w:val="32"/>
          <w:szCs w:val="32"/>
          <w:lang w:val="zh-CN"/>
        </w:rPr>
        <w:t>般公共预算财政拨款基本支出决算情况说明</w:t>
      </w:r>
      <w:r>
        <w:rPr>
          <w:rFonts w:ascii="黑体" w:hAnsi="Times New Roman" w:eastAsia="黑体" w:cs="黑体"/>
          <w:kern w:val="2"/>
          <w:sz w:val="32"/>
          <w:szCs w:val="32"/>
          <w:lang w:val="zh-CN"/>
        </w:rPr>
        <w:tab/>
      </w:r>
      <w:r>
        <w:rPr>
          <w:rFonts w:ascii="仿宋_GB2312" w:hAnsi="Cambria" w:eastAsia="仿宋_GB2312" w:cs="仿宋_GB2312"/>
          <w:color w:val="000000"/>
          <w:kern w:val="2"/>
          <w:sz w:val="32"/>
          <w:szCs w:val="32"/>
          <w:lang w:val="zh-CN"/>
        </w:rPr>
        <w:t>2022</w:t>
      </w:r>
      <w:r>
        <w:rPr>
          <w:rFonts w:hint="eastAsia" w:ascii="仿宋_GB2312" w:hAnsi="Cambria" w:eastAsia="仿宋_GB2312" w:cs="仿宋_GB2312"/>
          <w:color w:val="000000"/>
          <w:kern w:val="2"/>
          <w:sz w:val="32"/>
          <w:szCs w:val="32"/>
          <w:lang w:val="zh-CN"/>
        </w:rPr>
        <w:t>年一般公共预算财政拨款基本支出</w:t>
      </w:r>
      <w:r>
        <w:rPr>
          <w:rFonts w:ascii="仿宋_GB2312" w:hAnsi="Cambria" w:eastAsia="仿宋_GB2312" w:cs="仿宋_GB2312"/>
          <w:color w:val="000000"/>
          <w:kern w:val="2"/>
          <w:sz w:val="32"/>
          <w:szCs w:val="32"/>
          <w:lang w:val="zh-CN"/>
        </w:rPr>
        <w:t>1,584.76</w:t>
      </w:r>
      <w:r>
        <w:rPr>
          <w:rFonts w:hint="eastAsia" w:ascii="仿宋_GB2312" w:hAnsi="Cambria" w:eastAsia="仿宋_GB2312" w:cs="仿宋_GB2312"/>
          <w:color w:val="000000"/>
          <w:kern w:val="2"/>
          <w:sz w:val="32"/>
          <w:szCs w:val="32"/>
          <w:lang w:val="zh-CN"/>
        </w:rPr>
        <w:t>万元，其中：</w:t>
      </w:r>
    </w:p>
    <w:p>
      <w:pPr>
        <w:keepNext/>
        <w:keepLines/>
        <w:suppressAutoHyphens/>
        <w:spacing w:line="353" w:lineRule="auto"/>
        <w:ind w:left="480" w:leftChars="200"/>
        <w:jc w:val="both"/>
        <w:rPr>
          <w:rFonts w:ascii="仿宋_GB2312" w:hAnsi="Cambria" w:eastAsia="仿宋_GB2312" w:cs="仿宋_GB2312"/>
          <w:color w:val="000000"/>
          <w:kern w:val="2"/>
          <w:sz w:val="32"/>
          <w:szCs w:val="32"/>
          <w:lang w:val="zh-CN"/>
        </w:rPr>
      </w:pPr>
      <w:r>
        <w:rPr>
          <w:rFonts w:hint="eastAsia" w:ascii="仿宋_GB2312" w:hAnsi="Cambria" w:eastAsia="仿宋_GB2312" w:cs="仿宋_GB2312"/>
          <w:color w:val="000000"/>
          <w:kern w:val="2"/>
          <w:sz w:val="32"/>
          <w:szCs w:val="32"/>
          <w:lang w:val="zh-CN"/>
        </w:rPr>
        <w:t xml:space="preserve">    </w:t>
      </w:r>
      <w:r>
        <w:rPr>
          <w:rFonts w:hint="eastAsia" w:ascii="仿宋_GB2312" w:hAnsi="Cambria" w:eastAsia="仿宋_GB2312" w:cs="仿宋_GB2312"/>
          <w:b/>
          <w:bCs/>
          <w:color w:val="000000"/>
          <w:kern w:val="2"/>
          <w:sz w:val="32"/>
          <w:szCs w:val="32"/>
          <w:lang w:val="zh-CN"/>
        </w:rPr>
        <w:t>人员经费</w:t>
      </w:r>
      <w:r>
        <w:rPr>
          <w:rFonts w:ascii="仿宋_GB2312" w:hAnsi="Cambria" w:eastAsia="仿宋_GB2312" w:cs="仿宋_GB2312"/>
          <w:color w:val="000000"/>
          <w:kern w:val="2"/>
          <w:sz w:val="32"/>
          <w:szCs w:val="32"/>
          <w:lang w:val="zh-CN"/>
        </w:rPr>
        <w:t>1,467.73</w:t>
      </w:r>
      <w:r>
        <w:rPr>
          <w:rFonts w:hint="eastAsia" w:ascii="仿宋_GB2312" w:hAnsi="Cambria" w:eastAsia="仿宋_GB2312" w:cs="仿宋_GB2312"/>
          <w:color w:val="000000"/>
          <w:kern w:val="2"/>
          <w:sz w:val="32"/>
          <w:szCs w:val="32"/>
          <w:lang w:val="zh-CN"/>
        </w:rPr>
        <w:t>万元，主要包括：</w:t>
      </w:r>
      <w:r>
        <w:rPr>
          <w:rFonts w:hint="eastAsia" w:ascii="仿宋_GB2312" w:hAnsi="Cambria" w:eastAsia="仿宋_GB2312" w:cs="仿宋"/>
          <w:kern w:val="2"/>
          <w:sz w:val="32"/>
          <w:szCs w:val="32"/>
        </w:rPr>
        <w:t>基本工资268.78万元、津贴补贴522.21万元、奖金55.59万元、伙食补助费0万元、绩效工资0万元、机关事业单位基本养老保险缴费132.51万元、职业年金缴费0.78万元、职工基本医疗保险缴费98.55万元、其他社会保障缴费3.08万元、其他工资福利支出215.03万元、离休费0万元、退休费0万元、抚恤金0万元、生活补助10.74万元、医疗费补助33.68万元、奖励金0万元、住房公积金126.78万元、其他对个人和家庭的补助支出0万元等</w:t>
      </w:r>
      <w:r>
        <w:rPr>
          <w:rFonts w:hint="eastAsia" w:ascii="仿宋_GB2312" w:hAnsi="Cambria" w:eastAsia="仿宋_GB2312" w:cs="仿宋_GB2312"/>
          <w:color w:val="000000"/>
          <w:kern w:val="2"/>
          <w:sz w:val="32"/>
          <w:szCs w:val="32"/>
          <w:lang w:val="zh-CN"/>
        </w:rPr>
        <w:t>。</w:t>
      </w:r>
    </w:p>
    <w:p>
      <w:pPr>
        <w:keepNext/>
        <w:suppressAutoHyphens/>
        <w:spacing w:line="353" w:lineRule="auto"/>
        <w:ind w:left="480" w:leftChars="200"/>
        <w:jc w:val="both"/>
        <w:rPr>
          <w:rFonts w:ascii="仿宋_GB2312" w:hAnsi="Cambria" w:eastAsia="仿宋_GB2312" w:cs="仿宋_GB2312"/>
          <w:color w:val="000000"/>
          <w:kern w:val="2"/>
          <w:sz w:val="32"/>
          <w:szCs w:val="32"/>
          <w:lang w:val="zh-CN"/>
        </w:rPr>
      </w:pPr>
      <w:r>
        <w:rPr>
          <w:rFonts w:hint="eastAsia" w:ascii="仿宋_GB2312" w:hAnsi="Cambria" w:eastAsia="仿宋_GB2312" w:cs="仿宋_GB2312"/>
          <w:b/>
          <w:bCs/>
          <w:color w:val="000000"/>
          <w:kern w:val="2"/>
          <w:sz w:val="32"/>
          <w:szCs w:val="32"/>
          <w:lang w:val="zh-CN"/>
        </w:rPr>
        <w:t>公用经费</w:t>
      </w:r>
      <w:r>
        <w:rPr>
          <w:rFonts w:ascii="仿宋_GB2312" w:hAnsi="Cambria" w:eastAsia="仿宋_GB2312" w:cs="仿宋_GB2312"/>
          <w:color w:val="000000"/>
          <w:kern w:val="2"/>
          <w:sz w:val="32"/>
          <w:szCs w:val="32"/>
          <w:lang w:val="zh-CN"/>
        </w:rPr>
        <w:t>117.04</w:t>
      </w:r>
      <w:r>
        <w:rPr>
          <w:rFonts w:hint="eastAsia" w:ascii="仿宋_GB2312" w:hAnsi="Cambria" w:eastAsia="仿宋_GB2312" w:cs="仿宋_GB2312"/>
          <w:color w:val="000000"/>
          <w:kern w:val="2"/>
          <w:sz w:val="32"/>
          <w:szCs w:val="32"/>
          <w:lang w:val="zh-CN"/>
        </w:rPr>
        <w:t>万元，主要包括：</w:t>
      </w:r>
      <w:r>
        <w:rPr>
          <w:rFonts w:hint="eastAsia" w:ascii="仿宋_GB2312" w:hAnsi="Cambria" w:eastAsia="仿宋_GB2312" w:cs="仿宋"/>
          <w:kern w:val="2"/>
          <w:sz w:val="32"/>
          <w:szCs w:val="32"/>
        </w:rPr>
        <w:t>办公费12.02万元、印刷费0万元、咨询费0万元、手续费0万元、水费1.53万元、电费3万元、邮电费3.34万元、取暖费0万元、物业管理费0.29万元、差旅费2.62万元、因公出国（境）费用0万元、维修（护）费0万元、租赁费0万元、会议费0万元、培训费0.75万元、公务接待费0万元、劳务费2.76万元、委托业务费10万元、工会经费13.94万元、福利费4.77万元、公务用车运行维护费5.35万元、其他交通费43.76万元、税金及附加费用0万元、其他商品和服务支出12.91万元、办公设备购置0万元、专用设备购置0万元、信息网络及软件购置更新0万元、其他资本性支出0万元等。</w:t>
      </w:r>
    </w:p>
    <w:p>
      <w:pPr>
        <w:keepNext/>
        <w:keepLines/>
        <w:spacing w:line="353" w:lineRule="auto"/>
        <w:ind w:firstLine="640"/>
        <w:jc w:val="both"/>
        <w:rPr>
          <w:rFonts w:ascii="黑体" w:hAnsi="Cambria" w:eastAsia="黑体" w:cs="黑体"/>
          <w:kern w:val="2"/>
          <w:sz w:val="32"/>
          <w:szCs w:val="32"/>
          <w:lang w:val="zh-CN"/>
        </w:rPr>
      </w:pPr>
      <w:r>
        <w:rPr>
          <w:rFonts w:hint="eastAsia" w:ascii="黑体" w:hAnsi="Cambria" w:eastAsia="黑体" w:cs="黑体"/>
          <w:color w:val="000000"/>
          <w:kern w:val="2"/>
          <w:sz w:val="32"/>
          <w:szCs w:val="32"/>
          <w:lang w:val="zh-CN"/>
        </w:rPr>
        <w:t>七、</w:t>
      </w:r>
      <w:r>
        <w:rPr>
          <w:rFonts w:ascii="黑体" w:hAnsi="Cambria" w:eastAsia="黑体" w:cs="黑体"/>
          <w:b/>
          <w:bCs/>
          <w:kern w:val="2"/>
          <w:sz w:val="32"/>
          <w:szCs w:val="32"/>
          <w:lang w:val="zh-CN"/>
        </w:rPr>
        <w:t>“</w:t>
      </w:r>
      <w:r>
        <w:rPr>
          <w:rFonts w:hint="eastAsia" w:ascii="黑体" w:hAnsi="Cambria" w:eastAsia="黑体" w:cs="黑体"/>
          <w:kern w:val="2"/>
          <w:sz w:val="32"/>
          <w:szCs w:val="32"/>
          <w:lang w:val="zh-CN"/>
        </w:rPr>
        <w:t>三公</w:t>
      </w:r>
      <w:r>
        <w:rPr>
          <w:rFonts w:ascii="黑体" w:hAnsi="Cambria" w:eastAsia="黑体" w:cs="黑体"/>
          <w:kern w:val="2"/>
          <w:sz w:val="32"/>
          <w:szCs w:val="32"/>
          <w:lang w:val="zh-CN"/>
        </w:rPr>
        <w:t>”</w:t>
      </w:r>
      <w:r>
        <w:rPr>
          <w:rFonts w:hint="eastAsia" w:ascii="黑体" w:hAnsi="Cambria" w:eastAsia="黑体" w:cs="黑体"/>
          <w:kern w:val="2"/>
          <w:sz w:val="32"/>
          <w:szCs w:val="32"/>
          <w:lang w:val="zh-CN"/>
        </w:rPr>
        <w:t>经费财政拨款支出决算情况说明</w:t>
      </w:r>
    </w:p>
    <w:p>
      <w:pPr>
        <w:keepNext/>
        <w:keepLines/>
        <w:spacing w:line="353" w:lineRule="auto"/>
        <w:ind w:firstLine="643"/>
        <w:jc w:val="both"/>
        <w:rPr>
          <w:rFonts w:ascii="仿宋_GB2312" w:hAnsi="Cambria" w:eastAsia="仿宋_GB2312" w:cs="仿宋_GB2312"/>
          <w:b/>
          <w:bCs/>
          <w:color w:val="000000"/>
          <w:kern w:val="2"/>
          <w:sz w:val="32"/>
          <w:szCs w:val="32"/>
          <w:lang w:val="zh-CN"/>
        </w:rPr>
      </w:pPr>
      <w:r>
        <w:rPr>
          <w:rFonts w:hint="eastAsia" w:ascii="仿宋_GB2312" w:hAnsi="Cambria" w:eastAsia="仿宋_GB2312" w:cs="仿宋_GB2312"/>
          <w:b/>
          <w:bCs/>
          <w:color w:val="000000"/>
          <w:kern w:val="2"/>
          <w:sz w:val="32"/>
          <w:szCs w:val="32"/>
          <w:lang w:val="zh-CN"/>
        </w:rPr>
        <w:t>（一）</w:t>
      </w:r>
      <w:r>
        <w:rPr>
          <w:rFonts w:ascii="仿宋_GB2312" w:hAnsi="Cambria" w:eastAsia="仿宋_GB2312" w:cs="仿宋_GB2312"/>
          <w:b/>
          <w:bCs/>
          <w:color w:val="000000"/>
          <w:kern w:val="2"/>
          <w:sz w:val="32"/>
          <w:szCs w:val="32"/>
          <w:lang w:val="zh-CN"/>
        </w:rPr>
        <w:t>“</w:t>
      </w:r>
      <w:r>
        <w:rPr>
          <w:rFonts w:hint="eastAsia" w:ascii="仿宋_GB2312" w:hAnsi="Cambria" w:eastAsia="仿宋_GB2312" w:cs="仿宋_GB2312"/>
          <w:b/>
          <w:bCs/>
          <w:color w:val="000000"/>
          <w:kern w:val="2"/>
          <w:sz w:val="32"/>
          <w:szCs w:val="32"/>
          <w:lang w:val="zh-CN"/>
        </w:rPr>
        <w:t>三公</w:t>
      </w:r>
      <w:r>
        <w:rPr>
          <w:rFonts w:ascii="仿宋_GB2312" w:hAnsi="Cambria" w:eastAsia="仿宋_GB2312" w:cs="仿宋_GB2312"/>
          <w:b/>
          <w:bCs/>
          <w:color w:val="000000"/>
          <w:kern w:val="2"/>
          <w:sz w:val="32"/>
          <w:szCs w:val="32"/>
          <w:lang w:val="zh-CN"/>
        </w:rPr>
        <w:t>”</w:t>
      </w:r>
      <w:r>
        <w:rPr>
          <w:rFonts w:hint="eastAsia" w:ascii="仿宋_GB2312" w:hAnsi="Cambria" w:eastAsia="仿宋_GB2312" w:cs="仿宋_GB2312"/>
          <w:b/>
          <w:bCs/>
          <w:color w:val="000000"/>
          <w:kern w:val="2"/>
          <w:sz w:val="32"/>
          <w:szCs w:val="32"/>
          <w:lang w:val="zh-CN"/>
        </w:rPr>
        <w:t>经费财政拨款支出决算总体情况说明</w:t>
      </w:r>
    </w:p>
    <w:p>
      <w:pPr>
        <w:keepNext/>
        <w:keepLines/>
        <w:spacing w:line="353" w:lineRule="auto"/>
        <w:ind w:firstLine="640"/>
        <w:jc w:val="both"/>
        <w:rPr>
          <w:rFonts w:ascii="仿宋" w:hAnsi="Cambria" w:eastAsia="仿宋" w:cs="仿宋"/>
          <w:b/>
          <w:bCs/>
          <w:kern w:val="2"/>
          <w:sz w:val="32"/>
          <w:szCs w:val="32"/>
        </w:rPr>
      </w:pPr>
      <w:r>
        <w:rPr>
          <w:rFonts w:ascii="仿宋_GB2312" w:hAnsi="Cambria" w:eastAsia="仿宋_GB2312" w:cs="仿宋_GB2312"/>
          <w:color w:val="000000"/>
          <w:kern w:val="2"/>
          <w:sz w:val="32"/>
          <w:szCs w:val="32"/>
          <w:lang w:val="zh-CN"/>
        </w:rPr>
        <w:t>2022</w:t>
      </w:r>
      <w:r>
        <w:rPr>
          <w:rFonts w:hint="eastAsia" w:ascii="仿宋_GB2312" w:hAnsi="Cambria" w:eastAsia="仿宋_GB2312" w:cs="仿宋_GB2312"/>
          <w:color w:val="000000"/>
          <w:kern w:val="2"/>
          <w:sz w:val="32"/>
          <w:szCs w:val="32"/>
          <w:lang w:val="zh-CN"/>
        </w:rPr>
        <w:t>年</w:t>
      </w:r>
      <w:r>
        <w:rPr>
          <w:rFonts w:ascii="仿宋_GB2312" w:hAnsi="Cambria" w:eastAsia="仿宋_GB2312" w:cs="仿宋_GB2312"/>
          <w:color w:val="000000"/>
          <w:kern w:val="2"/>
          <w:sz w:val="32"/>
          <w:szCs w:val="32"/>
          <w:lang w:val="zh-CN"/>
        </w:rPr>
        <w:t>“</w:t>
      </w:r>
      <w:r>
        <w:rPr>
          <w:rFonts w:hint="eastAsia" w:ascii="仿宋_GB2312" w:hAnsi="Cambria" w:eastAsia="仿宋_GB2312" w:cs="仿宋_GB2312"/>
          <w:color w:val="000000"/>
          <w:kern w:val="2"/>
          <w:sz w:val="32"/>
          <w:szCs w:val="32"/>
          <w:lang w:val="zh-CN"/>
        </w:rPr>
        <w:t>三公</w:t>
      </w:r>
      <w:r>
        <w:rPr>
          <w:rFonts w:ascii="仿宋_GB2312" w:hAnsi="Cambria" w:eastAsia="仿宋_GB2312" w:cs="仿宋_GB2312"/>
          <w:color w:val="000000"/>
          <w:kern w:val="2"/>
          <w:sz w:val="32"/>
          <w:szCs w:val="32"/>
          <w:lang w:val="zh-CN"/>
        </w:rPr>
        <w:t>”</w:t>
      </w:r>
      <w:r>
        <w:rPr>
          <w:rFonts w:hint="eastAsia" w:ascii="仿宋_GB2312" w:hAnsi="Cambria" w:eastAsia="仿宋_GB2312" w:cs="仿宋_GB2312"/>
          <w:color w:val="000000"/>
          <w:kern w:val="2"/>
          <w:sz w:val="32"/>
          <w:szCs w:val="32"/>
          <w:lang w:val="zh-CN"/>
        </w:rPr>
        <w:t>经费财政拨款支出决算为</w:t>
      </w:r>
      <w:r>
        <w:rPr>
          <w:rFonts w:ascii="仿宋_GB2312" w:hAnsi="Cambria" w:eastAsia="仿宋_GB2312" w:cs="仿宋_GB2312"/>
          <w:color w:val="000000"/>
          <w:kern w:val="2"/>
          <w:sz w:val="32"/>
          <w:szCs w:val="32"/>
          <w:lang w:val="zh-CN"/>
        </w:rPr>
        <w:t>5.35</w:t>
      </w:r>
      <w:r>
        <w:rPr>
          <w:rFonts w:hint="eastAsia" w:ascii="仿宋_GB2312" w:hAnsi="Cambria" w:eastAsia="仿宋_GB2312" w:cs="仿宋_GB2312"/>
          <w:color w:val="000000"/>
          <w:kern w:val="2"/>
          <w:sz w:val="32"/>
          <w:szCs w:val="32"/>
          <w:lang w:val="zh-CN"/>
        </w:rPr>
        <w:t>万元，完成预算</w:t>
      </w:r>
      <w:r>
        <w:rPr>
          <w:rFonts w:ascii="仿宋_GB2312" w:hAnsi="Cambria" w:eastAsia="仿宋_GB2312" w:cs="仿宋_GB2312"/>
          <w:color w:val="000000"/>
          <w:kern w:val="2"/>
          <w:sz w:val="32"/>
          <w:szCs w:val="32"/>
          <w:lang w:val="zh-CN"/>
        </w:rPr>
        <w:t>100%</w:t>
      </w:r>
      <w:r>
        <w:rPr>
          <w:rFonts w:hint="eastAsia" w:ascii="仿宋_GB2312" w:hAnsi="Cambria" w:eastAsia="仿宋_GB2312" w:cs="仿宋_GB2312"/>
          <w:color w:val="000000"/>
          <w:kern w:val="2"/>
          <w:sz w:val="32"/>
          <w:szCs w:val="32"/>
          <w:lang w:val="zh-CN"/>
        </w:rPr>
        <w:t>；较上年增加</w:t>
      </w:r>
      <w:r>
        <w:rPr>
          <w:rFonts w:ascii="仿宋_GB2312" w:hAnsi="Cambria" w:eastAsia="仿宋_GB2312" w:cs="仿宋_GB2312"/>
          <w:color w:val="000000"/>
          <w:kern w:val="2"/>
          <w:sz w:val="32"/>
          <w:szCs w:val="32"/>
          <w:lang w:val="zh-CN"/>
        </w:rPr>
        <w:t>1.21</w:t>
      </w:r>
      <w:r>
        <w:rPr>
          <w:rFonts w:hint="eastAsia" w:ascii="仿宋_GB2312" w:hAnsi="Cambria" w:eastAsia="仿宋_GB2312" w:cs="仿宋_GB2312"/>
          <w:color w:val="000000"/>
          <w:kern w:val="2"/>
          <w:sz w:val="32"/>
          <w:szCs w:val="32"/>
          <w:lang w:val="zh-CN"/>
        </w:rPr>
        <w:t>万元，增长</w:t>
      </w:r>
      <w:r>
        <w:rPr>
          <w:rFonts w:ascii="仿宋_GB2312" w:hAnsi="Cambria" w:eastAsia="仿宋_GB2312" w:cs="仿宋_GB2312"/>
          <w:color w:val="000000"/>
          <w:kern w:val="2"/>
          <w:sz w:val="32"/>
          <w:szCs w:val="32"/>
          <w:lang w:val="zh-CN"/>
        </w:rPr>
        <w:t>29.2%</w:t>
      </w:r>
      <w:r>
        <w:rPr>
          <w:rFonts w:hint="eastAsia" w:ascii="仿宋_GB2312" w:hAnsi="Cambria" w:eastAsia="仿宋_GB2312" w:cs="仿宋_GB2312"/>
          <w:color w:val="000000"/>
          <w:kern w:val="2"/>
          <w:sz w:val="32"/>
          <w:szCs w:val="32"/>
          <w:lang w:val="zh-CN"/>
        </w:rPr>
        <w:t>。决算数</w:t>
      </w:r>
      <w:r>
        <w:rPr>
          <w:rFonts w:hint="eastAsia" w:ascii="仿宋_GB2312" w:hAnsi="Cambria" w:eastAsia="仿宋_GB2312" w:cs="仿宋_GB2312"/>
          <w:color w:val="000000"/>
          <w:kern w:val="2"/>
          <w:sz w:val="32"/>
          <w:szCs w:val="32"/>
          <w:highlight w:val="white"/>
        </w:rPr>
        <w:t>与预算数持平</w:t>
      </w:r>
      <w:r>
        <w:rPr>
          <w:rFonts w:hint="eastAsia" w:ascii="仿宋_GB2312" w:hAnsi="Cambria" w:eastAsia="仿宋_GB2312" w:cs="仿宋_GB2312"/>
          <w:color w:val="000000"/>
          <w:kern w:val="2"/>
          <w:sz w:val="32"/>
          <w:szCs w:val="32"/>
          <w:lang w:val="zh-CN"/>
        </w:rPr>
        <w:t>。</w:t>
      </w:r>
    </w:p>
    <w:p>
      <w:pPr>
        <w:keepNext/>
        <w:keepLines/>
        <w:spacing w:line="353" w:lineRule="auto"/>
        <w:ind w:firstLine="640"/>
        <w:jc w:val="both"/>
        <w:rPr>
          <w:rFonts w:ascii="仿宋_GB2312" w:hAnsi="Cambria" w:eastAsia="仿宋_GB2312" w:cs="仿宋_GB2312"/>
          <w:b/>
          <w:bCs/>
          <w:color w:val="000000"/>
          <w:kern w:val="2"/>
          <w:sz w:val="32"/>
          <w:szCs w:val="32"/>
          <w:lang w:val="zh-CN"/>
        </w:rPr>
      </w:pPr>
      <w:r>
        <w:rPr>
          <w:rFonts w:hint="eastAsia" w:ascii="仿宋_GB2312" w:hAnsi="Cambria" w:eastAsia="仿宋_GB2312" w:cs="仿宋_GB2312"/>
          <w:b/>
          <w:bCs/>
          <w:color w:val="000000"/>
          <w:kern w:val="2"/>
          <w:sz w:val="32"/>
          <w:szCs w:val="32"/>
          <w:lang w:val="zh-CN"/>
        </w:rPr>
        <w:t>（二）</w:t>
      </w:r>
      <w:r>
        <w:rPr>
          <w:rFonts w:ascii="仿宋_GB2312" w:hAnsi="Cambria" w:eastAsia="仿宋_GB2312" w:cs="仿宋_GB2312"/>
          <w:b/>
          <w:bCs/>
          <w:color w:val="000000"/>
          <w:kern w:val="2"/>
          <w:sz w:val="32"/>
          <w:szCs w:val="32"/>
          <w:lang w:val="zh-CN"/>
        </w:rPr>
        <w:t>“</w:t>
      </w:r>
      <w:r>
        <w:rPr>
          <w:rFonts w:hint="eastAsia" w:ascii="仿宋_GB2312" w:hAnsi="Cambria" w:eastAsia="仿宋_GB2312" w:cs="仿宋_GB2312"/>
          <w:b/>
          <w:bCs/>
          <w:color w:val="000000"/>
          <w:kern w:val="2"/>
          <w:sz w:val="32"/>
          <w:szCs w:val="32"/>
          <w:lang w:val="zh-CN"/>
        </w:rPr>
        <w:t>三公</w:t>
      </w:r>
      <w:r>
        <w:rPr>
          <w:rFonts w:ascii="仿宋_GB2312" w:hAnsi="Cambria" w:eastAsia="仿宋_GB2312" w:cs="仿宋_GB2312"/>
          <w:b/>
          <w:bCs/>
          <w:color w:val="000000"/>
          <w:kern w:val="2"/>
          <w:sz w:val="32"/>
          <w:szCs w:val="32"/>
          <w:lang w:val="zh-CN"/>
        </w:rPr>
        <w:t>”</w:t>
      </w:r>
      <w:r>
        <w:rPr>
          <w:rFonts w:hint="eastAsia" w:ascii="仿宋_GB2312" w:hAnsi="Cambria" w:eastAsia="仿宋_GB2312" w:cs="仿宋_GB2312"/>
          <w:b/>
          <w:bCs/>
          <w:color w:val="000000"/>
          <w:kern w:val="2"/>
          <w:sz w:val="32"/>
          <w:szCs w:val="32"/>
          <w:lang w:val="zh-CN"/>
        </w:rPr>
        <w:t>经费财政拨款支出决算具体情况说明</w:t>
      </w:r>
    </w:p>
    <w:p>
      <w:pPr>
        <w:keepNext/>
        <w:keepLines/>
        <w:spacing w:line="353" w:lineRule="auto"/>
        <w:ind w:firstLine="640"/>
        <w:jc w:val="both"/>
        <w:rPr>
          <w:rFonts w:ascii="仿宋_GB2312" w:hAnsi="Cambria" w:eastAsia="仿宋_GB2312" w:cs="仿宋_GB2312"/>
          <w:color w:val="000000"/>
          <w:kern w:val="2"/>
          <w:sz w:val="32"/>
          <w:szCs w:val="32"/>
          <w:lang w:val="zh-CN"/>
        </w:rPr>
      </w:pPr>
      <w:r>
        <w:rPr>
          <w:rFonts w:ascii="仿宋_GB2312" w:hAnsi="Cambria" w:eastAsia="仿宋_GB2312" w:cs="仿宋_GB2312"/>
          <w:color w:val="000000"/>
          <w:kern w:val="2"/>
          <w:sz w:val="32"/>
          <w:szCs w:val="32"/>
          <w:lang w:val="zh-CN"/>
        </w:rPr>
        <w:t>2022</w:t>
      </w:r>
      <w:r>
        <w:rPr>
          <w:rFonts w:hint="eastAsia" w:ascii="仿宋_GB2312" w:hAnsi="Cambria" w:eastAsia="仿宋_GB2312" w:cs="仿宋_GB2312"/>
          <w:color w:val="000000"/>
          <w:kern w:val="2"/>
          <w:sz w:val="32"/>
          <w:szCs w:val="32"/>
          <w:lang w:val="zh-CN"/>
        </w:rPr>
        <w:t>年</w:t>
      </w:r>
      <w:r>
        <w:rPr>
          <w:rFonts w:ascii="仿宋_GB2312" w:hAnsi="Cambria" w:eastAsia="仿宋_GB2312" w:cs="仿宋_GB2312"/>
          <w:color w:val="000000"/>
          <w:kern w:val="2"/>
          <w:sz w:val="32"/>
          <w:szCs w:val="32"/>
          <w:lang w:val="zh-CN"/>
        </w:rPr>
        <w:t>“</w:t>
      </w:r>
      <w:r>
        <w:rPr>
          <w:rFonts w:hint="eastAsia" w:ascii="仿宋_GB2312" w:hAnsi="Cambria" w:eastAsia="仿宋_GB2312" w:cs="仿宋_GB2312"/>
          <w:color w:val="000000"/>
          <w:kern w:val="2"/>
          <w:sz w:val="32"/>
          <w:szCs w:val="32"/>
          <w:lang w:val="zh-CN"/>
        </w:rPr>
        <w:t>三公</w:t>
      </w:r>
      <w:r>
        <w:rPr>
          <w:rFonts w:ascii="仿宋_GB2312" w:hAnsi="Cambria" w:eastAsia="仿宋_GB2312" w:cs="仿宋_GB2312"/>
          <w:color w:val="000000"/>
          <w:kern w:val="2"/>
          <w:sz w:val="32"/>
          <w:szCs w:val="32"/>
          <w:lang w:val="zh-CN"/>
        </w:rPr>
        <w:t>”</w:t>
      </w:r>
      <w:r>
        <w:rPr>
          <w:rFonts w:hint="eastAsia" w:ascii="仿宋_GB2312" w:hAnsi="Cambria" w:eastAsia="仿宋_GB2312" w:cs="仿宋_GB2312"/>
          <w:color w:val="000000"/>
          <w:kern w:val="2"/>
          <w:sz w:val="32"/>
          <w:szCs w:val="32"/>
          <w:lang w:val="zh-CN"/>
        </w:rPr>
        <w:t>经费财政拨款支出决算中，因公出国（境）费支出决算</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万元，占</w:t>
      </w:r>
      <w:r>
        <w:rPr>
          <w:rFonts w:ascii="仿宋_GB2312" w:hAnsi="Cambria" w:eastAsia="仿宋_GB2312" w:cs="仿宋_GB2312"/>
          <w:color w:val="000000"/>
          <w:kern w:val="2"/>
          <w:sz w:val="32"/>
          <w:szCs w:val="32"/>
          <w:lang w:val="zh-CN"/>
        </w:rPr>
        <w:t>0</w:t>
      </w:r>
      <w:bookmarkStart w:id="0" w:name="_GoBack"/>
      <w:bookmarkEnd w:id="0"/>
      <w:r>
        <w:rPr>
          <w:rFonts w:ascii="仿宋_GB2312" w:hAnsi="Cambria" w:eastAsia="仿宋_GB2312" w:cs="仿宋_GB2312"/>
          <w:color w:val="000000"/>
          <w:kern w:val="2"/>
          <w:sz w:val="32"/>
          <w:szCs w:val="32"/>
          <w:lang w:val="zh-CN"/>
        </w:rPr>
        <w:t>%</w:t>
      </w:r>
      <w:r>
        <w:rPr>
          <w:rFonts w:hint="eastAsia" w:ascii="仿宋_GB2312" w:hAnsi="Cambria" w:eastAsia="仿宋_GB2312" w:cs="仿宋_GB2312"/>
          <w:color w:val="000000"/>
          <w:kern w:val="2"/>
          <w:sz w:val="32"/>
          <w:szCs w:val="32"/>
          <w:lang w:val="zh-CN"/>
        </w:rPr>
        <w:t>；公务用车购置及运行维护费支出决算</w:t>
      </w:r>
      <w:r>
        <w:rPr>
          <w:rFonts w:ascii="仿宋_GB2312" w:hAnsi="Cambria" w:eastAsia="仿宋_GB2312" w:cs="仿宋_GB2312"/>
          <w:color w:val="000000"/>
          <w:kern w:val="2"/>
          <w:sz w:val="32"/>
          <w:szCs w:val="32"/>
          <w:lang w:val="zh-CN"/>
        </w:rPr>
        <w:t>5.35</w:t>
      </w:r>
      <w:r>
        <w:rPr>
          <w:rFonts w:hint="eastAsia" w:ascii="仿宋_GB2312" w:hAnsi="Cambria" w:eastAsia="仿宋_GB2312" w:cs="仿宋_GB2312"/>
          <w:color w:val="000000"/>
          <w:kern w:val="2"/>
          <w:sz w:val="32"/>
          <w:szCs w:val="32"/>
          <w:lang w:val="zh-CN"/>
        </w:rPr>
        <w:t>万元，占</w:t>
      </w:r>
      <w:r>
        <w:rPr>
          <w:rFonts w:ascii="仿宋_GB2312" w:hAnsi="Cambria" w:eastAsia="仿宋_GB2312" w:cs="仿宋_GB2312"/>
          <w:color w:val="000000"/>
          <w:kern w:val="2"/>
          <w:sz w:val="32"/>
          <w:szCs w:val="32"/>
          <w:lang w:val="zh-CN"/>
        </w:rPr>
        <w:t>100%</w:t>
      </w:r>
      <w:r>
        <w:rPr>
          <w:rFonts w:hint="eastAsia" w:ascii="仿宋_GB2312" w:hAnsi="Cambria" w:eastAsia="仿宋_GB2312" w:cs="仿宋_GB2312"/>
          <w:color w:val="000000"/>
          <w:kern w:val="2"/>
          <w:sz w:val="32"/>
          <w:szCs w:val="32"/>
          <w:lang w:val="zh-CN"/>
        </w:rPr>
        <w:t>；公务接待费支出决算</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万元，占</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。具体情况如下：</w:t>
      </w:r>
    </w:p>
    <w:p>
      <w:pPr>
        <w:keepNext/>
        <w:keepLines/>
        <w:spacing w:line="353" w:lineRule="auto"/>
        <w:ind w:firstLine="640"/>
        <w:jc w:val="both"/>
        <w:rPr>
          <w:rFonts w:ascii="仿宋_GB2312" w:hAnsi="Cambria" w:eastAsia="仿宋_GB2312" w:cs="仿宋_GB2312"/>
          <w:color w:val="000000"/>
          <w:kern w:val="2"/>
          <w:sz w:val="32"/>
          <w:szCs w:val="32"/>
          <w:lang w:val="zh-CN"/>
        </w:rPr>
      </w:pPr>
      <w:r>
        <w:drawing>
          <wp:inline distT="0" distB="0" distL="114300" distR="114300">
            <wp:extent cx="4572000" cy="1933575"/>
            <wp:effectExtent l="4445" t="4445" r="14605" b="5080"/>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keepLines/>
        <w:spacing w:line="353" w:lineRule="auto"/>
        <w:jc w:val="both"/>
        <w:rPr>
          <w:rFonts w:ascii="仿宋_GB2312" w:hAnsi="Cambria" w:eastAsia="仿宋_GB2312" w:cs="仿宋_GB2312"/>
          <w:color w:val="000000"/>
          <w:kern w:val="2"/>
          <w:sz w:val="32"/>
          <w:szCs w:val="32"/>
          <w:lang w:val="zh-CN"/>
        </w:rPr>
      </w:pPr>
    </w:p>
    <w:p>
      <w:pPr>
        <w:keepNext/>
        <w:keepLines/>
        <w:spacing w:line="353" w:lineRule="auto"/>
        <w:ind w:firstLine="643"/>
        <w:jc w:val="both"/>
        <w:rPr>
          <w:rFonts w:ascii="仿宋_GB2312" w:hAnsi="Cambria" w:eastAsia="仿宋_GB2312" w:cs="仿宋_GB2312"/>
          <w:kern w:val="2"/>
          <w:sz w:val="32"/>
          <w:szCs w:val="32"/>
        </w:rPr>
      </w:pPr>
      <w:r>
        <w:rPr>
          <w:rFonts w:ascii="仿宋_GB2312" w:hAnsi="Cambria" w:eastAsia="仿宋_GB2312" w:cs="仿宋_GB2312"/>
          <w:b/>
          <w:bCs/>
          <w:color w:val="000000"/>
          <w:kern w:val="2"/>
          <w:sz w:val="32"/>
          <w:szCs w:val="32"/>
          <w:lang w:val="zh-CN"/>
        </w:rPr>
        <w:t>1.</w:t>
      </w:r>
      <w:r>
        <w:rPr>
          <w:rFonts w:hint="eastAsia" w:ascii="仿宋_GB2312" w:hAnsi="Cambria" w:eastAsia="仿宋_GB2312" w:cs="仿宋_GB2312"/>
          <w:b/>
          <w:bCs/>
          <w:color w:val="000000"/>
          <w:kern w:val="2"/>
          <w:sz w:val="32"/>
          <w:szCs w:val="32"/>
          <w:lang w:val="zh-CN"/>
        </w:rPr>
        <w:t>因公出国（境）经费</w:t>
      </w:r>
      <w:r>
        <w:rPr>
          <w:rFonts w:hint="eastAsia" w:ascii="仿宋_GB2312" w:hAnsi="Cambria" w:eastAsia="仿宋_GB2312" w:cs="仿宋_GB2312"/>
          <w:color w:val="000000"/>
          <w:kern w:val="2"/>
          <w:sz w:val="32"/>
          <w:szCs w:val="32"/>
          <w:lang w:val="zh-CN"/>
        </w:rPr>
        <w:t>支出</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万元，完成预算</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。全年安排因公出国（境）团组</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个，出国（境）</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人。</w:t>
      </w:r>
    </w:p>
    <w:p>
      <w:pPr>
        <w:keepNext/>
        <w:keepLines/>
        <w:spacing w:line="353" w:lineRule="auto"/>
        <w:ind w:firstLine="643" w:firstLineChars="200"/>
        <w:jc w:val="both"/>
        <w:rPr>
          <w:rFonts w:ascii="仿宋_GB2312" w:hAnsi="Cambria" w:eastAsia="仿宋_GB2312" w:cs="仿宋_GB2312"/>
          <w:kern w:val="2"/>
          <w:sz w:val="32"/>
          <w:szCs w:val="32"/>
        </w:rPr>
      </w:pPr>
      <w:r>
        <w:rPr>
          <w:rFonts w:ascii="仿宋_GB2312" w:hAnsi="Cambria" w:eastAsia="仿宋_GB2312" w:cs="仿宋_GB2312"/>
          <w:b/>
          <w:bCs/>
          <w:color w:val="000000"/>
          <w:kern w:val="2"/>
          <w:sz w:val="32"/>
          <w:szCs w:val="32"/>
          <w:lang w:val="zh-CN"/>
        </w:rPr>
        <w:t>2.</w:t>
      </w:r>
      <w:r>
        <w:rPr>
          <w:rFonts w:hint="eastAsia" w:ascii="仿宋_GB2312" w:hAnsi="Cambria" w:eastAsia="仿宋_GB2312" w:cs="仿宋_GB2312"/>
          <w:b/>
          <w:bCs/>
          <w:color w:val="000000"/>
          <w:kern w:val="2"/>
          <w:sz w:val="32"/>
          <w:szCs w:val="32"/>
          <w:lang w:val="zh-CN"/>
        </w:rPr>
        <w:t>公务用车购置及运行维护费</w:t>
      </w:r>
      <w:r>
        <w:rPr>
          <w:rFonts w:hint="eastAsia" w:ascii="仿宋_GB2312" w:hAnsi="Cambria" w:eastAsia="仿宋_GB2312" w:cs="仿宋_GB2312"/>
          <w:color w:val="000000"/>
          <w:kern w:val="2"/>
          <w:sz w:val="32"/>
          <w:szCs w:val="32"/>
          <w:lang w:val="zh-CN"/>
        </w:rPr>
        <w:t>支出</w:t>
      </w:r>
      <w:r>
        <w:rPr>
          <w:rFonts w:ascii="仿宋_GB2312" w:hAnsi="Cambria" w:eastAsia="仿宋_GB2312" w:cs="仿宋_GB2312"/>
          <w:color w:val="000000"/>
          <w:kern w:val="2"/>
          <w:sz w:val="32"/>
          <w:szCs w:val="32"/>
          <w:lang w:val="zh-CN"/>
        </w:rPr>
        <w:t>5.35</w:t>
      </w:r>
      <w:r>
        <w:rPr>
          <w:rFonts w:hint="eastAsia" w:ascii="仿宋_GB2312" w:hAnsi="Cambria" w:eastAsia="仿宋_GB2312" w:cs="仿宋_GB2312"/>
          <w:color w:val="000000"/>
          <w:kern w:val="2"/>
          <w:sz w:val="32"/>
          <w:szCs w:val="32"/>
          <w:lang w:val="zh-CN"/>
        </w:rPr>
        <w:t>万元，完成预算</w:t>
      </w:r>
      <w:r>
        <w:rPr>
          <w:rFonts w:ascii="仿宋_GB2312" w:hAnsi="Cambria" w:eastAsia="仿宋_GB2312" w:cs="仿宋_GB2312"/>
          <w:color w:val="000000"/>
          <w:kern w:val="2"/>
          <w:sz w:val="32"/>
          <w:szCs w:val="32"/>
          <w:lang w:val="zh-CN"/>
        </w:rPr>
        <w:t>100%</w:t>
      </w:r>
      <w:r>
        <w:rPr>
          <w:rFonts w:hint="eastAsia" w:ascii="仿宋_GB2312" w:hAnsi="Cambria" w:eastAsia="仿宋_GB2312" w:cs="仿宋_GB2312"/>
          <w:color w:val="000000"/>
          <w:kern w:val="2"/>
          <w:sz w:val="32"/>
          <w:szCs w:val="32"/>
          <w:lang w:val="zh-CN"/>
        </w:rPr>
        <w:t>。公务用车购置及运行维护费支出决算比</w:t>
      </w:r>
      <w:r>
        <w:rPr>
          <w:rFonts w:ascii="仿宋_GB2312" w:hAnsi="Cambria" w:eastAsia="仿宋_GB2312" w:cs="仿宋_GB2312"/>
          <w:color w:val="000000"/>
          <w:kern w:val="2"/>
          <w:sz w:val="32"/>
          <w:szCs w:val="32"/>
          <w:lang w:val="zh-CN"/>
        </w:rPr>
        <w:t>2021</w:t>
      </w:r>
      <w:r>
        <w:rPr>
          <w:rFonts w:hint="eastAsia" w:ascii="仿宋_GB2312" w:hAnsi="Cambria" w:eastAsia="仿宋_GB2312" w:cs="仿宋_GB2312"/>
          <w:color w:val="000000"/>
          <w:kern w:val="2"/>
          <w:sz w:val="32"/>
          <w:szCs w:val="32"/>
          <w:lang w:val="zh-CN"/>
        </w:rPr>
        <w:t>年增加</w:t>
      </w:r>
      <w:r>
        <w:rPr>
          <w:rFonts w:ascii="仿宋_GB2312" w:hAnsi="Cambria" w:eastAsia="仿宋_GB2312" w:cs="仿宋_GB2312"/>
          <w:color w:val="000000"/>
          <w:kern w:val="2"/>
          <w:sz w:val="32"/>
          <w:szCs w:val="32"/>
          <w:lang w:val="zh-CN"/>
        </w:rPr>
        <w:t>1.21</w:t>
      </w:r>
      <w:r>
        <w:rPr>
          <w:rFonts w:hint="eastAsia" w:ascii="仿宋_GB2312" w:hAnsi="Cambria" w:eastAsia="仿宋_GB2312" w:cs="仿宋_GB2312"/>
          <w:color w:val="000000"/>
          <w:kern w:val="2"/>
          <w:sz w:val="32"/>
          <w:szCs w:val="32"/>
          <w:lang w:val="zh-CN"/>
        </w:rPr>
        <w:t>万元，增长</w:t>
      </w:r>
      <w:r>
        <w:rPr>
          <w:rFonts w:ascii="仿宋_GB2312" w:hAnsi="Cambria" w:eastAsia="仿宋_GB2312" w:cs="仿宋_GB2312"/>
          <w:color w:val="000000"/>
          <w:kern w:val="2"/>
          <w:sz w:val="32"/>
          <w:szCs w:val="32"/>
          <w:lang w:val="zh-CN"/>
        </w:rPr>
        <w:t>29.2%</w:t>
      </w:r>
      <w:r>
        <w:rPr>
          <w:rFonts w:hint="eastAsia" w:ascii="仿宋_GB2312" w:hAnsi="Cambria" w:eastAsia="仿宋_GB2312" w:cs="仿宋_GB2312"/>
          <w:color w:val="000000"/>
          <w:kern w:val="2"/>
          <w:sz w:val="32"/>
          <w:szCs w:val="32"/>
          <w:lang w:val="zh-CN"/>
        </w:rPr>
        <w:t>。主要原因是巡查次数增多，燃油费增多。</w:t>
      </w:r>
    </w:p>
    <w:p>
      <w:pPr>
        <w:keepNext/>
        <w:keepLines/>
        <w:spacing w:line="353" w:lineRule="auto"/>
        <w:ind w:firstLine="640"/>
        <w:jc w:val="both"/>
        <w:rPr>
          <w:rFonts w:ascii="仿宋_GB2312" w:hAnsi="Cambria" w:eastAsia="仿宋_GB2312" w:cs="仿宋_GB2312"/>
          <w:color w:val="000000"/>
          <w:kern w:val="2"/>
          <w:sz w:val="32"/>
          <w:szCs w:val="32"/>
          <w:lang w:val="zh-CN"/>
        </w:rPr>
      </w:pPr>
      <w:r>
        <w:rPr>
          <w:rFonts w:hint="eastAsia" w:ascii="仿宋_GB2312" w:hAnsi="Cambria" w:eastAsia="仿宋_GB2312" w:cs="仿宋_GB2312"/>
          <w:color w:val="000000"/>
          <w:kern w:val="2"/>
          <w:sz w:val="32"/>
          <w:szCs w:val="32"/>
          <w:lang w:val="zh-CN"/>
        </w:rPr>
        <w:t>其中：</w:t>
      </w:r>
      <w:r>
        <w:rPr>
          <w:rFonts w:hint="eastAsia" w:ascii="仿宋_GB2312" w:hAnsi="Cambria" w:eastAsia="仿宋_GB2312" w:cs="仿宋_GB2312"/>
          <w:b/>
          <w:bCs/>
          <w:color w:val="000000"/>
          <w:kern w:val="2"/>
          <w:sz w:val="32"/>
          <w:szCs w:val="32"/>
          <w:lang w:val="zh-CN"/>
        </w:rPr>
        <w:t>公务用车购置费</w:t>
      </w:r>
      <w:r>
        <w:rPr>
          <w:rFonts w:hint="eastAsia" w:ascii="仿宋_GB2312" w:hAnsi="Cambria" w:eastAsia="仿宋_GB2312" w:cs="仿宋_GB2312"/>
          <w:color w:val="000000"/>
          <w:kern w:val="2"/>
          <w:sz w:val="32"/>
          <w:szCs w:val="32"/>
          <w:lang w:val="zh-CN"/>
        </w:rPr>
        <w:t>支出</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万元。全年按规定更新购置公务用车</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辆，其中：轿车0辆、金额0万元，越野车0辆、金额0万元，小型载客汽车0辆、金额0万元，大中型载客汽车0辆、金额0万元，其他车型0辆、金额0万元。截至</w:t>
      </w:r>
      <w:r>
        <w:rPr>
          <w:rFonts w:ascii="仿宋_GB2312" w:hAnsi="Cambria" w:eastAsia="仿宋_GB2312" w:cs="仿宋_GB2312"/>
          <w:color w:val="000000"/>
          <w:kern w:val="2"/>
          <w:sz w:val="32"/>
          <w:szCs w:val="32"/>
          <w:lang w:val="zh-CN"/>
        </w:rPr>
        <w:t>2022</w:t>
      </w:r>
      <w:r>
        <w:rPr>
          <w:rFonts w:hint="eastAsia" w:ascii="仿宋_GB2312" w:hAnsi="Cambria" w:eastAsia="仿宋_GB2312" w:cs="仿宋_GB2312"/>
          <w:color w:val="000000"/>
          <w:kern w:val="2"/>
          <w:sz w:val="32"/>
          <w:szCs w:val="32"/>
          <w:lang w:val="zh-CN"/>
        </w:rPr>
        <w:t>年</w:t>
      </w:r>
      <w:r>
        <w:rPr>
          <w:rFonts w:ascii="仿宋_GB2312" w:hAnsi="Cambria" w:eastAsia="仿宋_GB2312" w:cs="仿宋_GB2312"/>
          <w:color w:val="000000"/>
          <w:kern w:val="2"/>
          <w:sz w:val="32"/>
          <w:szCs w:val="32"/>
          <w:lang w:val="zh-CN"/>
        </w:rPr>
        <w:t>12</w:t>
      </w:r>
      <w:r>
        <w:rPr>
          <w:rFonts w:hint="eastAsia" w:ascii="仿宋_GB2312" w:hAnsi="Cambria" w:eastAsia="仿宋_GB2312" w:cs="仿宋_GB2312"/>
          <w:color w:val="000000"/>
          <w:kern w:val="2"/>
          <w:sz w:val="32"/>
          <w:szCs w:val="32"/>
          <w:lang w:val="zh-CN"/>
        </w:rPr>
        <w:t>月底，本部门共有公务用车</w:t>
      </w:r>
      <w:r>
        <w:rPr>
          <w:rFonts w:ascii="仿宋_GB2312" w:hAnsi="Cambria" w:eastAsia="仿宋_GB2312" w:cs="仿宋_GB2312"/>
          <w:color w:val="000000"/>
          <w:kern w:val="2"/>
          <w:sz w:val="32"/>
          <w:szCs w:val="32"/>
          <w:lang w:val="zh-CN"/>
        </w:rPr>
        <w:t>2</w:t>
      </w:r>
      <w:r>
        <w:rPr>
          <w:rFonts w:hint="eastAsia" w:ascii="仿宋_GB2312" w:hAnsi="Cambria" w:eastAsia="仿宋_GB2312" w:cs="仿宋_GB2312"/>
          <w:color w:val="000000"/>
          <w:kern w:val="2"/>
          <w:sz w:val="32"/>
          <w:szCs w:val="32"/>
          <w:lang w:val="zh-CN"/>
        </w:rPr>
        <w:t>辆，其中：轿车0辆、越野车0辆、小型载客汽车0辆、大中型载客汽车0辆、其他车型0辆。</w:t>
      </w:r>
    </w:p>
    <w:p>
      <w:pPr>
        <w:keepNext/>
        <w:keepLines/>
        <w:spacing w:line="353" w:lineRule="auto"/>
        <w:ind w:firstLine="643"/>
        <w:jc w:val="both"/>
        <w:rPr>
          <w:rFonts w:ascii="仿宋_GB2312" w:hAnsi="Cambria" w:eastAsia="仿宋_GB2312" w:cs="仿宋_GB2312"/>
          <w:color w:val="000000"/>
          <w:kern w:val="2"/>
          <w:sz w:val="32"/>
          <w:szCs w:val="32"/>
          <w:lang w:val="zh-CN"/>
        </w:rPr>
      </w:pPr>
      <w:r>
        <w:rPr>
          <w:rFonts w:hint="eastAsia" w:ascii="仿宋_GB2312" w:hAnsi="Cambria" w:eastAsia="仿宋_GB2312" w:cs="仿宋_GB2312"/>
          <w:b/>
          <w:bCs/>
          <w:color w:val="000000"/>
          <w:kern w:val="2"/>
          <w:sz w:val="32"/>
          <w:szCs w:val="32"/>
          <w:lang w:val="zh-CN"/>
        </w:rPr>
        <w:t>公务用车运行维护费</w:t>
      </w:r>
      <w:r>
        <w:rPr>
          <w:rFonts w:hint="eastAsia" w:ascii="仿宋_GB2312" w:hAnsi="Cambria" w:eastAsia="仿宋_GB2312" w:cs="仿宋_GB2312"/>
          <w:color w:val="000000"/>
          <w:kern w:val="2"/>
          <w:sz w:val="32"/>
          <w:szCs w:val="32"/>
          <w:lang w:val="zh-CN"/>
        </w:rPr>
        <w:t>支出</w:t>
      </w:r>
      <w:r>
        <w:rPr>
          <w:rFonts w:ascii="仿宋_GB2312" w:hAnsi="Cambria" w:eastAsia="仿宋_GB2312" w:cs="仿宋_GB2312"/>
          <w:color w:val="000000"/>
          <w:kern w:val="2"/>
          <w:sz w:val="32"/>
          <w:szCs w:val="32"/>
          <w:lang w:val="zh-CN"/>
        </w:rPr>
        <w:t>5.35</w:t>
      </w:r>
      <w:r>
        <w:rPr>
          <w:rFonts w:hint="eastAsia" w:ascii="仿宋_GB2312" w:hAnsi="Cambria" w:eastAsia="仿宋_GB2312" w:cs="仿宋_GB2312"/>
          <w:color w:val="000000"/>
          <w:kern w:val="2"/>
          <w:sz w:val="32"/>
          <w:szCs w:val="32"/>
          <w:lang w:val="zh-CN"/>
        </w:rPr>
        <w:t>万元。主要用于秩序队巡查等所需的公务用车燃料费、维修费、过路过桥费、保险费等支出。</w:t>
      </w:r>
    </w:p>
    <w:p>
      <w:pPr>
        <w:keepNext/>
        <w:spacing w:line="353" w:lineRule="auto"/>
        <w:ind w:firstLine="643"/>
        <w:jc w:val="both"/>
        <w:rPr>
          <w:rFonts w:ascii="仿宋_GB2312" w:hAnsi="Cambria" w:eastAsia="仿宋_GB2312" w:cs="仿宋_GB2312"/>
          <w:color w:val="000000"/>
          <w:kern w:val="2"/>
          <w:sz w:val="32"/>
          <w:szCs w:val="32"/>
          <w:lang w:val="zh-CN"/>
        </w:rPr>
      </w:pPr>
      <w:r>
        <w:rPr>
          <w:rFonts w:ascii="仿宋_GB2312" w:hAnsi="Cambria" w:eastAsia="仿宋_GB2312" w:cs="仿宋_GB2312"/>
          <w:b/>
          <w:bCs/>
          <w:color w:val="000000"/>
          <w:kern w:val="2"/>
          <w:sz w:val="32"/>
          <w:szCs w:val="32"/>
          <w:lang w:val="zh-CN"/>
        </w:rPr>
        <w:t>3.</w:t>
      </w:r>
      <w:r>
        <w:rPr>
          <w:rFonts w:hint="eastAsia" w:ascii="仿宋_GB2312" w:hAnsi="Cambria" w:eastAsia="仿宋_GB2312" w:cs="仿宋_GB2312"/>
          <w:b/>
          <w:bCs/>
          <w:color w:val="000000"/>
          <w:kern w:val="2"/>
          <w:sz w:val="32"/>
          <w:szCs w:val="32"/>
          <w:lang w:val="zh-CN"/>
        </w:rPr>
        <w:t>公务接待费</w:t>
      </w:r>
      <w:r>
        <w:rPr>
          <w:rFonts w:hint="eastAsia" w:ascii="仿宋_GB2312" w:hAnsi="Cambria" w:eastAsia="仿宋_GB2312" w:cs="仿宋_GB2312"/>
          <w:color w:val="000000"/>
          <w:kern w:val="2"/>
          <w:sz w:val="32"/>
          <w:szCs w:val="32"/>
          <w:lang w:val="zh-CN"/>
        </w:rPr>
        <w:t>支出</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万元，完成预算</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。公务接待费支出决算比与</w:t>
      </w:r>
      <w:r>
        <w:rPr>
          <w:rFonts w:ascii="仿宋_GB2312" w:hAnsi="Cambria" w:eastAsia="仿宋_GB2312" w:cs="仿宋_GB2312"/>
          <w:color w:val="000000"/>
          <w:kern w:val="2"/>
          <w:sz w:val="32"/>
          <w:szCs w:val="32"/>
          <w:lang w:val="zh-CN"/>
        </w:rPr>
        <w:t>2021</w:t>
      </w:r>
      <w:r>
        <w:rPr>
          <w:rFonts w:hint="eastAsia" w:ascii="仿宋_GB2312" w:hAnsi="Cambria" w:eastAsia="仿宋_GB2312" w:cs="仿宋_GB2312"/>
          <w:color w:val="000000"/>
          <w:kern w:val="2"/>
          <w:sz w:val="32"/>
          <w:szCs w:val="32"/>
          <w:lang w:val="zh-CN"/>
        </w:rPr>
        <w:t>年持平。其中：</w:t>
      </w:r>
    </w:p>
    <w:p>
      <w:pPr>
        <w:keepNext/>
        <w:spacing w:line="353" w:lineRule="auto"/>
        <w:ind w:firstLine="643"/>
        <w:jc w:val="both"/>
        <w:rPr>
          <w:rFonts w:ascii="仿宋_GB2312" w:hAnsi="Cambria" w:eastAsia="仿宋_GB2312" w:cs="仿宋_GB2312"/>
          <w:color w:val="000000"/>
          <w:kern w:val="2"/>
          <w:sz w:val="32"/>
          <w:szCs w:val="32"/>
        </w:rPr>
      </w:pPr>
      <w:r>
        <w:rPr>
          <w:rFonts w:hint="eastAsia" w:ascii="仿宋_GB2312" w:hAnsi="Cambria" w:eastAsia="仿宋_GB2312" w:cs="仿宋_GB2312"/>
          <w:b/>
          <w:bCs/>
          <w:color w:val="000000"/>
          <w:kern w:val="2"/>
          <w:sz w:val="32"/>
          <w:szCs w:val="32"/>
          <w:lang w:val="zh-CN"/>
        </w:rPr>
        <w:t>国内公务接待</w:t>
      </w:r>
      <w:r>
        <w:rPr>
          <w:rFonts w:hint="eastAsia" w:ascii="仿宋_GB2312" w:hAnsi="Cambria" w:eastAsia="仿宋_GB2312" w:cs="仿宋_GB2312"/>
          <w:color w:val="000000"/>
          <w:kern w:val="2"/>
          <w:sz w:val="32"/>
          <w:szCs w:val="32"/>
          <w:lang w:val="zh-CN"/>
        </w:rPr>
        <w:t>支出</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万元</w:t>
      </w:r>
      <w:r>
        <w:rPr>
          <w:rFonts w:hint="eastAsia" w:ascii="仿宋_GB2312" w:hAnsi="Cambria" w:eastAsia="仿宋_GB2312" w:cs="仿宋_GB2312"/>
          <w:color w:val="000000"/>
          <w:kern w:val="2"/>
          <w:sz w:val="32"/>
          <w:szCs w:val="32"/>
          <w:highlight w:val="white"/>
        </w:rPr>
        <w:t>。</w:t>
      </w:r>
      <w:r>
        <w:rPr>
          <w:rFonts w:hint="eastAsia" w:ascii="仿宋_GB2312" w:hAnsi="Cambria" w:eastAsia="仿宋_GB2312" w:cs="仿宋_GB2312"/>
          <w:color w:val="000000"/>
          <w:kern w:val="2"/>
          <w:sz w:val="32"/>
          <w:szCs w:val="32"/>
          <w:lang w:val="zh-CN"/>
        </w:rPr>
        <w:t>国内公务接待</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批次，</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人次（不包括陪同人员），共计支出</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万元。</w:t>
      </w:r>
      <w:r>
        <w:rPr>
          <w:rFonts w:ascii="仿宋_GB2312" w:hAnsi="Cambria" w:eastAsia="仿宋_GB2312" w:cs="仿宋_GB2312"/>
          <w:color w:val="000000"/>
          <w:kern w:val="2"/>
          <w:sz w:val="32"/>
          <w:szCs w:val="32"/>
        </w:rPr>
        <w:t xml:space="preserve"> </w:t>
      </w:r>
    </w:p>
    <w:p>
      <w:pPr>
        <w:keepNext/>
        <w:spacing w:line="353" w:lineRule="auto"/>
        <w:ind w:firstLine="643"/>
        <w:jc w:val="both"/>
        <w:rPr>
          <w:rFonts w:ascii="仿宋_GB2312" w:hAnsi="Cambria" w:eastAsia="仿宋_GB2312" w:cs="仿宋_GB2312"/>
          <w:color w:val="000000"/>
          <w:kern w:val="2"/>
          <w:sz w:val="32"/>
          <w:szCs w:val="32"/>
        </w:rPr>
      </w:pPr>
      <w:r>
        <w:rPr>
          <w:rFonts w:hint="eastAsia" w:ascii="仿宋_GB2312" w:hAnsi="Cambria" w:eastAsia="仿宋_GB2312" w:cs="仿宋_GB2312"/>
          <w:b/>
          <w:bCs/>
          <w:color w:val="000000"/>
          <w:kern w:val="2"/>
          <w:sz w:val="32"/>
          <w:szCs w:val="32"/>
          <w:lang w:val="zh-CN"/>
        </w:rPr>
        <w:t>外事接待</w:t>
      </w:r>
      <w:r>
        <w:rPr>
          <w:rFonts w:hint="eastAsia" w:ascii="仿宋_GB2312" w:hAnsi="Cambria" w:eastAsia="仿宋_GB2312" w:cs="仿宋_GB2312"/>
          <w:color w:val="000000"/>
          <w:kern w:val="2"/>
          <w:sz w:val="32"/>
          <w:szCs w:val="32"/>
          <w:lang w:val="zh-CN"/>
        </w:rPr>
        <w:t>支出</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万元。外事接待</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批次，</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人次（不包括陪同人员），共计支出</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万元。</w:t>
      </w:r>
    </w:p>
    <w:p>
      <w:pPr>
        <w:keepNext/>
        <w:spacing w:line="353" w:lineRule="auto"/>
        <w:ind w:firstLine="640"/>
        <w:jc w:val="both"/>
        <w:rPr>
          <w:rFonts w:ascii="黑体" w:hAnsi="Cambria" w:eastAsia="黑体" w:cs="黑体"/>
          <w:b/>
          <w:bCs/>
          <w:kern w:val="2"/>
          <w:sz w:val="32"/>
          <w:szCs w:val="32"/>
          <w:lang w:val="zh-CN"/>
        </w:rPr>
      </w:pPr>
      <w:r>
        <w:rPr>
          <w:rFonts w:hint="eastAsia" w:ascii="黑体" w:hAnsi="Cambria" w:eastAsia="黑体" w:cs="黑体"/>
          <w:color w:val="000000"/>
          <w:kern w:val="2"/>
          <w:sz w:val="32"/>
          <w:szCs w:val="32"/>
          <w:lang w:val="zh-CN"/>
        </w:rPr>
        <w:t>八、</w:t>
      </w:r>
      <w:r>
        <w:rPr>
          <w:rFonts w:hint="eastAsia" w:ascii="黑体" w:hAnsi="Cambria" w:eastAsia="黑体" w:cs="黑体"/>
          <w:kern w:val="2"/>
          <w:sz w:val="32"/>
          <w:szCs w:val="32"/>
          <w:lang w:val="zh-CN"/>
        </w:rPr>
        <w:t>政府性基金预算支出决算情况说明</w:t>
      </w:r>
    </w:p>
    <w:p>
      <w:pPr>
        <w:keepNext/>
        <w:spacing w:line="353" w:lineRule="auto"/>
        <w:ind w:firstLine="640"/>
        <w:jc w:val="both"/>
        <w:rPr>
          <w:rFonts w:ascii="仿宋_GB2312" w:hAnsi="Cambria" w:eastAsia="仿宋_GB2312" w:cs="仿宋_GB2312"/>
          <w:color w:val="000000"/>
          <w:kern w:val="2"/>
          <w:sz w:val="32"/>
          <w:szCs w:val="32"/>
          <w:lang w:val="zh-CN"/>
        </w:rPr>
      </w:pPr>
      <w:r>
        <w:rPr>
          <w:rFonts w:ascii="仿宋_GB2312" w:hAnsi="Cambria" w:eastAsia="仿宋_GB2312" w:cs="仿宋_GB2312"/>
          <w:color w:val="000000"/>
          <w:kern w:val="2"/>
          <w:sz w:val="32"/>
          <w:szCs w:val="32"/>
          <w:lang w:val="zh-CN"/>
        </w:rPr>
        <w:t>2022</w:t>
      </w:r>
      <w:r>
        <w:rPr>
          <w:rFonts w:hint="eastAsia" w:ascii="仿宋_GB2312" w:hAnsi="Cambria" w:eastAsia="仿宋_GB2312" w:cs="仿宋_GB2312"/>
          <w:color w:val="000000"/>
          <w:kern w:val="2"/>
          <w:sz w:val="32"/>
          <w:szCs w:val="32"/>
          <w:lang w:val="zh-CN"/>
        </w:rPr>
        <w:t>年政府性基金预算拨款支出</w:t>
      </w:r>
      <w:r>
        <w:rPr>
          <w:rFonts w:ascii="仿宋_GB2312" w:hAnsi="Cambria" w:eastAsia="仿宋_GB2312" w:cs="仿宋_GB2312"/>
          <w:color w:val="000000"/>
          <w:kern w:val="2"/>
          <w:sz w:val="32"/>
          <w:szCs w:val="32"/>
          <w:lang w:val="zh-CN"/>
        </w:rPr>
        <w:t>25.61</w:t>
      </w:r>
      <w:r>
        <w:rPr>
          <w:rFonts w:hint="eastAsia" w:ascii="仿宋_GB2312" w:hAnsi="Cambria" w:eastAsia="仿宋_GB2312" w:cs="仿宋_GB2312"/>
          <w:color w:val="000000"/>
          <w:kern w:val="2"/>
          <w:sz w:val="32"/>
          <w:szCs w:val="32"/>
          <w:lang w:val="zh-CN"/>
        </w:rPr>
        <w:t>万元。</w:t>
      </w:r>
    </w:p>
    <w:p>
      <w:pPr>
        <w:keepNext/>
        <w:keepLines/>
        <w:spacing w:line="353" w:lineRule="auto"/>
        <w:ind w:firstLine="640"/>
        <w:jc w:val="both"/>
        <w:rPr>
          <w:rFonts w:ascii="黑体" w:hAnsi="Cambria" w:eastAsia="黑体" w:cs="黑体"/>
          <w:kern w:val="2"/>
          <w:sz w:val="32"/>
          <w:szCs w:val="32"/>
          <w:lang w:val="zh-CN"/>
        </w:rPr>
      </w:pPr>
      <w:r>
        <w:rPr>
          <w:rFonts w:hint="eastAsia" w:ascii="黑体" w:hAnsi="Cambria" w:eastAsia="黑体" w:cs="黑体"/>
          <w:kern w:val="2"/>
          <w:sz w:val="32"/>
          <w:szCs w:val="32"/>
          <w:lang w:val="zh-CN"/>
        </w:rPr>
        <w:t>九、国有资本经营预算支出决算情况说明</w:t>
      </w:r>
    </w:p>
    <w:p>
      <w:pPr>
        <w:spacing w:line="353" w:lineRule="auto"/>
        <w:ind w:firstLine="640"/>
        <w:jc w:val="both"/>
        <w:rPr>
          <w:rFonts w:ascii="仿宋_GB2312" w:hAnsi="Cambria" w:eastAsia="仿宋_GB2312" w:cs="仿宋_GB2312"/>
          <w:color w:val="000000"/>
          <w:kern w:val="2"/>
          <w:sz w:val="32"/>
          <w:szCs w:val="32"/>
          <w:lang w:val="zh-CN"/>
        </w:rPr>
      </w:pPr>
      <w:r>
        <w:rPr>
          <w:rFonts w:ascii="仿宋_GB2312" w:hAnsi="Cambria" w:eastAsia="仿宋_GB2312" w:cs="仿宋_GB2312"/>
          <w:color w:val="000000"/>
          <w:kern w:val="2"/>
          <w:sz w:val="32"/>
          <w:szCs w:val="32"/>
          <w:lang w:val="zh-CN"/>
        </w:rPr>
        <w:t>2022</w:t>
      </w:r>
      <w:r>
        <w:rPr>
          <w:rFonts w:hint="eastAsia" w:ascii="仿宋_GB2312" w:hAnsi="Cambria" w:eastAsia="仿宋_GB2312" w:cs="仿宋_GB2312"/>
          <w:color w:val="000000"/>
          <w:kern w:val="2"/>
          <w:sz w:val="32"/>
          <w:szCs w:val="32"/>
          <w:lang w:val="zh-CN"/>
        </w:rPr>
        <w:t>年国有资本经营预算拨款支出</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万元。</w:t>
      </w:r>
    </w:p>
    <w:p>
      <w:pPr>
        <w:keepNext/>
        <w:keepLines/>
        <w:spacing w:line="353" w:lineRule="auto"/>
        <w:ind w:firstLine="640"/>
        <w:jc w:val="both"/>
        <w:rPr>
          <w:rFonts w:ascii="黑体" w:hAnsi="Cambria" w:eastAsia="黑体" w:cs="黑体"/>
          <w:b/>
          <w:bCs/>
          <w:kern w:val="2"/>
          <w:sz w:val="32"/>
          <w:szCs w:val="32"/>
          <w:lang w:val="zh-CN"/>
        </w:rPr>
      </w:pPr>
      <w:r>
        <w:rPr>
          <w:rFonts w:hint="eastAsia" w:ascii="黑体" w:hAnsi="Cambria" w:eastAsia="黑体" w:cs="黑体"/>
          <w:color w:val="000000"/>
          <w:kern w:val="2"/>
          <w:sz w:val="32"/>
          <w:szCs w:val="32"/>
          <w:lang w:val="zh-CN"/>
        </w:rPr>
        <w:t>十</w:t>
      </w:r>
      <w:r>
        <w:rPr>
          <w:rFonts w:hint="eastAsia" w:ascii="黑体" w:hAnsi="Cambria" w:eastAsia="黑体" w:cs="黑体"/>
          <w:b/>
          <w:bCs/>
          <w:kern w:val="2"/>
          <w:sz w:val="32"/>
          <w:szCs w:val="32"/>
          <w:lang w:val="zh-CN"/>
        </w:rPr>
        <w:t>、</w:t>
      </w:r>
      <w:r>
        <w:rPr>
          <w:rFonts w:hint="eastAsia" w:ascii="黑体" w:hAnsi="Cambria" w:eastAsia="黑体" w:cs="黑体"/>
          <w:kern w:val="2"/>
          <w:sz w:val="32"/>
          <w:szCs w:val="32"/>
          <w:lang w:val="zh-CN"/>
        </w:rPr>
        <w:t>其他重要事项的情况说明</w:t>
      </w:r>
    </w:p>
    <w:p>
      <w:pPr>
        <w:keepNext/>
        <w:keepLines/>
        <w:spacing w:line="353" w:lineRule="auto"/>
        <w:ind w:firstLine="643"/>
        <w:jc w:val="both"/>
        <w:rPr>
          <w:rFonts w:ascii="仿宋_GB2312" w:hAnsi="Cambria" w:eastAsia="仿宋_GB2312" w:cs="仿宋_GB2312"/>
          <w:color w:val="000000"/>
          <w:kern w:val="2"/>
          <w:sz w:val="32"/>
          <w:szCs w:val="32"/>
          <w:lang w:val="zh-CN"/>
        </w:rPr>
      </w:pPr>
      <w:r>
        <w:rPr>
          <w:rFonts w:hint="eastAsia" w:ascii="仿宋_GB2312" w:hAnsi="Cambria" w:eastAsia="仿宋_GB2312" w:cs="仿宋_GB2312"/>
          <w:b/>
          <w:bCs/>
          <w:color w:val="000000"/>
          <w:kern w:val="2"/>
          <w:sz w:val="32"/>
          <w:szCs w:val="32"/>
          <w:lang w:val="zh-CN"/>
        </w:rPr>
        <w:t>（一）机关运行经费支出情况</w:t>
      </w:r>
    </w:p>
    <w:p>
      <w:pPr>
        <w:spacing w:line="353" w:lineRule="auto"/>
        <w:ind w:firstLine="640"/>
        <w:jc w:val="both"/>
        <w:rPr>
          <w:rFonts w:ascii="仿宋_GB2312" w:hAnsi="Cambria" w:eastAsia="仿宋_GB2312" w:cs="仿宋_GB2312"/>
          <w:color w:val="000000"/>
          <w:kern w:val="2"/>
          <w:sz w:val="32"/>
          <w:szCs w:val="32"/>
          <w:lang w:val="zh-CN"/>
        </w:rPr>
      </w:pPr>
      <w:r>
        <w:rPr>
          <w:rFonts w:ascii="仿宋_GB2312" w:hAnsi="Cambria" w:eastAsia="仿宋_GB2312" w:cs="仿宋_GB2312"/>
          <w:color w:val="000000"/>
          <w:kern w:val="2"/>
          <w:sz w:val="32"/>
          <w:szCs w:val="32"/>
          <w:lang w:val="zh-CN"/>
        </w:rPr>
        <w:t>2022</w:t>
      </w:r>
      <w:r>
        <w:rPr>
          <w:rFonts w:hint="eastAsia" w:ascii="仿宋_GB2312" w:hAnsi="Cambria" w:eastAsia="仿宋_GB2312" w:cs="仿宋_GB2312"/>
          <w:color w:val="000000"/>
          <w:kern w:val="2"/>
          <w:sz w:val="32"/>
          <w:szCs w:val="32"/>
          <w:lang w:val="zh-CN"/>
        </w:rPr>
        <w:t>年，攀枝花市东区综合行政执法局机关运行经费支出</w:t>
      </w:r>
      <w:r>
        <w:rPr>
          <w:rFonts w:ascii="仿宋_GB2312" w:hAnsi="Cambria" w:eastAsia="仿宋_GB2312" w:cs="仿宋_GB2312"/>
          <w:color w:val="000000"/>
          <w:kern w:val="2"/>
          <w:sz w:val="32"/>
          <w:szCs w:val="32"/>
          <w:lang w:val="zh-CN"/>
        </w:rPr>
        <w:t>117.02</w:t>
      </w:r>
      <w:r>
        <w:rPr>
          <w:rFonts w:hint="eastAsia" w:ascii="仿宋_GB2312" w:hAnsi="Cambria" w:eastAsia="仿宋_GB2312" w:cs="仿宋_GB2312"/>
          <w:color w:val="000000"/>
          <w:kern w:val="2"/>
          <w:sz w:val="32"/>
          <w:szCs w:val="32"/>
          <w:lang w:val="zh-CN"/>
        </w:rPr>
        <w:t>万元，比</w:t>
      </w:r>
      <w:r>
        <w:rPr>
          <w:rFonts w:ascii="仿宋_GB2312" w:hAnsi="Cambria" w:eastAsia="仿宋_GB2312" w:cs="仿宋_GB2312"/>
          <w:color w:val="000000"/>
          <w:kern w:val="2"/>
          <w:sz w:val="32"/>
          <w:szCs w:val="32"/>
          <w:lang w:val="zh-CN"/>
        </w:rPr>
        <w:t>2021</w:t>
      </w:r>
      <w:r>
        <w:rPr>
          <w:rFonts w:hint="eastAsia" w:ascii="仿宋_GB2312" w:hAnsi="Cambria" w:eastAsia="仿宋_GB2312" w:cs="仿宋_GB2312"/>
          <w:color w:val="000000"/>
          <w:kern w:val="2"/>
          <w:sz w:val="32"/>
          <w:szCs w:val="32"/>
          <w:lang w:val="zh-CN"/>
        </w:rPr>
        <w:t>年增加</w:t>
      </w:r>
      <w:r>
        <w:rPr>
          <w:rFonts w:ascii="仿宋_GB2312" w:hAnsi="Cambria" w:eastAsia="仿宋_GB2312" w:cs="仿宋_GB2312"/>
          <w:color w:val="000000"/>
          <w:kern w:val="2"/>
          <w:sz w:val="32"/>
          <w:szCs w:val="32"/>
          <w:lang w:val="zh-CN"/>
        </w:rPr>
        <w:t>14.32</w:t>
      </w:r>
      <w:r>
        <w:rPr>
          <w:rFonts w:hint="eastAsia" w:ascii="仿宋_GB2312" w:hAnsi="Cambria" w:eastAsia="仿宋_GB2312" w:cs="仿宋_GB2312"/>
          <w:color w:val="000000"/>
          <w:kern w:val="2"/>
          <w:sz w:val="32"/>
          <w:szCs w:val="32"/>
          <w:lang w:val="zh-CN"/>
        </w:rPr>
        <w:t>万元，增长</w:t>
      </w:r>
      <w:r>
        <w:rPr>
          <w:rFonts w:ascii="仿宋_GB2312" w:hAnsi="Cambria" w:eastAsia="仿宋_GB2312" w:cs="仿宋_GB2312"/>
          <w:color w:val="000000"/>
          <w:kern w:val="2"/>
          <w:sz w:val="32"/>
          <w:szCs w:val="32"/>
          <w:lang w:val="zh-CN"/>
        </w:rPr>
        <w:t>13.9%</w:t>
      </w:r>
      <w:r>
        <w:rPr>
          <w:rFonts w:hint="eastAsia" w:ascii="仿宋_GB2312" w:hAnsi="Cambria" w:eastAsia="仿宋_GB2312" w:cs="仿宋_GB2312"/>
          <w:color w:val="000000"/>
          <w:kern w:val="2"/>
          <w:sz w:val="32"/>
          <w:szCs w:val="32"/>
          <w:lang w:val="zh-CN"/>
        </w:rPr>
        <w:t>。主要原因是机构改革人员增加。</w:t>
      </w:r>
    </w:p>
    <w:p>
      <w:pPr>
        <w:keepNext/>
        <w:keepLines/>
        <w:spacing w:line="353" w:lineRule="auto"/>
        <w:ind w:firstLine="643"/>
        <w:jc w:val="both"/>
        <w:rPr>
          <w:rFonts w:ascii="仿宋_GB2312" w:hAnsi="Cambria" w:eastAsia="仿宋_GB2312" w:cs="仿宋_GB2312"/>
          <w:b/>
          <w:bCs/>
          <w:color w:val="000000"/>
          <w:kern w:val="2"/>
          <w:sz w:val="32"/>
          <w:szCs w:val="32"/>
          <w:lang w:val="zh-CN"/>
        </w:rPr>
      </w:pPr>
      <w:r>
        <w:rPr>
          <w:rFonts w:hint="eastAsia" w:ascii="仿宋_GB2312" w:hAnsi="Cambria" w:eastAsia="仿宋_GB2312" w:cs="仿宋_GB2312"/>
          <w:b/>
          <w:bCs/>
          <w:color w:val="000000"/>
          <w:kern w:val="2"/>
          <w:sz w:val="32"/>
          <w:szCs w:val="32"/>
          <w:lang w:val="zh-CN"/>
        </w:rPr>
        <w:t>（二）政府采购支出情况</w:t>
      </w:r>
    </w:p>
    <w:p>
      <w:pPr>
        <w:spacing w:line="353" w:lineRule="auto"/>
        <w:ind w:firstLine="640"/>
        <w:jc w:val="both"/>
        <w:rPr>
          <w:rFonts w:ascii="仿宋_GB2312" w:hAnsi="Cambria" w:eastAsia="仿宋_GB2312" w:cs="仿宋_GB2312"/>
          <w:color w:val="000000"/>
          <w:kern w:val="2"/>
          <w:sz w:val="32"/>
          <w:szCs w:val="32"/>
          <w:lang w:val="zh-CN"/>
        </w:rPr>
      </w:pPr>
      <w:r>
        <w:rPr>
          <w:rFonts w:ascii="仿宋_GB2312" w:hAnsi="Cambria" w:eastAsia="仿宋_GB2312" w:cs="仿宋_GB2312"/>
          <w:color w:val="000000"/>
          <w:kern w:val="2"/>
          <w:sz w:val="32"/>
          <w:szCs w:val="32"/>
          <w:lang w:val="zh-CN"/>
        </w:rPr>
        <w:t>2022</w:t>
      </w:r>
      <w:r>
        <w:rPr>
          <w:rFonts w:hint="eastAsia" w:ascii="仿宋_GB2312" w:hAnsi="Cambria" w:eastAsia="仿宋_GB2312" w:cs="仿宋_GB2312"/>
          <w:color w:val="000000"/>
          <w:kern w:val="2"/>
          <w:sz w:val="32"/>
          <w:szCs w:val="32"/>
          <w:lang w:val="zh-CN"/>
        </w:rPr>
        <w:t>年，攀枝花市东区综合行政执法局政府采购支出总额</w:t>
      </w:r>
      <w:r>
        <w:rPr>
          <w:rFonts w:ascii="仿宋_GB2312" w:hAnsi="Cambria" w:eastAsia="仿宋_GB2312" w:cs="仿宋_GB2312"/>
          <w:color w:val="000000"/>
          <w:kern w:val="2"/>
          <w:sz w:val="32"/>
          <w:szCs w:val="32"/>
          <w:lang w:val="zh-CN"/>
        </w:rPr>
        <w:t>3.34</w:t>
      </w:r>
      <w:r>
        <w:rPr>
          <w:rFonts w:hint="eastAsia" w:ascii="仿宋_GB2312" w:hAnsi="Cambria" w:eastAsia="仿宋_GB2312" w:cs="仿宋_GB2312"/>
          <w:color w:val="000000"/>
          <w:kern w:val="2"/>
          <w:sz w:val="32"/>
          <w:szCs w:val="32"/>
          <w:lang w:val="zh-CN"/>
        </w:rPr>
        <w:t>万元，其中：政府采购货物支出</w:t>
      </w:r>
      <w:r>
        <w:rPr>
          <w:rFonts w:ascii="仿宋_GB2312" w:hAnsi="Cambria" w:eastAsia="仿宋_GB2312" w:cs="仿宋_GB2312"/>
          <w:color w:val="000000"/>
          <w:kern w:val="2"/>
          <w:sz w:val="32"/>
          <w:szCs w:val="32"/>
          <w:lang w:val="zh-CN"/>
        </w:rPr>
        <w:t>3.34</w:t>
      </w:r>
      <w:r>
        <w:rPr>
          <w:rFonts w:hint="eastAsia" w:ascii="仿宋_GB2312" w:hAnsi="Cambria" w:eastAsia="仿宋_GB2312" w:cs="仿宋_GB2312"/>
          <w:color w:val="000000"/>
          <w:kern w:val="2"/>
          <w:sz w:val="32"/>
          <w:szCs w:val="32"/>
          <w:lang w:val="zh-CN"/>
        </w:rPr>
        <w:t>万元、政府采购工程支出</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万元、政府采购服务支出</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万元。主要用于本局工作的正常运转</w:t>
      </w:r>
      <w:r>
        <w:rPr>
          <w:rFonts w:hint="eastAsia" w:ascii="仿宋_GB2312" w:hAnsi="Cambria" w:eastAsia="仿宋_GB2312" w:cs="仿宋_GB2312"/>
          <w:color w:val="000000"/>
          <w:kern w:val="2"/>
          <w:sz w:val="32"/>
          <w:szCs w:val="32"/>
          <w:highlight w:val="white"/>
          <w:lang w:val="zh-CN"/>
        </w:rPr>
        <w:t>。</w:t>
      </w:r>
      <w:r>
        <w:rPr>
          <w:rFonts w:hint="eastAsia" w:ascii="仿宋_GB2312" w:hAnsi="Cambria" w:eastAsia="仿宋_GB2312" w:cs="仿宋_GB2312"/>
          <w:color w:val="000000"/>
          <w:kern w:val="2"/>
          <w:sz w:val="32"/>
          <w:szCs w:val="32"/>
          <w:lang w:val="zh-CN"/>
        </w:rPr>
        <w:t>授予中小企业合同金额</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万元，占政府采购支出总额的</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，其中：授予小微企业合同金额</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万元，</w:t>
      </w:r>
      <w:r>
        <w:rPr>
          <w:rFonts w:hint="eastAsia" w:ascii="仿宋_GB2312" w:hAnsi="Cambria" w:eastAsia="仿宋_GB2312" w:cs="仿宋_GB2312"/>
          <w:kern w:val="2"/>
          <w:sz w:val="32"/>
          <w:szCs w:val="32"/>
        </w:rPr>
        <w:t>占政府采购支出总额的</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w:t>
      </w:r>
    </w:p>
    <w:p>
      <w:pPr>
        <w:keepNext/>
        <w:keepLines/>
        <w:spacing w:line="353" w:lineRule="auto"/>
        <w:ind w:firstLine="643"/>
        <w:jc w:val="both"/>
        <w:rPr>
          <w:rFonts w:ascii="仿宋_GB2312" w:hAnsi="Cambria" w:eastAsia="仿宋_GB2312" w:cs="仿宋_GB2312"/>
          <w:b/>
          <w:bCs/>
          <w:color w:val="000000"/>
          <w:kern w:val="2"/>
          <w:sz w:val="32"/>
          <w:szCs w:val="32"/>
          <w:lang w:val="zh-CN"/>
        </w:rPr>
      </w:pPr>
      <w:r>
        <w:rPr>
          <w:rFonts w:hint="eastAsia" w:ascii="仿宋_GB2312" w:hAnsi="Cambria" w:eastAsia="仿宋_GB2312" w:cs="仿宋_GB2312"/>
          <w:b/>
          <w:bCs/>
          <w:color w:val="000000"/>
          <w:kern w:val="2"/>
          <w:sz w:val="32"/>
          <w:szCs w:val="32"/>
          <w:lang w:val="zh-CN"/>
        </w:rPr>
        <w:t>（三）国有资产占有使用情况</w:t>
      </w:r>
    </w:p>
    <w:p>
      <w:pPr>
        <w:spacing w:line="353" w:lineRule="auto"/>
        <w:ind w:firstLine="640"/>
        <w:rPr>
          <w:rFonts w:ascii="仿宋_GB2312" w:hAnsi="Cambria" w:eastAsia="仿宋_GB2312" w:cs="仿宋_GB2312"/>
          <w:color w:val="000000"/>
          <w:kern w:val="2"/>
          <w:sz w:val="32"/>
          <w:szCs w:val="32"/>
          <w:lang w:val="zh-CN"/>
        </w:rPr>
      </w:pPr>
      <w:r>
        <w:rPr>
          <w:rFonts w:hint="eastAsia" w:ascii="仿宋_GB2312" w:hAnsi="Cambria" w:eastAsia="仿宋_GB2312" w:cs="仿宋_GB2312"/>
          <w:color w:val="000000"/>
          <w:kern w:val="2"/>
          <w:sz w:val="32"/>
          <w:szCs w:val="32"/>
          <w:lang w:val="zh-CN"/>
        </w:rPr>
        <w:t>截至</w:t>
      </w:r>
      <w:r>
        <w:rPr>
          <w:rFonts w:ascii="仿宋_GB2312" w:hAnsi="Cambria" w:eastAsia="仿宋_GB2312" w:cs="仿宋_GB2312"/>
          <w:color w:val="000000"/>
          <w:kern w:val="2"/>
          <w:sz w:val="32"/>
          <w:szCs w:val="32"/>
          <w:lang w:val="zh-CN"/>
        </w:rPr>
        <w:t>2022</w:t>
      </w:r>
      <w:r>
        <w:rPr>
          <w:rFonts w:hint="eastAsia" w:ascii="仿宋_GB2312" w:hAnsi="Cambria" w:eastAsia="仿宋_GB2312" w:cs="仿宋_GB2312"/>
          <w:color w:val="000000"/>
          <w:kern w:val="2"/>
          <w:sz w:val="32"/>
          <w:szCs w:val="32"/>
          <w:lang w:val="zh-CN"/>
        </w:rPr>
        <w:t>年</w:t>
      </w:r>
      <w:r>
        <w:rPr>
          <w:rFonts w:ascii="仿宋_GB2312" w:hAnsi="Cambria" w:eastAsia="仿宋_GB2312" w:cs="仿宋_GB2312"/>
          <w:color w:val="000000"/>
          <w:kern w:val="2"/>
          <w:sz w:val="32"/>
          <w:szCs w:val="32"/>
          <w:lang w:val="zh-CN"/>
        </w:rPr>
        <w:t>12</w:t>
      </w:r>
      <w:r>
        <w:rPr>
          <w:rFonts w:hint="eastAsia" w:ascii="仿宋_GB2312" w:hAnsi="Cambria" w:eastAsia="仿宋_GB2312" w:cs="仿宋_GB2312"/>
          <w:color w:val="000000"/>
          <w:kern w:val="2"/>
          <w:sz w:val="32"/>
          <w:szCs w:val="32"/>
          <w:lang w:val="zh-CN"/>
        </w:rPr>
        <w:t>月</w:t>
      </w:r>
      <w:r>
        <w:rPr>
          <w:rFonts w:ascii="仿宋_GB2312" w:hAnsi="Cambria" w:eastAsia="仿宋_GB2312" w:cs="仿宋_GB2312"/>
          <w:color w:val="000000"/>
          <w:kern w:val="2"/>
          <w:sz w:val="32"/>
          <w:szCs w:val="32"/>
          <w:lang w:val="zh-CN"/>
        </w:rPr>
        <w:t>31</w:t>
      </w:r>
      <w:r>
        <w:rPr>
          <w:rFonts w:hint="eastAsia" w:ascii="仿宋_GB2312" w:hAnsi="Cambria" w:eastAsia="仿宋_GB2312" w:cs="仿宋_GB2312"/>
          <w:color w:val="000000"/>
          <w:kern w:val="2"/>
          <w:sz w:val="32"/>
          <w:szCs w:val="32"/>
          <w:lang w:val="zh-CN"/>
        </w:rPr>
        <w:t>日，攀枝花市东区综合行政执法局共有车辆</w:t>
      </w:r>
      <w:r>
        <w:rPr>
          <w:rFonts w:ascii="仿宋_GB2312" w:hAnsi="Cambria" w:eastAsia="仿宋_GB2312" w:cs="仿宋_GB2312"/>
          <w:color w:val="000000"/>
          <w:kern w:val="2"/>
          <w:sz w:val="32"/>
          <w:szCs w:val="32"/>
          <w:lang w:val="zh-CN"/>
        </w:rPr>
        <w:t>2</w:t>
      </w:r>
      <w:r>
        <w:rPr>
          <w:rFonts w:hint="eastAsia" w:ascii="仿宋_GB2312" w:hAnsi="Cambria" w:eastAsia="仿宋_GB2312" w:cs="仿宋_GB2312"/>
          <w:color w:val="000000"/>
          <w:kern w:val="2"/>
          <w:sz w:val="32"/>
          <w:szCs w:val="32"/>
          <w:lang w:val="zh-CN"/>
        </w:rPr>
        <w:t>辆，其中：副部（省）级及以上领导用车</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辆、主要领导干部用车</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辆、机要通信用车</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辆、应急保障用车</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辆、执法执勤用车</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辆、特种专业技术用车</w:t>
      </w:r>
      <w:r>
        <w:rPr>
          <w:rFonts w:ascii="仿宋_GB2312" w:hAnsi="Cambria" w:eastAsia="仿宋_GB2312" w:cs="仿宋_GB2312"/>
          <w:color w:val="000000"/>
          <w:kern w:val="2"/>
          <w:sz w:val="32"/>
          <w:szCs w:val="32"/>
          <w:lang w:val="zh-CN"/>
        </w:rPr>
        <w:t>2</w:t>
      </w:r>
      <w:r>
        <w:rPr>
          <w:rFonts w:hint="eastAsia" w:ascii="仿宋_GB2312" w:hAnsi="Cambria" w:eastAsia="仿宋_GB2312" w:cs="仿宋_GB2312"/>
          <w:color w:val="000000"/>
          <w:kern w:val="2"/>
          <w:sz w:val="32"/>
          <w:szCs w:val="32"/>
          <w:lang w:val="zh-CN"/>
        </w:rPr>
        <w:t>辆、离退休干部用车</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辆、其他用车</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辆。单价</w:t>
      </w:r>
      <w:r>
        <w:rPr>
          <w:rFonts w:ascii="仿宋_GB2312" w:hAnsi="Cambria" w:eastAsia="仿宋_GB2312" w:cs="仿宋_GB2312"/>
          <w:color w:val="000000"/>
          <w:kern w:val="2"/>
          <w:sz w:val="32"/>
          <w:szCs w:val="32"/>
          <w:lang w:val="zh-CN"/>
        </w:rPr>
        <w:t>100</w:t>
      </w:r>
      <w:r>
        <w:rPr>
          <w:rFonts w:hint="eastAsia" w:ascii="仿宋_GB2312" w:hAnsi="Cambria" w:eastAsia="仿宋_GB2312" w:cs="仿宋_GB2312"/>
          <w:color w:val="000000"/>
          <w:kern w:val="2"/>
          <w:sz w:val="32"/>
          <w:szCs w:val="32"/>
          <w:lang w:val="zh-CN"/>
        </w:rPr>
        <w:t>万元（含）以上设备</w:t>
      </w:r>
      <w:r>
        <w:rPr>
          <w:rFonts w:ascii="仿宋_GB2312" w:hAnsi="Cambria" w:eastAsia="仿宋_GB2312" w:cs="仿宋_GB2312"/>
          <w:color w:val="000000"/>
          <w:kern w:val="2"/>
          <w:sz w:val="32"/>
          <w:szCs w:val="32"/>
          <w:lang w:val="zh-CN"/>
        </w:rPr>
        <w:t>0</w:t>
      </w:r>
      <w:r>
        <w:rPr>
          <w:rFonts w:hint="eastAsia" w:ascii="仿宋_GB2312" w:hAnsi="Cambria" w:eastAsia="仿宋_GB2312" w:cs="仿宋_GB2312"/>
          <w:color w:val="000000"/>
          <w:kern w:val="2"/>
          <w:sz w:val="32"/>
          <w:szCs w:val="32"/>
          <w:lang w:val="zh-CN"/>
        </w:rPr>
        <w:t>台（套</w:t>
      </w:r>
      <w:r>
        <w:rPr>
          <w:rFonts w:ascii="仿宋_GB2312" w:hAnsi="Cambria" w:eastAsia="仿宋_GB2312" w:cs="仿宋_GB2312"/>
          <w:color w:val="000000"/>
          <w:kern w:val="2"/>
          <w:sz w:val="32"/>
          <w:szCs w:val="32"/>
          <w:lang w:val="zh-CN"/>
        </w:rPr>
        <w:t>)</w:t>
      </w:r>
      <w:r>
        <w:rPr>
          <w:rFonts w:hint="eastAsia" w:ascii="仿宋_GB2312" w:hAnsi="Cambria" w:eastAsia="仿宋_GB2312" w:cs="仿宋_GB2312"/>
          <w:color w:val="000000"/>
          <w:kern w:val="2"/>
          <w:sz w:val="32"/>
          <w:szCs w:val="32"/>
          <w:lang w:val="zh-CN"/>
        </w:rPr>
        <w:t>。</w:t>
      </w:r>
    </w:p>
    <w:p>
      <w:pPr>
        <w:keepNext/>
        <w:keepLines/>
        <w:spacing w:line="353" w:lineRule="auto"/>
        <w:ind w:firstLine="643"/>
        <w:jc w:val="both"/>
        <w:rPr>
          <w:rFonts w:ascii="仿宋_GB2312" w:hAnsi="Cambria" w:eastAsia="仿宋_GB2312" w:cs="仿宋_GB2312"/>
          <w:b/>
          <w:bCs/>
          <w:color w:val="000000" w:themeColor="text1"/>
          <w:kern w:val="2"/>
          <w:sz w:val="32"/>
          <w:szCs w:val="32"/>
          <w:lang w:val="zh-CN"/>
        </w:rPr>
      </w:pPr>
      <w:r>
        <w:rPr>
          <w:rFonts w:hint="eastAsia" w:ascii="仿宋_GB2312" w:hAnsi="Cambria" w:eastAsia="仿宋_GB2312" w:cs="仿宋_GB2312"/>
          <w:b/>
          <w:bCs/>
          <w:color w:val="000000" w:themeColor="text1"/>
          <w:kern w:val="2"/>
          <w:sz w:val="32"/>
          <w:szCs w:val="32"/>
          <w:lang w:val="zh-CN"/>
        </w:rPr>
        <w:t>（四）预算绩效管理情况。</w:t>
      </w:r>
    </w:p>
    <w:p>
      <w:pPr>
        <w:spacing w:line="353" w:lineRule="auto"/>
        <w:ind w:firstLine="640"/>
        <w:jc w:val="both"/>
        <w:rPr>
          <w:rFonts w:ascii="仿宋_GB2312" w:hAnsi="Cambria" w:eastAsia="仿宋_GB2312" w:cs="仿宋_GB2312"/>
          <w:color w:val="000000" w:themeColor="text1"/>
          <w:kern w:val="2"/>
          <w:sz w:val="32"/>
          <w:szCs w:val="32"/>
        </w:rPr>
      </w:pPr>
      <w:r>
        <w:rPr>
          <w:rFonts w:hint="eastAsia" w:ascii="仿宋_GB2312" w:hAnsi="Cambria" w:eastAsia="仿宋_GB2312" w:cs="仿宋_GB2312"/>
          <w:color w:val="000000" w:themeColor="text1"/>
          <w:kern w:val="2"/>
          <w:sz w:val="32"/>
          <w:szCs w:val="32"/>
        </w:rPr>
        <w:t>根据预算绩效管理要求，本部门在</w:t>
      </w:r>
      <w:r>
        <w:rPr>
          <w:rFonts w:ascii="仿宋_GB2312" w:hAnsi="Cambria" w:eastAsia="仿宋_GB2312" w:cs="仿宋_GB2312"/>
          <w:color w:val="000000" w:themeColor="text1"/>
          <w:kern w:val="2"/>
          <w:sz w:val="32"/>
          <w:szCs w:val="32"/>
        </w:rPr>
        <w:t>2022</w:t>
      </w:r>
      <w:r>
        <w:rPr>
          <w:rFonts w:hint="eastAsia" w:ascii="仿宋_GB2312" w:hAnsi="Cambria" w:eastAsia="仿宋_GB2312" w:cs="仿宋_GB2312"/>
          <w:color w:val="000000" w:themeColor="text1"/>
          <w:kern w:val="2"/>
          <w:sz w:val="32"/>
          <w:szCs w:val="32"/>
        </w:rPr>
        <w:t>年度预算编制阶段，组织对城管执法外勤补助、保险、培训；职工食堂经费补助；数字化城管运转经费；市容秩序治理经费；节日环境整治经费；每年组织2次石油液化气安全培训；建国70周年环境整治项目余款；综合执法工作经费；2015年煤气管网建设经费；其他环境整治；市城管监察支队和规建监察支队下沉人员经费等11个项目开展了预算事前绩效评估，对11个项目编制了绩效目标，预算执行过程中，选取11个项目开展绩效监控。</w:t>
      </w:r>
    </w:p>
    <w:p>
      <w:pPr>
        <w:spacing w:line="353" w:lineRule="auto"/>
        <w:ind w:firstLine="643"/>
        <w:jc w:val="both"/>
        <w:rPr>
          <w:rFonts w:ascii="仿宋_GB2312" w:hAnsi="Cambria" w:eastAsia="仿宋_GB2312" w:cs="仿宋_GB2312"/>
          <w:b/>
          <w:bCs/>
          <w:color w:val="000000"/>
          <w:kern w:val="2"/>
          <w:sz w:val="32"/>
          <w:szCs w:val="32"/>
          <w:lang w:val="zh-CN"/>
        </w:rPr>
      </w:pPr>
      <w:r>
        <w:rPr>
          <w:rFonts w:hint="eastAsia" w:ascii="仿宋_GB2312" w:hAnsi="Cambria" w:eastAsia="仿宋_GB2312" w:cs="仿宋_GB2312"/>
          <w:color w:val="000000" w:themeColor="text1"/>
          <w:kern w:val="2"/>
          <w:sz w:val="32"/>
          <w:szCs w:val="32"/>
        </w:rPr>
        <w:t>组织对</w:t>
      </w:r>
      <w:r>
        <w:rPr>
          <w:rFonts w:ascii="仿宋_GB2312" w:hAnsi="Cambria" w:eastAsia="仿宋_GB2312" w:cs="仿宋_GB2312"/>
          <w:color w:val="000000" w:themeColor="text1"/>
          <w:kern w:val="2"/>
          <w:sz w:val="32"/>
          <w:szCs w:val="32"/>
        </w:rPr>
        <w:t>2022</w:t>
      </w:r>
      <w:r>
        <w:rPr>
          <w:rFonts w:hint="eastAsia" w:ascii="仿宋_GB2312" w:hAnsi="Cambria" w:eastAsia="仿宋_GB2312" w:cs="仿宋_GB2312"/>
          <w:color w:val="000000" w:themeColor="text1"/>
          <w:kern w:val="2"/>
          <w:sz w:val="32"/>
          <w:szCs w:val="32"/>
        </w:rPr>
        <w:t>年度一般公共预算、政府性基金预算、国有资本经营预算、社会保险基金预算以及资本资产、债券资金等全面开展绩效自评，形成攀枝花市东区综合行政执法局部门整体（含部门预算项目）绩效自评报告城管执法外勤补助、保险、培训；职工食堂经费补助；数字化城管运转经费；市容秩序治理经费；节日环境整治经费；每年组织2次石油液化气安全培训；建国70周年环境整治项目余款；综合执法工作经费；2015年煤气管网建设经费；其他环境整治；市城管监察支队和规建监察支队下沉人员经费等预算项目绩效自评报告，其中，攀枝花市东区综合行政执法局部门整体（含部门预算项目）绩效自评得分为95分，绩效自评综述：</w:t>
      </w:r>
      <w:r>
        <w:rPr>
          <w:rFonts w:ascii="Times New Roman" w:hAnsi="Times New Roman" w:eastAsia="仿宋_GB2312" w:cs="Times New Roman"/>
          <w:color w:val="000000" w:themeColor="text1"/>
          <w:sz w:val="32"/>
          <w:szCs w:val="32"/>
        </w:rPr>
        <w:t>结</w:t>
      </w:r>
      <w:r>
        <w:rPr>
          <w:rFonts w:ascii="Times New Roman" w:hAnsi="Times New Roman" w:eastAsia="仿宋_GB2312" w:cs="Times New Roman"/>
          <w:sz w:val="32"/>
          <w:szCs w:val="32"/>
        </w:rPr>
        <w:t>合我局实际情况建立健全了财务管理制度和约束机制，项目预算、资金拨付严格执行财务管理制度，保证专款专用。财务人员按照相关规定进行资金的审核、支付和核算，财务处理及时，会计核算规范</w:t>
      </w:r>
      <w:r>
        <w:rPr>
          <w:rFonts w:hint="eastAsia" w:ascii="仿宋_GB2312" w:hAnsi="Cambria" w:eastAsia="仿宋_GB2312" w:cs="仿宋_GB2312"/>
          <w:color w:val="000000" w:themeColor="text1"/>
          <w:kern w:val="2"/>
          <w:sz w:val="32"/>
          <w:szCs w:val="32"/>
        </w:rPr>
        <w:t>。绩效自评报告详</w:t>
      </w:r>
      <w:r>
        <w:rPr>
          <w:rFonts w:hint="eastAsia" w:ascii="仿宋_GB2312" w:hAnsi="Cambria" w:eastAsia="仿宋_GB2312" w:cs="仿宋_GB2312"/>
          <w:kern w:val="2"/>
          <w:sz w:val="32"/>
          <w:szCs w:val="32"/>
        </w:rPr>
        <w:t>见附件。（第四部分）</w:t>
      </w:r>
      <w:r>
        <w:rPr>
          <w:rFonts w:ascii="仿宋_GB2312" w:hAnsi="Cambria" w:eastAsia="仿宋_GB2312" w:cs="仿宋_GB2312"/>
          <w:b/>
          <w:bCs/>
          <w:color w:val="000000"/>
          <w:kern w:val="2"/>
          <w:sz w:val="32"/>
          <w:szCs w:val="32"/>
          <w:lang w:val="zh-CN"/>
        </w:rPr>
        <w:br w:type="page"/>
      </w:r>
    </w:p>
    <w:p>
      <w:pPr>
        <w:keepNext/>
        <w:keepLines/>
        <w:spacing w:line="353" w:lineRule="auto"/>
        <w:jc w:val="center"/>
        <w:rPr>
          <w:rFonts w:ascii="黑体" w:hAnsi="Cambria" w:eastAsia="黑体" w:cs="黑体"/>
          <w:kern w:val="44"/>
          <w:sz w:val="44"/>
          <w:szCs w:val="44"/>
          <w:lang w:val="zh-CN"/>
        </w:rPr>
      </w:pPr>
      <w:r>
        <w:rPr>
          <w:rFonts w:hint="eastAsia" w:ascii="黑体" w:hAnsi="Cambria" w:eastAsia="黑体" w:cs="黑体"/>
          <w:color w:val="000000"/>
          <w:kern w:val="2"/>
          <w:sz w:val="44"/>
          <w:szCs w:val="44"/>
          <w:lang w:val="zh-CN"/>
        </w:rPr>
        <w:t>第三部分</w:t>
      </w:r>
      <w:r>
        <w:rPr>
          <w:rFonts w:ascii="黑体" w:hAnsi="Cambria" w:eastAsia="黑体" w:cs="黑体"/>
          <w:color w:val="000000"/>
          <w:kern w:val="2"/>
          <w:sz w:val="44"/>
          <w:szCs w:val="44"/>
          <w:lang w:val="zh-CN"/>
        </w:rPr>
        <w:t xml:space="preserve"> </w:t>
      </w:r>
      <w:r>
        <w:rPr>
          <w:rFonts w:hint="eastAsia" w:ascii="黑体" w:hAnsi="Cambria" w:eastAsia="黑体" w:cs="黑体"/>
          <w:color w:val="000000"/>
          <w:kern w:val="2"/>
          <w:sz w:val="44"/>
          <w:szCs w:val="44"/>
          <w:lang w:val="zh-CN"/>
        </w:rPr>
        <w:t>名</w:t>
      </w:r>
      <w:r>
        <w:rPr>
          <w:rFonts w:hint="eastAsia" w:ascii="黑体" w:hAnsi="Cambria" w:eastAsia="黑体" w:cs="黑体"/>
          <w:kern w:val="44"/>
          <w:sz w:val="44"/>
          <w:szCs w:val="44"/>
          <w:lang w:val="zh-CN"/>
        </w:rPr>
        <w:t>词解释</w:t>
      </w:r>
    </w:p>
    <w:p>
      <w:pPr>
        <w:spacing w:line="353" w:lineRule="auto"/>
        <w:ind w:firstLine="640"/>
        <w:rPr>
          <w:rFonts w:ascii="仿宋_GB2312" w:hAnsi="Cambria" w:eastAsia="仿宋_GB2312" w:cs="仿宋_GB2312"/>
          <w:color w:val="000000"/>
          <w:sz w:val="32"/>
          <w:szCs w:val="32"/>
        </w:rPr>
      </w:pPr>
      <w:r>
        <w:rPr>
          <w:rFonts w:ascii="仿宋_GB2312" w:hAnsi="Cambria" w:eastAsia="仿宋_GB2312" w:cs="仿宋_GB2312"/>
          <w:color w:val="000000"/>
          <w:sz w:val="32"/>
          <w:szCs w:val="32"/>
        </w:rPr>
        <w:t>1.</w:t>
      </w:r>
      <w:r>
        <w:rPr>
          <w:rFonts w:hint="eastAsia" w:ascii="仿宋_GB2312" w:hAnsi="Cambria" w:eastAsia="仿宋_GB2312" w:cs="仿宋_GB2312"/>
          <w:color w:val="000000"/>
          <w:sz w:val="32"/>
          <w:szCs w:val="32"/>
        </w:rPr>
        <w:t>财政拨款收入：指单位从同级财政部门取得的财政预算资金。</w:t>
      </w:r>
    </w:p>
    <w:p>
      <w:pPr>
        <w:spacing w:line="353" w:lineRule="auto"/>
        <w:ind w:firstLine="640"/>
        <w:rPr>
          <w:rFonts w:ascii="仿宋_GB2312" w:hAnsi="Cambria" w:eastAsia="仿宋_GB2312" w:cs="仿宋_GB2312"/>
          <w:color w:val="000000"/>
          <w:sz w:val="32"/>
          <w:szCs w:val="32"/>
        </w:rPr>
      </w:pPr>
      <w:r>
        <w:rPr>
          <w:rFonts w:ascii="仿宋_GB2312" w:hAnsi="Cambria" w:eastAsia="仿宋_GB2312" w:cs="仿宋_GB2312"/>
          <w:color w:val="000000"/>
          <w:sz w:val="32"/>
          <w:szCs w:val="32"/>
        </w:rPr>
        <w:t>2.</w:t>
      </w:r>
      <w:r>
        <w:rPr>
          <w:rFonts w:hint="eastAsia" w:ascii="仿宋_GB2312" w:hAnsi="Cambria" w:eastAsia="仿宋_GB2312" w:cs="仿宋_GB2312"/>
          <w:color w:val="000000"/>
          <w:sz w:val="32"/>
          <w:szCs w:val="32"/>
        </w:rPr>
        <w:t>事业收入：指事业单位开展专业业务活动及辅助活动取得的收入。</w:t>
      </w:r>
    </w:p>
    <w:p>
      <w:pPr>
        <w:spacing w:line="353" w:lineRule="auto"/>
        <w:ind w:firstLine="640"/>
        <w:rPr>
          <w:rFonts w:ascii="仿宋_GB2312" w:hAnsi="Cambria" w:eastAsia="仿宋_GB2312" w:cs="仿宋_GB2312"/>
          <w:color w:val="000000"/>
          <w:sz w:val="32"/>
          <w:szCs w:val="32"/>
        </w:rPr>
      </w:pPr>
      <w:r>
        <w:rPr>
          <w:rFonts w:ascii="仿宋_GB2312" w:hAnsi="Cambria" w:eastAsia="仿宋_GB2312" w:cs="仿宋_GB2312"/>
          <w:color w:val="000000"/>
          <w:sz w:val="32"/>
          <w:szCs w:val="32"/>
        </w:rPr>
        <w:t>3.</w:t>
      </w:r>
      <w:r>
        <w:rPr>
          <w:rFonts w:hint="eastAsia" w:ascii="仿宋_GB2312" w:hAnsi="Cambria" w:eastAsia="仿宋_GB2312" w:cs="仿宋_GB2312"/>
          <w:color w:val="000000"/>
          <w:sz w:val="32"/>
          <w:szCs w:val="32"/>
        </w:rPr>
        <w:t>经营收入：指事业单位在专业业务活动及其辅助活动之外开展非独立核算经营活动取得的收入。</w:t>
      </w:r>
    </w:p>
    <w:p>
      <w:pPr>
        <w:pStyle w:val="19"/>
        <w:spacing w:line="353" w:lineRule="auto"/>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19"/>
        <w:spacing w:line="353"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5</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年初结转和结余：指以前年度尚未完成、结转到本年按有关规定继续使用的资金。</w:t>
      </w:r>
      <w:r>
        <w:rPr>
          <w:rFonts w:ascii="仿宋_GB2312" w:hAnsi="仿宋_GB2312" w:eastAsia="仿宋_GB2312" w:cs="仿宋_GB2312"/>
          <w:color w:val="auto"/>
          <w:kern w:val="2"/>
          <w:sz w:val="32"/>
          <w:szCs w:val="32"/>
        </w:rPr>
        <w:t xml:space="preserve"> </w:t>
      </w:r>
    </w:p>
    <w:p>
      <w:pPr>
        <w:pStyle w:val="19"/>
        <w:spacing w:line="353"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6</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结余分配：指事业单位按照会计制度规定缴纳的所得税、提取的专用结余以及转入非财政拨款结余的金额等。</w:t>
      </w:r>
    </w:p>
    <w:p>
      <w:pPr>
        <w:pStyle w:val="19"/>
        <w:spacing w:line="353"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7.年末结转和结余：指单位按有关规定结转到下年或以后年度继续使用的资金。</w:t>
      </w:r>
    </w:p>
    <w:p>
      <w:pPr>
        <w:pStyle w:val="19"/>
        <w:spacing w:line="353"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8.社会保障和就业（类）行政事业单位离退休（款）行政单位离退休（项）：指反映行政单位（包括实行公务员管理的事业单位）开支的离退休经费。</w:t>
      </w:r>
    </w:p>
    <w:p>
      <w:pPr>
        <w:pStyle w:val="19"/>
        <w:spacing w:line="353"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9. 社会保障和就业（类）行政事业单位离退休（款）机关事业单位职业年金缴费支出（项）：指反映机关事业单位实施养老保险制度由单位缴纳的职业年金支出。</w:t>
      </w:r>
    </w:p>
    <w:p>
      <w:pPr>
        <w:pStyle w:val="19"/>
        <w:spacing w:line="353"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10. 社会保障和就业（类）行政事业单位离退休（款）机关事业单位基本养老保险缴费支出（项）：指反映机关事业单位实施养老保险制度由单位缴纳的基本养老保险支出。</w:t>
      </w:r>
    </w:p>
    <w:p>
      <w:pPr>
        <w:pStyle w:val="19"/>
        <w:spacing w:line="353"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11.卫生健康支出（类）行政事业单位医疗（款）行政单位医疗（项）：指区机关及参公管理事业单位用于缴纳单位基本医疗保险支出。</w:t>
      </w:r>
    </w:p>
    <w:p>
      <w:pPr>
        <w:pStyle w:val="19"/>
        <w:spacing w:line="353"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12．卫生健康支出（类）行政事业单位医疗（款）公务员医疗补助（项）:指反映财政部门安排的公务员医疗补助经费。</w:t>
      </w:r>
    </w:p>
    <w:p>
      <w:pPr>
        <w:pStyle w:val="19"/>
        <w:spacing w:line="353"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13．城乡社区支出（类）城乡社区管理事务（款）行政运行（项）:指反映行政单位（包括实行公务员管理的事业单位）的基本支出。</w:t>
      </w:r>
    </w:p>
    <w:p>
      <w:pPr>
        <w:pStyle w:val="19"/>
        <w:spacing w:line="353"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14.城乡社区支出（类）城乡社区管理事务（款）一般行政管理事务（项）:反映为行政单位（包括实行公务员管理的事业单位）未单独设置项级科目的其他项目支出。</w:t>
      </w:r>
    </w:p>
    <w:p>
      <w:pPr>
        <w:pStyle w:val="19"/>
        <w:spacing w:line="353"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15．城乡社区支出（类）城乡社区管理事务（款）城管执法（项）:指反映城市管理综合行政执法、加强城市市容和环境卫生管理等方面的支出。</w:t>
      </w:r>
    </w:p>
    <w:p>
      <w:pPr>
        <w:pStyle w:val="19"/>
        <w:spacing w:line="353"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16.城乡社区支出（类）国有土地使用权出让收入安排的支出（款）土地开发支出（项）:指反映新疆生活建设兵团和地方政府用于前期土地开发性支出以及与前期土地开发相关的费用等支出。</w:t>
      </w:r>
    </w:p>
    <w:p>
      <w:pPr>
        <w:pStyle w:val="19"/>
        <w:spacing w:line="353"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17．住房保障支出（类）住房改革支出（款）住房公积金（项）:指反映行政事业单位按人力资源和社区保障部、财政部规定的基本工资和津贴补贴以及规定比例为职工缴纳的住房公积金。</w:t>
      </w:r>
    </w:p>
    <w:p>
      <w:pPr>
        <w:pStyle w:val="19"/>
        <w:spacing w:line="353"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18</w:t>
      </w:r>
      <w:r>
        <w:rPr>
          <w:rFonts w:ascii="仿宋_GB2312" w:hAnsi="仿宋_GB2312" w:eastAsia="仿宋_GB2312" w:cs="仿宋_GB2312"/>
          <w:color w:val="auto"/>
          <w:kern w:val="2"/>
          <w:sz w:val="32"/>
          <w:szCs w:val="32"/>
        </w:rPr>
        <w:t>.其他支出（类）其他支出（款）其他支出（项）：反映除上述项目以外其他不能划分到具体功能科目中的支出项目。</w:t>
      </w:r>
    </w:p>
    <w:p>
      <w:pPr>
        <w:pStyle w:val="19"/>
        <w:spacing w:line="353"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19</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基本支出：指为保障机构正常运转、完成日常工作任务而发生的人员支出和公用支出。</w:t>
      </w:r>
    </w:p>
    <w:p>
      <w:pPr>
        <w:pStyle w:val="19"/>
        <w:spacing w:line="353"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项目支出：指在基本支出之外为完成特定行政任务和事业发展目标所发生的支出。</w:t>
      </w:r>
      <w:r>
        <w:rPr>
          <w:rFonts w:ascii="仿宋_GB2312" w:hAnsi="仿宋_GB2312" w:eastAsia="仿宋_GB2312" w:cs="仿宋_GB2312"/>
          <w:color w:val="auto"/>
          <w:kern w:val="2"/>
          <w:sz w:val="32"/>
          <w:szCs w:val="32"/>
        </w:rPr>
        <w:t xml:space="preserve"> </w:t>
      </w:r>
    </w:p>
    <w:p>
      <w:pPr>
        <w:pStyle w:val="19"/>
        <w:spacing w:line="353" w:lineRule="auto"/>
        <w:ind w:firstLine="640"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2</w:t>
      </w:r>
      <w:r>
        <w:rPr>
          <w:rFonts w:hint="eastAsia" w:ascii="仿宋_GB2312" w:hAnsi="仿宋_GB2312" w:eastAsia="仿宋_GB2312" w:cs="仿宋_GB2312"/>
          <w:color w:val="auto"/>
          <w:kern w:val="2"/>
          <w:sz w:val="32"/>
          <w:szCs w:val="32"/>
        </w:rPr>
        <w:t>1</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经营支出：指事业单位在专业业务活动及其辅助活动之外开展非独立核算经营活动发生的支出。</w:t>
      </w:r>
    </w:p>
    <w:p>
      <w:pPr>
        <w:pStyle w:val="19"/>
        <w:spacing w:line="353"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22</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9"/>
        <w:spacing w:line="353" w:lineRule="auto"/>
        <w:ind w:firstLine="640" w:firstLineChars="200"/>
        <w:rPr>
          <w:rFonts w:ascii="黑体" w:hAnsi="Cambria" w:eastAsia="黑体" w:cs="黑体"/>
          <w:kern w:val="44"/>
          <w:sz w:val="44"/>
          <w:szCs w:val="44"/>
          <w:lang w:val="zh-CN"/>
        </w:rPr>
      </w:pPr>
      <w:r>
        <w:rPr>
          <w:rFonts w:hint="eastAsia" w:ascii="仿宋_GB2312" w:hAnsi="仿宋_GB2312" w:eastAsia="仿宋_GB2312" w:cs="仿宋_GB2312"/>
          <w:color w:val="auto"/>
          <w:kern w:val="2"/>
          <w:sz w:val="32"/>
          <w:szCs w:val="32"/>
        </w:rPr>
        <w:t>23</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机关运行经费：为保障行政单位（含参照公务员法管理的事业单位）运行用于购买货物和服务的各项资金，包括办公及印刷费、邮电费、差旅费、</w:t>
      </w:r>
      <w:r>
        <w:rPr>
          <w:rFonts w:hint="eastAsia" w:ascii="仿宋_GB2312" w:hAnsi="仿宋_GB2312" w:eastAsia="仿宋_GB2312" w:cs="仿宋_GB2312"/>
          <w:kern w:val="2"/>
          <w:sz w:val="32"/>
          <w:szCs w:val="32"/>
        </w:rPr>
        <w:t>会议费、福利费、日常维修费、专用材料及一般设备购置费、办公用房水电费、办公用房取暖费、办公用房物业管理费、公务用车运行维护费以及其他费用。</w:t>
      </w:r>
    </w:p>
    <w:p>
      <w:pPr>
        <w:spacing w:line="353" w:lineRule="auto"/>
        <w:jc w:val="center"/>
        <w:rPr>
          <w:rFonts w:ascii="黑体" w:hAnsi="Cambria" w:eastAsia="黑体" w:cs="黑体"/>
          <w:kern w:val="2"/>
          <w:sz w:val="44"/>
          <w:szCs w:val="44"/>
        </w:rPr>
      </w:pPr>
    </w:p>
    <w:p>
      <w:pPr>
        <w:spacing w:line="353" w:lineRule="auto"/>
        <w:rPr>
          <w:rFonts w:ascii="黑体" w:hAnsi="Cambria" w:eastAsia="黑体" w:cs="黑体"/>
          <w:kern w:val="2"/>
          <w:sz w:val="44"/>
          <w:szCs w:val="44"/>
        </w:rPr>
      </w:pPr>
    </w:p>
    <w:p>
      <w:pPr>
        <w:keepNext/>
        <w:keepLines/>
        <w:spacing w:line="353" w:lineRule="auto"/>
        <w:jc w:val="center"/>
        <w:rPr>
          <w:rFonts w:ascii="黑体" w:hAnsi="Cambria" w:eastAsia="黑体" w:cs="黑体"/>
          <w:kern w:val="44"/>
          <w:sz w:val="44"/>
          <w:szCs w:val="44"/>
        </w:rPr>
      </w:pPr>
      <w:r>
        <w:rPr>
          <w:rFonts w:hint="eastAsia" w:ascii="黑体" w:hAnsi="Cambria" w:eastAsia="黑体" w:cs="黑体"/>
          <w:kern w:val="2"/>
          <w:sz w:val="44"/>
          <w:szCs w:val="44"/>
        </w:rPr>
        <w:t>第</w:t>
      </w:r>
      <w:r>
        <w:rPr>
          <w:rFonts w:hint="eastAsia" w:ascii="黑体" w:hAnsi="Cambria" w:eastAsia="黑体" w:cs="黑体"/>
          <w:kern w:val="44"/>
          <w:sz w:val="44"/>
          <w:szCs w:val="44"/>
        </w:rPr>
        <w:t>四部分</w:t>
      </w:r>
      <w:r>
        <w:rPr>
          <w:rFonts w:ascii="黑体" w:hAnsi="Cambria" w:eastAsia="黑体" w:cs="黑体"/>
          <w:kern w:val="44"/>
          <w:sz w:val="44"/>
          <w:szCs w:val="44"/>
        </w:rPr>
        <w:t xml:space="preserve"> </w:t>
      </w:r>
      <w:r>
        <w:rPr>
          <w:rFonts w:hint="eastAsia" w:ascii="黑体" w:hAnsi="Cambria" w:eastAsia="黑体" w:cs="黑体"/>
          <w:kern w:val="44"/>
          <w:sz w:val="44"/>
          <w:szCs w:val="44"/>
        </w:rPr>
        <w:t>附件</w:t>
      </w:r>
    </w:p>
    <w:p>
      <w:pPr>
        <w:keepNext/>
        <w:keepLines/>
        <w:spacing w:line="353" w:lineRule="auto"/>
        <w:rPr>
          <w:rFonts w:ascii="仿宋_GB2312" w:hAnsi="Cambria" w:eastAsia="仿宋_GB2312" w:cs="方正小标宋简体"/>
          <w:kern w:val="2"/>
          <w:sz w:val="44"/>
          <w:szCs w:val="44"/>
        </w:rPr>
      </w:pPr>
      <w:r>
        <w:rPr>
          <w:rFonts w:hint="eastAsia" w:ascii="仿宋_GB2312" w:hAnsi="Cambria" w:eastAsia="仿宋_GB2312" w:cs="黑体"/>
          <w:kern w:val="2"/>
          <w:sz w:val="32"/>
          <w:szCs w:val="32"/>
        </w:rPr>
        <w:t>附件</w:t>
      </w:r>
    </w:p>
    <w:p>
      <w:pPr>
        <w:keepNext/>
        <w:keepLines/>
        <w:spacing w:line="353" w:lineRule="auto"/>
        <w:jc w:val="center"/>
        <w:rPr>
          <w:rFonts w:ascii="宋体" w:hAnsi="Cambria" w:eastAsia="宋体" w:cs="宋体"/>
          <w:b/>
          <w:bCs/>
          <w:kern w:val="2"/>
          <w:sz w:val="44"/>
          <w:szCs w:val="44"/>
        </w:rPr>
      </w:pPr>
      <w:r>
        <w:rPr>
          <w:rFonts w:ascii="宋体" w:hAnsi="Cambria" w:eastAsia="宋体" w:cs="宋体"/>
          <w:b/>
          <w:bCs/>
          <w:kern w:val="2"/>
          <w:sz w:val="44"/>
          <w:szCs w:val="44"/>
        </w:rPr>
        <w:t>2023</w:t>
      </w:r>
      <w:r>
        <w:rPr>
          <w:rFonts w:hint="eastAsia" w:ascii="宋体" w:hAnsi="Cambria" w:eastAsia="宋体" w:cs="宋体"/>
          <w:b/>
          <w:bCs/>
          <w:kern w:val="2"/>
          <w:sz w:val="44"/>
          <w:szCs w:val="44"/>
        </w:rPr>
        <w:t>年区级部门整体绩效评价报告</w:t>
      </w:r>
    </w:p>
    <w:p>
      <w:pPr>
        <w:keepNext/>
        <w:keepLines/>
        <w:spacing w:line="353" w:lineRule="auto"/>
        <w:jc w:val="center"/>
        <w:rPr>
          <w:rFonts w:ascii="仿宋_GB2312" w:hAnsi="Cambria" w:eastAsia="仿宋_GB2312" w:cs="仿宋_GB2312"/>
          <w:kern w:val="2"/>
          <w:sz w:val="32"/>
          <w:szCs w:val="32"/>
        </w:rPr>
      </w:pPr>
      <w:r>
        <w:rPr>
          <w:rFonts w:hint="eastAsia" w:ascii="仿宋_GB2312" w:hAnsi="Cambria" w:eastAsia="仿宋_GB2312" w:cs="仿宋_GB2312"/>
          <w:kern w:val="2"/>
          <w:sz w:val="32"/>
          <w:szCs w:val="32"/>
        </w:rPr>
        <w:t>（攀枝花市东区综合行政执法局）</w:t>
      </w:r>
    </w:p>
    <w:p>
      <w:pPr>
        <w:keepNext/>
        <w:keepLines/>
        <w:spacing w:line="353" w:lineRule="auto"/>
        <w:ind w:firstLine="640"/>
        <w:rPr>
          <w:rFonts w:ascii="黑体" w:hAnsi="Cambria" w:eastAsia="黑体" w:cs="黑体"/>
          <w:sz w:val="32"/>
          <w:szCs w:val="32"/>
          <w:lang w:val="zh-CN"/>
        </w:rPr>
      </w:pPr>
      <w:r>
        <w:rPr>
          <w:rFonts w:hint="eastAsia" w:ascii="宋体" w:hAnsi="Cambria" w:eastAsia="宋体" w:cs="宋体"/>
          <w:kern w:val="2"/>
          <w:sz w:val="21"/>
          <w:szCs w:val="21"/>
        </w:rPr>
        <w:t>一、</w:t>
      </w:r>
      <w:r>
        <w:rPr>
          <w:rFonts w:hint="eastAsia" w:ascii="黑体" w:hAnsi="Cambria" w:eastAsia="黑体" w:cs="黑体"/>
          <w:sz w:val="32"/>
          <w:szCs w:val="32"/>
          <w:lang w:val="zh-CN"/>
        </w:rPr>
        <w:t>部门（单位）基本情况</w:t>
      </w:r>
    </w:p>
    <w:p>
      <w:pPr>
        <w:keepNext/>
        <w:keepLines/>
        <w:spacing w:line="353" w:lineRule="auto"/>
        <w:ind w:firstLine="643"/>
        <w:rPr>
          <w:rFonts w:ascii="楷体_GB2312" w:hAnsi="Cambria" w:eastAsia="楷体_GB2312" w:cs="楷体_GB2312"/>
          <w:b/>
          <w:bCs/>
          <w:sz w:val="32"/>
          <w:szCs w:val="32"/>
          <w:lang w:val="zh-CN"/>
        </w:rPr>
      </w:pPr>
      <w:r>
        <w:rPr>
          <w:rFonts w:hint="eastAsia" w:ascii="楷体_GB2312" w:hAnsi="Cambria" w:eastAsia="楷体_GB2312" w:cs="楷体_GB2312"/>
          <w:b/>
          <w:bCs/>
          <w:sz w:val="32"/>
          <w:szCs w:val="32"/>
          <w:lang w:val="zh-CN"/>
        </w:rPr>
        <w:t>（一）机构组成。</w:t>
      </w:r>
    </w:p>
    <w:p>
      <w:pPr>
        <w:keepNext/>
        <w:keepLines/>
        <w:spacing w:line="353" w:lineRule="auto"/>
        <w:ind w:firstLine="643"/>
        <w:rPr>
          <w:rFonts w:ascii="楷体_GB2312" w:hAnsi="Cambria" w:eastAsia="楷体_GB2312" w:cs="楷体_GB2312"/>
          <w:b/>
          <w:bCs/>
          <w:sz w:val="32"/>
          <w:szCs w:val="32"/>
          <w:lang w:val="zh-CN"/>
        </w:rPr>
      </w:pPr>
      <w:r>
        <w:rPr>
          <w:rFonts w:hint="eastAsia" w:ascii="仿宋_GB2312" w:hAnsi="Cambria" w:eastAsia="仿宋_GB2312" w:cs="仿宋_GB2312"/>
          <w:kern w:val="2"/>
          <w:sz w:val="32"/>
          <w:szCs w:val="32"/>
        </w:rPr>
        <w:t>攀枝花市东区综合行政执法局是一级预算行政单位，内设机构7个：包括党政办、计划财务一室、综合股、治理股、智慧城市管理中心、综合行政执法队、市容秩序管理队。</w:t>
      </w:r>
    </w:p>
    <w:p>
      <w:pPr>
        <w:keepNext/>
        <w:keepLines/>
        <w:spacing w:line="353" w:lineRule="auto"/>
        <w:ind w:firstLine="643"/>
        <w:rPr>
          <w:rFonts w:ascii="楷体_GB2312" w:hAnsi="Cambria" w:eastAsia="楷体_GB2312" w:cs="楷体_GB2312"/>
          <w:b/>
          <w:bCs/>
          <w:sz w:val="32"/>
          <w:szCs w:val="32"/>
          <w:lang w:val="zh-CN"/>
        </w:rPr>
      </w:pPr>
      <w:r>
        <w:rPr>
          <w:rFonts w:hint="eastAsia" w:ascii="楷体_GB2312" w:hAnsi="Cambria" w:eastAsia="楷体_GB2312" w:cs="楷体_GB2312"/>
          <w:b/>
          <w:bCs/>
          <w:sz w:val="32"/>
          <w:szCs w:val="32"/>
          <w:lang w:val="zh-CN"/>
        </w:rPr>
        <w:t>（二）机构职能和人员概况。</w:t>
      </w:r>
    </w:p>
    <w:p>
      <w:pPr>
        <w:keepNext/>
        <w:keepLines/>
        <w:spacing w:line="353" w:lineRule="auto"/>
        <w:ind w:firstLine="640"/>
        <w:rPr>
          <w:rFonts w:ascii="仿宋_GB2312" w:hAnsi="Cambria" w:eastAsia="仿宋_GB2312" w:cs="仿宋_GB2312"/>
          <w:sz w:val="32"/>
          <w:szCs w:val="32"/>
        </w:rPr>
      </w:pPr>
      <w:r>
        <w:rPr>
          <w:rFonts w:hint="eastAsia" w:ascii="仿宋_GB2312" w:hAnsi="Cambria" w:eastAsia="仿宋_GB2312" w:cs="仿宋_GB2312"/>
          <w:sz w:val="32"/>
          <w:szCs w:val="32"/>
        </w:rPr>
        <w:t>1.机构职能：</w:t>
      </w:r>
    </w:p>
    <w:p>
      <w:pPr>
        <w:keepNext/>
        <w:keepLines/>
        <w:spacing w:line="353" w:lineRule="auto"/>
        <w:ind w:firstLine="640"/>
        <w:rPr>
          <w:rFonts w:ascii="仿宋_GB2312" w:hAnsi="Cambria" w:eastAsia="仿宋_GB2312" w:cs="仿宋_GB2312"/>
          <w:sz w:val="32"/>
          <w:szCs w:val="32"/>
        </w:rPr>
      </w:pPr>
      <w:r>
        <w:rPr>
          <w:rFonts w:hint="eastAsia" w:ascii="仿宋_GB2312" w:hAnsi="Cambria" w:eastAsia="仿宋_GB2312" w:cs="仿宋_GB2312"/>
          <w:sz w:val="32"/>
          <w:szCs w:val="32"/>
        </w:rPr>
        <w:t>区综合执法局（单位简称）职能简介。</w:t>
      </w:r>
    </w:p>
    <w:p>
      <w:pPr>
        <w:keepNext/>
        <w:keepLines/>
        <w:spacing w:line="353" w:lineRule="auto"/>
        <w:ind w:firstLine="640"/>
        <w:rPr>
          <w:rFonts w:ascii="仿宋_GB2312" w:hAnsi="Cambria" w:eastAsia="仿宋_GB2312" w:cs="仿宋_GB2312"/>
          <w:sz w:val="32"/>
          <w:szCs w:val="32"/>
        </w:rPr>
      </w:pPr>
      <w:r>
        <w:rPr>
          <w:rFonts w:hint="eastAsia" w:ascii="仿宋_GB2312" w:hAnsi="Cambria" w:eastAsia="仿宋_GB2312" w:cs="仿宋_GB2312"/>
          <w:sz w:val="32"/>
          <w:szCs w:val="32"/>
        </w:rPr>
        <w:t>（1）拟订全区综合行政执法、城市管理发展规划、实施计划、管理标准等规范性文件。会同相关部门拟订综合行政执法和城市管理工作目标，并组织实施。</w:t>
      </w:r>
    </w:p>
    <w:p>
      <w:pPr>
        <w:keepNext/>
        <w:keepLines/>
        <w:spacing w:line="353" w:lineRule="auto"/>
        <w:ind w:firstLine="640"/>
        <w:rPr>
          <w:rFonts w:ascii="仿宋_GB2312" w:hAnsi="Cambria" w:eastAsia="仿宋_GB2312" w:cs="仿宋_GB2312"/>
          <w:sz w:val="32"/>
          <w:szCs w:val="32"/>
        </w:rPr>
      </w:pPr>
      <w:r>
        <w:rPr>
          <w:rFonts w:hint="eastAsia" w:ascii="仿宋_GB2312" w:hAnsi="Cambria" w:eastAsia="仿宋_GB2312" w:cs="仿宋_GB2312"/>
          <w:sz w:val="32"/>
          <w:szCs w:val="32"/>
        </w:rPr>
        <w:t>（2）负责权限内综合行政执法工作。集中行使权限内市容环境卫生管理、市政设施管理、公用事业管理方面的行政处罚权，根据省、市、区部署和要求，推进城市执法体制改革、改进城市管理工作。</w:t>
      </w:r>
    </w:p>
    <w:p>
      <w:pPr>
        <w:keepNext/>
        <w:spacing w:line="353" w:lineRule="auto"/>
        <w:ind w:firstLine="641"/>
        <w:rPr>
          <w:rFonts w:ascii="仿宋_GB2312" w:hAnsi="Cambria" w:eastAsia="仿宋_GB2312" w:cs="仿宋_GB2312"/>
          <w:sz w:val="32"/>
          <w:szCs w:val="32"/>
        </w:rPr>
      </w:pPr>
      <w:r>
        <w:rPr>
          <w:rFonts w:hint="eastAsia" w:ascii="仿宋_GB2312" w:hAnsi="Cambria" w:eastAsia="仿宋_GB2312" w:cs="仿宋_GB2312"/>
          <w:sz w:val="32"/>
          <w:szCs w:val="32"/>
        </w:rPr>
        <w:t>（3）负责权限内城市市容环境卫生综合管理工作。依法对城市市容环境卫生实施监督检查和考核。负责环境卫生作业企业的行业管理。负责权限内户外广告和招牌的监督管理。</w:t>
      </w:r>
    </w:p>
    <w:p>
      <w:pPr>
        <w:keepNext/>
        <w:spacing w:line="353" w:lineRule="auto"/>
        <w:ind w:firstLine="641"/>
        <w:rPr>
          <w:rFonts w:ascii="仿宋_GB2312" w:hAnsi="Cambria" w:eastAsia="仿宋_GB2312" w:cs="仿宋_GB2312"/>
          <w:sz w:val="32"/>
          <w:szCs w:val="32"/>
        </w:rPr>
      </w:pPr>
      <w:r>
        <w:rPr>
          <w:rFonts w:hint="eastAsia" w:ascii="仿宋_GB2312" w:hAnsi="Cambria" w:eastAsia="仿宋_GB2312" w:cs="仿宋_GB2312"/>
          <w:sz w:val="32"/>
          <w:szCs w:val="32"/>
        </w:rPr>
        <w:t>（4）负责权限内燃气行业综合管理工作。</w:t>
      </w:r>
    </w:p>
    <w:p>
      <w:pPr>
        <w:keepNext/>
        <w:spacing w:line="353" w:lineRule="auto"/>
        <w:ind w:firstLine="641"/>
        <w:rPr>
          <w:rFonts w:ascii="仿宋_GB2312" w:hAnsi="Cambria" w:eastAsia="仿宋_GB2312" w:cs="仿宋_GB2312"/>
          <w:sz w:val="32"/>
          <w:szCs w:val="32"/>
        </w:rPr>
      </w:pPr>
      <w:r>
        <w:rPr>
          <w:rFonts w:hint="eastAsia" w:ascii="仿宋_GB2312" w:hAnsi="Cambria" w:eastAsia="仿宋_GB2312" w:cs="仿宋_GB2312"/>
          <w:sz w:val="32"/>
          <w:szCs w:val="32"/>
        </w:rPr>
        <w:t>（5）负责推进数字化城市管理和信息化建设。负责民生服务热线12345涉及东区事项的办理。</w:t>
      </w:r>
    </w:p>
    <w:p>
      <w:pPr>
        <w:keepNext/>
        <w:spacing w:line="353" w:lineRule="auto"/>
        <w:ind w:firstLine="641"/>
        <w:rPr>
          <w:rFonts w:ascii="仿宋_GB2312" w:hAnsi="Cambria" w:eastAsia="仿宋_GB2312" w:cs="仿宋_GB2312"/>
          <w:sz w:val="32"/>
          <w:szCs w:val="32"/>
        </w:rPr>
      </w:pPr>
      <w:r>
        <w:rPr>
          <w:rFonts w:hint="eastAsia" w:ascii="仿宋_GB2312" w:hAnsi="Cambria" w:eastAsia="仿宋_GB2312" w:cs="仿宋_GB2312"/>
          <w:sz w:val="32"/>
          <w:szCs w:val="32"/>
        </w:rPr>
        <w:t>（6）拟订城市管理工作专项经费的中长期计划和年度计划，会同有关部门对使用情况实施监督管理。</w:t>
      </w:r>
    </w:p>
    <w:p>
      <w:pPr>
        <w:keepNext/>
        <w:spacing w:line="353" w:lineRule="auto"/>
        <w:ind w:firstLine="641"/>
        <w:rPr>
          <w:rFonts w:ascii="仿宋_GB2312" w:hAnsi="Cambria" w:eastAsia="仿宋_GB2312" w:cs="仿宋_GB2312"/>
          <w:sz w:val="32"/>
          <w:szCs w:val="32"/>
        </w:rPr>
      </w:pPr>
      <w:r>
        <w:rPr>
          <w:rFonts w:hint="eastAsia" w:ascii="仿宋_GB2312" w:hAnsi="Cambria" w:eastAsia="仿宋_GB2312" w:cs="仿宋_GB2312"/>
          <w:sz w:val="32"/>
          <w:szCs w:val="32"/>
        </w:rPr>
        <w:t>（7）承担职责范围内的安全生产和职业健康、生态环境保护、审批服务便民化等工作。</w:t>
      </w:r>
    </w:p>
    <w:p>
      <w:pPr>
        <w:keepNext/>
        <w:spacing w:line="353" w:lineRule="auto"/>
        <w:ind w:firstLine="641"/>
        <w:rPr>
          <w:rFonts w:ascii="仿宋_GB2312" w:hAnsi="Cambria" w:eastAsia="仿宋_GB2312" w:cs="仿宋_GB2312"/>
          <w:sz w:val="32"/>
          <w:szCs w:val="32"/>
        </w:rPr>
      </w:pPr>
      <w:r>
        <w:rPr>
          <w:rFonts w:hint="eastAsia" w:ascii="仿宋_GB2312" w:hAnsi="Cambria" w:eastAsia="仿宋_GB2312" w:cs="仿宋_GB2312"/>
          <w:sz w:val="32"/>
          <w:szCs w:val="32"/>
        </w:rPr>
        <w:t>（8）完成区委、区政府交办的其他任务。</w:t>
      </w:r>
    </w:p>
    <w:p>
      <w:pPr>
        <w:keepNext/>
        <w:spacing w:line="353" w:lineRule="auto"/>
        <w:ind w:firstLine="641"/>
        <w:rPr>
          <w:rFonts w:ascii="仿宋_GB2312" w:hAnsi="Cambria" w:eastAsia="仿宋_GB2312" w:cs="仿宋_GB2312"/>
          <w:sz w:val="32"/>
          <w:szCs w:val="32"/>
        </w:rPr>
      </w:pPr>
      <w:r>
        <w:rPr>
          <w:rFonts w:hint="eastAsia" w:ascii="仿宋_GB2312" w:hAnsi="Cambria" w:eastAsia="仿宋_GB2312" w:cs="仿宋_GB2312"/>
          <w:sz w:val="32"/>
          <w:szCs w:val="32"/>
        </w:rPr>
        <w:t>（9）职能转变。按照中央、省、市、区城管执法体制改革和综合行政执法改革的要求，整合组建综合执法队伍，统筹配置行政执法职能和执法资源，推进相对集中行政处罚权、行政强制权改革，完善执法程序，严格执法责任，加强执法监督，提高执法队伍综合素质和执法能力，推动执法力量下沉到街道（镇），落实属地管理责任。推动城市管理“互联网+”，推进智慧城管、数字城管建设。</w:t>
      </w:r>
    </w:p>
    <w:p>
      <w:pPr>
        <w:keepNext/>
        <w:keepLines/>
        <w:spacing w:line="353" w:lineRule="auto"/>
        <w:ind w:firstLine="640"/>
        <w:rPr>
          <w:rFonts w:ascii="仿宋_GB2312" w:hAnsi="Cambria" w:eastAsia="仿宋_GB2312" w:cs="仿宋_GB2312"/>
          <w:sz w:val="32"/>
          <w:szCs w:val="32"/>
        </w:rPr>
      </w:pPr>
      <w:r>
        <w:rPr>
          <w:rFonts w:hint="eastAsia" w:ascii="仿宋_GB2312" w:hAnsi="Cambria" w:eastAsia="仿宋_GB2312" w:cs="仿宋_GB2312"/>
          <w:sz w:val="32"/>
          <w:szCs w:val="32"/>
        </w:rPr>
        <w:t>2.</w:t>
      </w:r>
      <w:r>
        <w:rPr>
          <w:rFonts w:ascii="仿宋_GB2312" w:hAnsi="Cambria" w:eastAsia="仿宋_GB2312" w:cs="仿宋_GB2312"/>
          <w:sz w:val="32"/>
          <w:szCs w:val="32"/>
        </w:rPr>
        <w:t xml:space="preserve"> 人员概况：</w:t>
      </w:r>
    </w:p>
    <w:p>
      <w:pPr>
        <w:keepNext/>
        <w:spacing w:line="353" w:lineRule="auto"/>
        <w:ind w:firstLine="641"/>
        <w:rPr>
          <w:rFonts w:ascii="仿宋_GB2312" w:hAnsi="Cambria" w:eastAsia="仿宋_GB2312" w:cs="仿宋_GB2312"/>
          <w:sz w:val="32"/>
          <w:szCs w:val="32"/>
        </w:rPr>
      </w:pPr>
      <w:r>
        <w:rPr>
          <w:rFonts w:hint="eastAsia" w:ascii="仿宋_GB2312" w:hAnsi="Cambria" w:eastAsia="仿宋_GB2312" w:cs="仿宋_GB2312"/>
          <w:sz w:val="32"/>
          <w:szCs w:val="32"/>
        </w:rPr>
        <w:t>攀枝花市东区综合行政执法局机关行政编制4 名，实有人数8名。参公编制60名，实有人数54名，退休人员10名。区聘用人员编制66名，实有人数66人，市下沉聘用人员编19名，实有人数19名。无下属事业单位。车辆编制3辆，实用2辆。</w:t>
      </w:r>
    </w:p>
    <w:p>
      <w:pPr>
        <w:keepNext/>
        <w:keepLines/>
        <w:spacing w:line="353" w:lineRule="auto"/>
        <w:ind w:firstLine="643"/>
        <w:rPr>
          <w:rFonts w:ascii="楷体_GB2312" w:hAnsi="Cambria" w:eastAsia="楷体_GB2312" w:cs="楷体_GB2312"/>
          <w:b/>
          <w:bCs/>
          <w:sz w:val="32"/>
          <w:szCs w:val="32"/>
          <w:lang w:val="zh-CN"/>
        </w:rPr>
      </w:pPr>
      <w:r>
        <w:rPr>
          <w:rFonts w:hint="eastAsia" w:ascii="楷体_GB2312" w:hAnsi="Cambria" w:eastAsia="楷体_GB2312" w:cs="楷体_GB2312"/>
          <w:b/>
          <w:bCs/>
          <w:sz w:val="32"/>
          <w:szCs w:val="32"/>
          <w:lang w:val="zh-CN"/>
        </w:rPr>
        <w:t>（三）年度主要工作任务。</w:t>
      </w:r>
    </w:p>
    <w:p>
      <w:pPr>
        <w:keepNext/>
        <w:keepLines/>
        <w:spacing w:line="353" w:lineRule="auto"/>
        <w:ind w:firstLine="641"/>
        <w:rPr>
          <w:rFonts w:ascii="仿宋_GB2312" w:hAnsi="Cambria" w:eastAsia="仿宋_GB2312" w:cs="仿宋_GB2312"/>
          <w:sz w:val="32"/>
          <w:szCs w:val="32"/>
        </w:rPr>
      </w:pPr>
      <w:r>
        <w:rPr>
          <w:rFonts w:hint="eastAsia" w:ascii="仿宋_GB2312" w:hAnsi="Cambria" w:eastAsia="仿宋_GB2312" w:cs="仿宋_GB2312"/>
          <w:sz w:val="32"/>
          <w:szCs w:val="32"/>
        </w:rPr>
        <w:t>1.</w:t>
      </w:r>
      <w:r>
        <w:rPr>
          <w:rFonts w:ascii="仿宋_GB2312" w:hAnsi="Cambria" w:eastAsia="仿宋_GB2312" w:cs="仿宋_GB2312"/>
          <w:sz w:val="32"/>
          <w:szCs w:val="32"/>
        </w:rPr>
        <w:t>远程监控，</w:t>
      </w:r>
      <w:r>
        <w:rPr>
          <w:rFonts w:hint="eastAsia" w:ascii="仿宋_GB2312" w:hAnsi="Cambria" w:eastAsia="仿宋_GB2312" w:cs="仿宋_GB2312"/>
          <w:sz w:val="32"/>
          <w:szCs w:val="32"/>
        </w:rPr>
        <w:t>开辟</w:t>
      </w:r>
      <w:r>
        <w:rPr>
          <w:rFonts w:ascii="仿宋_GB2312" w:hAnsi="Cambria" w:eastAsia="仿宋_GB2312" w:cs="仿宋_GB2312"/>
          <w:sz w:val="32"/>
          <w:szCs w:val="32"/>
        </w:rPr>
        <w:t>餐饮油烟智慧监控新途径</w:t>
      </w:r>
    </w:p>
    <w:p>
      <w:pPr>
        <w:keepNext/>
        <w:keepLines/>
        <w:spacing w:line="353" w:lineRule="auto"/>
        <w:ind w:firstLine="641"/>
        <w:rPr>
          <w:rFonts w:ascii="仿宋_GB2312" w:hAnsi="Cambria" w:eastAsia="仿宋_GB2312" w:cs="仿宋_GB2312"/>
          <w:sz w:val="32"/>
          <w:szCs w:val="32"/>
        </w:rPr>
      </w:pPr>
      <w:r>
        <w:rPr>
          <w:rFonts w:ascii="仿宋_GB2312" w:hAnsi="Cambria" w:eastAsia="仿宋_GB2312" w:cs="仿宋_GB2312"/>
          <w:sz w:val="32"/>
          <w:szCs w:val="32"/>
        </w:rPr>
        <w:t>一是餐饮油烟净化设备安装全覆盖。出动执法人员3000余人（次）、车辆300余台（次），检查餐饮店（铺）7000余家（次），下发整改文书27份，整改餐饮店铺300余家（次），辖区1229家餐饮店铺餐饮油烟净化设备安装实现100%全覆盖。二是积极探索餐饮油烟在线监控。印发《攀枝花市东区餐饮油烟在线监控工作实施方案》，着力解决餐饮油烟监管不及时等问题，促进餐饮油烟排放达标，安装餐饮油烟在线监控系统500套，重油烟排放远程在线监控达40.68%，“政府+企业+第三方监管”的多方污染防治模式逐步形成，餐饮油烟监管逐步进入2.0智慧化监管时代。</w:t>
      </w:r>
    </w:p>
    <w:p>
      <w:pPr>
        <w:keepNext/>
        <w:keepLines/>
        <w:spacing w:line="353" w:lineRule="auto"/>
        <w:ind w:firstLine="641"/>
        <w:rPr>
          <w:rFonts w:ascii="仿宋_GB2312" w:hAnsi="Cambria" w:eastAsia="仿宋_GB2312" w:cs="仿宋_GB2312"/>
          <w:sz w:val="32"/>
          <w:szCs w:val="32"/>
        </w:rPr>
      </w:pPr>
      <w:r>
        <w:rPr>
          <w:rFonts w:hint="eastAsia" w:ascii="仿宋_GB2312" w:hAnsi="Cambria" w:eastAsia="仿宋_GB2312" w:cs="仿宋_GB2312"/>
          <w:sz w:val="32"/>
          <w:szCs w:val="32"/>
        </w:rPr>
        <w:t>2.</w:t>
      </w:r>
      <w:r>
        <w:rPr>
          <w:rFonts w:ascii="仿宋_GB2312" w:hAnsi="Cambria" w:eastAsia="仿宋_GB2312" w:cs="仿宋_GB2312"/>
          <w:sz w:val="32"/>
          <w:szCs w:val="32"/>
        </w:rPr>
        <w:t>双管齐下，实现市容秩序精细化监管新跨越</w:t>
      </w:r>
    </w:p>
    <w:p>
      <w:pPr>
        <w:keepNext/>
        <w:spacing w:line="353" w:lineRule="auto"/>
        <w:ind w:firstLine="641"/>
        <w:rPr>
          <w:rFonts w:ascii="仿宋_GB2312" w:hAnsi="Cambria" w:eastAsia="仿宋_GB2312" w:cs="仿宋_GB2312"/>
          <w:sz w:val="32"/>
          <w:szCs w:val="32"/>
        </w:rPr>
      </w:pPr>
      <w:r>
        <w:rPr>
          <w:rFonts w:ascii="仿宋_GB2312" w:hAnsi="Cambria" w:eastAsia="仿宋_GB2312" w:cs="仿宋_GB2312"/>
          <w:sz w:val="32"/>
          <w:szCs w:val="32"/>
        </w:rPr>
        <w:t>一是疏堵结合，强化市容秩序监管。出动执法人员</w:t>
      </w:r>
      <w:r>
        <w:rPr>
          <w:rFonts w:hint="eastAsia" w:ascii="仿宋_GB2312" w:hAnsi="Cambria" w:eastAsia="仿宋_GB2312" w:cs="仿宋_GB2312"/>
          <w:sz w:val="32"/>
          <w:szCs w:val="32"/>
        </w:rPr>
        <w:t>9</w:t>
      </w:r>
      <w:r>
        <w:rPr>
          <w:rFonts w:ascii="仿宋_GB2312" w:hAnsi="Cambria" w:eastAsia="仿宋_GB2312" w:cs="仿宋_GB2312"/>
          <w:sz w:val="32"/>
          <w:szCs w:val="32"/>
        </w:rPr>
        <w:t>000余人（次）、执法车辆2</w:t>
      </w:r>
      <w:r>
        <w:rPr>
          <w:rFonts w:hint="eastAsia" w:ascii="仿宋_GB2312" w:hAnsi="Cambria" w:eastAsia="仿宋_GB2312" w:cs="仿宋_GB2312"/>
          <w:sz w:val="32"/>
          <w:szCs w:val="32"/>
        </w:rPr>
        <w:t>2</w:t>
      </w:r>
      <w:r>
        <w:rPr>
          <w:rFonts w:ascii="仿宋_GB2312" w:hAnsi="Cambria" w:eastAsia="仿宋_GB2312" w:cs="仿宋_GB2312"/>
          <w:sz w:val="32"/>
          <w:szCs w:val="32"/>
        </w:rPr>
        <w:t>00余台（次），集中开展“马路市场”集中治理、乱摆摊点集中治理、高中考禁噪行动等专项行动</w:t>
      </w:r>
      <w:r>
        <w:rPr>
          <w:rFonts w:hint="eastAsia" w:ascii="仿宋_GB2312" w:hAnsi="Cambria" w:eastAsia="仿宋_GB2312" w:cs="仿宋_GB2312"/>
          <w:sz w:val="32"/>
          <w:szCs w:val="32"/>
        </w:rPr>
        <w:t>100</w:t>
      </w:r>
      <w:r>
        <w:rPr>
          <w:rFonts w:ascii="仿宋_GB2312" w:hAnsi="Cambria" w:eastAsia="仿宋_GB2312" w:cs="仿宋_GB2312"/>
          <w:sz w:val="32"/>
          <w:szCs w:val="32"/>
        </w:rPr>
        <w:t>余次，劝导、清理占道经营和流动摊点2.</w:t>
      </w:r>
      <w:r>
        <w:rPr>
          <w:rFonts w:hint="eastAsia" w:ascii="仿宋_GB2312" w:hAnsi="Cambria" w:eastAsia="仿宋_GB2312" w:cs="仿宋_GB2312"/>
          <w:sz w:val="32"/>
          <w:szCs w:val="32"/>
        </w:rPr>
        <w:t>8</w:t>
      </w:r>
      <w:r>
        <w:rPr>
          <w:rFonts w:ascii="仿宋_GB2312" w:hAnsi="Cambria" w:eastAsia="仿宋_GB2312" w:cs="仿宋_GB2312"/>
          <w:sz w:val="32"/>
          <w:szCs w:val="32"/>
        </w:rPr>
        <w:t>万余个（次），规范坐商归店</w:t>
      </w:r>
      <w:r>
        <w:rPr>
          <w:rFonts w:hint="eastAsia" w:ascii="仿宋_GB2312" w:hAnsi="Cambria" w:eastAsia="仿宋_GB2312" w:cs="仿宋_GB2312"/>
          <w:sz w:val="32"/>
          <w:szCs w:val="32"/>
        </w:rPr>
        <w:t>1.5</w:t>
      </w:r>
      <w:r>
        <w:rPr>
          <w:rFonts w:ascii="仿宋_GB2312" w:hAnsi="Cambria" w:eastAsia="仿宋_GB2312" w:cs="仿宋_GB2312"/>
          <w:sz w:val="32"/>
          <w:szCs w:val="32"/>
        </w:rPr>
        <w:t>万</w:t>
      </w:r>
      <w:r>
        <w:rPr>
          <w:rFonts w:hint="eastAsia" w:ascii="仿宋_GB2312" w:hAnsi="Cambria" w:eastAsia="仿宋_GB2312" w:cs="仿宋_GB2312"/>
          <w:sz w:val="32"/>
          <w:szCs w:val="32"/>
        </w:rPr>
        <w:t>余</w:t>
      </w:r>
      <w:r>
        <w:rPr>
          <w:rFonts w:ascii="仿宋_GB2312" w:hAnsi="Cambria" w:eastAsia="仿宋_GB2312" w:cs="仿宋_GB2312"/>
          <w:sz w:val="32"/>
          <w:szCs w:val="32"/>
        </w:rPr>
        <w:t>家（次），拆除地桩、地锁700余个、违规邮政报刊亭3家，关停金域阳光临时便民服务点，安装海德堡沿线隔离栏350余米，取缔海德堡、阳光骊景两个重要点位“马路市场”，新建市公交公司停车场便民服务点并投入使用，启用望江一号便民市场，设置钢城经贸大厦便民服务点、金瓯广场临时夜市区域，规范流动摊贩进摊位经营，“以路为市”城市顽疾得到有效解决。二是企业参与，共同经营城市。引入兴东城市管理服务有限公司参与城市经营管理，规范管理金域阳光临时便民服务点96个摊位和市公交公司停车场便民服务点216个摊位，持续推进“政府+企业”运作管理新模式。三是深入推进“街长制”。以街区为单位，按照“一街一长、条块结合、群众参与、责任到人”的原则，调动社会多方参与，进一步畅通流动摊贩问题反映渠道，接受群众反映问题</w:t>
      </w:r>
      <w:r>
        <w:rPr>
          <w:rFonts w:hint="eastAsia" w:ascii="仿宋_GB2312" w:hAnsi="Cambria" w:eastAsia="仿宋_GB2312" w:cs="仿宋_GB2312"/>
          <w:sz w:val="32"/>
          <w:szCs w:val="32"/>
        </w:rPr>
        <w:t>1190</w:t>
      </w:r>
      <w:r>
        <w:rPr>
          <w:rFonts w:ascii="仿宋_GB2312" w:hAnsi="Cambria" w:eastAsia="仿宋_GB2312" w:cs="仿宋_GB2312"/>
          <w:sz w:val="32"/>
          <w:szCs w:val="32"/>
        </w:rPr>
        <w:t>余件（次），处理率100%。</w:t>
      </w:r>
    </w:p>
    <w:p>
      <w:pPr>
        <w:keepNext/>
        <w:spacing w:line="353" w:lineRule="auto"/>
        <w:ind w:firstLine="641"/>
        <w:rPr>
          <w:rFonts w:ascii="仿宋_GB2312" w:hAnsi="Cambria" w:eastAsia="仿宋_GB2312" w:cs="仿宋_GB2312"/>
          <w:sz w:val="32"/>
          <w:szCs w:val="32"/>
        </w:rPr>
      </w:pPr>
      <w:r>
        <w:rPr>
          <w:rFonts w:hint="eastAsia" w:ascii="仿宋_GB2312" w:hAnsi="Cambria" w:eastAsia="仿宋_GB2312" w:cs="仿宋_GB2312"/>
          <w:sz w:val="32"/>
          <w:szCs w:val="32"/>
        </w:rPr>
        <w:t>3.</w:t>
      </w:r>
      <w:r>
        <w:rPr>
          <w:rFonts w:ascii="仿宋_GB2312" w:hAnsi="Cambria" w:eastAsia="仿宋_GB2312" w:cs="仿宋_GB2312"/>
          <w:sz w:val="32"/>
          <w:szCs w:val="32"/>
        </w:rPr>
        <w:t>有呼必应，拉开一个号码管服务新序幕</w:t>
      </w:r>
    </w:p>
    <w:p>
      <w:pPr>
        <w:keepNext/>
        <w:keepLines/>
        <w:spacing w:line="353" w:lineRule="auto"/>
        <w:ind w:firstLine="641"/>
        <w:rPr>
          <w:rFonts w:ascii="仿宋_GB2312" w:hAnsi="Cambria" w:eastAsia="仿宋_GB2312" w:cs="仿宋_GB2312"/>
          <w:sz w:val="32"/>
          <w:szCs w:val="32"/>
        </w:rPr>
      </w:pPr>
      <w:r>
        <w:rPr>
          <w:rFonts w:ascii="仿宋_GB2312" w:hAnsi="Cambria" w:eastAsia="仿宋_GB2312" w:cs="仿宋_GB2312"/>
          <w:sz w:val="32"/>
          <w:szCs w:val="32"/>
        </w:rPr>
        <w:t>整合96198城乡环境治理热线、96960行政效能热线、12351职工维权热线及12338妇女维权热线等60条热线并入12345政务服务便民热线，使市民群众步入“12345一个号码管服务”的公众服务新模式。一年来，东区受理12345政务服务便民热线案件</w:t>
      </w:r>
      <w:r>
        <w:rPr>
          <w:rFonts w:hint="eastAsia" w:ascii="仿宋_GB2312" w:hAnsi="Cambria" w:eastAsia="仿宋_GB2312" w:cs="仿宋_GB2312"/>
          <w:sz w:val="32"/>
          <w:szCs w:val="32"/>
        </w:rPr>
        <w:t>15439</w:t>
      </w:r>
      <w:r>
        <w:rPr>
          <w:rFonts w:ascii="仿宋_GB2312" w:hAnsi="Cambria" w:eastAsia="仿宋_GB2312" w:cs="仿宋_GB2312"/>
          <w:sz w:val="32"/>
          <w:szCs w:val="32"/>
        </w:rPr>
        <w:t>件，同比上升</w:t>
      </w:r>
      <w:r>
        <w:rPr>
          <w:rFonts w:hint="eastAsia" w:ascii="仿宋_GB2312" w:hAnsi="Cambria" w:eastAsia="仿宋_GB2312" w:cs="仿宋_GB2312"/>
          <w:sz w:val="32"/>
          <w:szCs w:val="32"/>
        </w:rPr>
        <w:t>38.19</w:t>
      </w:r>
      <w:r>
        <w:rPr>
          <w:rFonts w:ascii="仿宋_GB2312" w:hAnsi="Cambria" w:eastAsia="仿宋_GB2312" w:cs="仿宋_GB2312"/>
          <w:sz w:val="32"/>
          <w:szCs w:val="32"/>
        </w:rPr>
        <w:t>%，办结率</w:t>
      </w:r>
      <w:r>
        <w:rPr>
          <w:rFonts w:hint="eastAsia" w:ascii="仿宋_GB2312" w:hAnsi="Cambria" w:eastAsia="仿宋_GB2312" w:cs="仿宋_GB2312"/>
          <w:sz w:val="32"/>
          <w:szCs w:val="32"/>
        </w:rPr>
        <w:t>100</w:t>
      </w:r>
      <w:r>
        <w:rPr>
          <w:rFonts w:ascii="仿宋_GB2312" w:hAnsi="Cambria" w:eastAsia="仿宋_GB2312" w:cs="仿宋_GB2312"/>
          <w:sz w:val="32"/>
          <w:szCs w:val="32"/>
        </w:rPr>
        <w:t>%，切实做到“件件有回应，事事有着落，凡事有交代”。同时，积极办理数字化城管案件</w:t>
      </w:r>
      <w:r>
        <w:rPr>
          <w:rFonts w:hint="eastAsia" w:ascii="仿宋_GB2312" w:hAnsi="Cambria" w:eastAsia="仿宋_GB2312" w:cs="仿宋_GB2312"/>
          <w:sz w:val="32"/>
          <w:szCs w:val="32"/>
        </w:rPr>
        <w:t>62728</w:t>
      </w:r>
      <w:r>
        <w:rPr>
          <w:rFonts w:ascii="仿宋_GB2312" w:hAnsi="Cambria" w:eastAsia="仿宋_GB2312" w:cs="仿宋_GB2312"/>
          <w:sz w:val="32"/>
          <w:szCs w:val="32"/>
        </w:rPr>
        <w:t>件，处置率</w:t>
      </w:r>
      <w:r>
        <w:rPr>
          <w:rFonts w:hint="eastAsia" w:ascii="仿宋_GB2312" w:hAnsi="Cambria" w:eastAsia="仿宋_GB2312" w:cs="仿宋_GB2312"/>
          <w:sz w:val="32"/>
          <w:szCs w:val="32"/>
        </w:rPr>
        <w:t>100</w:t>
      </w:r>
      <w:r>
        <w:rPr>
          <w:rFonts w:ascii="仿宋_GB2312" w:hAnsi="Cambria" w:eastAsia="仿宋_GB2312" w:cs="仿宋_GB2312"/>
          <w:sz w:val="32"/>
          <w:szCs w:val="32"/>
        </w:rPr>
        <w:t>%。</w:t>
      </w:r>
    </w:p>
    <w:p>
      <w:pPr>
        <w:keepNext/>
        <w:keepLines/>
        <w:spacing w:line="353" w:lineRule="auto"/>
        <w:ind w:firstLine="641"/>
        <w:rPr>
          <w:rFonts w:ascii="仿宋_GB2312" w:hAnsi="Cambria" w:eastAsia="仿宋_GB2312" w:cs="仿宋_GB2312"/>
          <w:sz w:val="32"/>
          <w:szCs w:val="32"/>
        </w:rPr>
      </w:pPr>
      <w:r>
        <w:rPr>
          <w:rFonts w:hint="eastAsia" w:ascii="仿宋_GB2312" w:hAnsi="Cambria" w:eastAsia="仿宋_GB2312" w:cs="仿宋_GB2312"/>
          <w:sz w:val="32"/>
          <w:szCs w:val="32"/>
        </w:rPr>
        <w:t>4.</w:t>
      </w:r>
      <w:r>
        <w:rPr>
          <w:rFonts w:ascii="仿宋_GB2312" w:hAnsi="Cambria" w:eastAsia="仿宋_GB2312" w:cs="仿宋_GB2312"/>
          <w:sz w:val="32"/>
          <w:szCs w:val="32"/>
        </w:rPr>
        <w:t>智慧分类，</w:t>
      </w:r>
      <w:r>
        <w:rPr>
          <w:rFonts w:hint="eastAsia" w:ascii="仿宋_GB2312" w:hAnsi="Cambria" w:eastAsia="仿宋_GB2312" w:cs="仿宋_GB2312"/>
          <w:sz w:val="32"/>
          <w:szCs w:val="32"/>
        </w:rPr>
        <w:t>进入</w:t>
      </w:r>
      <w:r>
        <w:rPr>
          <w:rFonts w:ascii="仿宋_GB2312" w:hAnsi="Cambria" w:eastAsia="仿宋_GB2312" w:cs="仿宋_GB2312"/>
          <w:sz w:val="32"/>
          <w:szCs w:val="32"/>
        </w:rPr>
        <w:t>生活垃圾分类新</w:t>
      </w:r>
      <w:r>
        <w:rPr>
          <w:rFonts w:hint="eastAsia" w:ascii="仿宋_GB2312" w:hAnsi="Cambria" w:eastAsia="仿宋_GB2312" w:cs="仿宋_GB2312"/>
          <w:sz w:val="32"/>
          <w:szCs w:val="32"/>
        </w:rPr>
        <w:t>阶段</w:t>
      </w:r>
    </w:p>
    <w:p>
      <w:pPr>
        <w:keepNext/>
        <w:spacing w:line="353" w:lineRule="auto"/>
        <w:ind w:firstLine="641"/>
        <w:rPr>
          <w:rFonts w:ascii="仿宋_GB2312" w:hAnsi="Cambria" w:eastAsia="仿宋_GB2312" w:cs="仿宋_GB2312"/>
          <w:sz w:val="32"/>
          <w:szCs w:val="32"/>
        </w:rPr>
      </w:pPr>
      <w:r>
        <w:rPr>
          <w:rFonts w:ascii="仿宋_GB2312" w:hAnsi="Cambria" w:eastAsia="仿宋_GB2312" w:cs="仿宋_GB2312"/>
          <w:sz w:val="32"/>
          <w:szCs w:val="32"/>
        </w:rPr>
        <w:t>炳草岗垃圾分类及收运体系建设项目建成并投入使用，在学府花园和海德堡2个小区开展智慧化垃圾分类试点，开启全市东区生活垃圾分类和处置工作“智慧化”新阶段。一年来，组织志愿者4000余人（次），开展志愿服务200余次，入户宣传约17万户（次），发放宣传册3.5万余份（次）、环保袋1600余个，张贴海报1200余张（次）；出动人员6000余人（次），开展环境卫生集中治理80余次，签订《门前五包责任书》1万余份，清理卫生死角3000余处（次），辖区2</w:t>
      </w:r>
      <w:r>
        <w:rPr>
          <w:rFonts w:hint="eastAsia" w:ascii="仿宋_GB2312" w:hAnsi="Cambria" w:eastAsia="仿宋_GB2312" w:cs="仿宋_GB2312"/>
          <w:sz w:val="32"/>
          <w:szCs w:val="32"/>
        </w:rPr>
        <w:t>95.08</w:t>
      </w:r>
      <w:r>
        <w:rPr>
          <w:rFonts w:ascii="仿宋_GB2312" w:hAnsi="Cambria" w:eastAsia="仿宋_GB2312" w:cs="仿宋_GB2312"/>
          <w:sz w:val="32"/>
          <w:szCs w:val="32"/>
        </w:rPr>
        <w:t>万平方米城市主、次干道保洁作业全覆盖，清洗、消杀垃圾桶、垃圾房等环卫设施50余万个（次），购置其他环卫车辆10台，投放分类设备设施323套（座），规范83座直管垃圾房分类标识，设置300余座垃圾房“东区垃圾房信息一览表”，完成22座直管公厕、93座直管垃圾房、104只垃圾桶、90套果皮箱维修和更新，维修保养垃圾车2200余台（次），收集厨余垃圾1.1万余吨、可回收物3.7万余吨，收运固体废弃物3600余吨, 转运处置压滤液1000余吨、生活垃圾8.</w:t>
      </w:r>
      <w:r>
        <w:rPr>
          <w:rFonts w:hint="eastAsia" w:ascii="仿宋_GB2312" w:hAnsi="Cambria" w:eastAsia="仿宋_GB2312" w:cs="仿宋_GB2312"/>
          <w:sz w:val="32"/>
          <w:szCs w:val="32"/>
        </w:rPr>
        <w:t>8</w:t>
      </w:r>
      <w:r>
        <w:rPr>
          <w:rFonts w:ascii="仿宋_GB2312" w:hAnsi="Cambria" w:eastAsia="仿宋_GB2312" w:cs="仿宋_GB2312"/>
          <w:sz w:val="32"/>
          <w:szCs w:val="32"/>
        </w:rPr>
        <w:t>万余吨，基本建成生活垃圾分类处置系统，生活垃圾回收利用率达35%，试点区域垃圾分类率达70%，大宗固废综合利用率达71%，城市道路高压冲洗率达</w:t>
      </w:r>
      <w:r>
        <w:rPr>
          <w:rFonts w:hint="eastAsia" w:ascii="仿宋_GB2312" w:hAnsi="Cambria" w:eastAsia="仿宋_GB2312" w:cs="仿宋_GB2312"/>
          <w:sz w:val="32"/>
          <w:szCs w:val="32"/>
        </w:rPr>
        <w:t>90.34</w:t>
      </w:r>
      <w:r>
        <w:rPr>
          <w:rFonts w:ascii="仿宋_GB2312" w:hAnsi="Cambria" w:eastAsia="仿宋_GB2312" w:cs="仿宋_GB2312"/>
          <w:sz w:val="32"/>
          <w:szCs w:val="32"/>
        </w:rPr>
        <w:t>%，重点区域厨余垃圾分类收运覆盖率达90%，城市道路机械化清扫率达9</w:t>
      </w:r>
      <w:r>
        <w:rPr>
          <w:rFonts w:hint="eastAsia" w:ascii="仿宋_GB2312" w:hAnsi="Cambria" w:eastAsia="仿宋_GB2312" w:cs="仿宋_GB2312"/>
          <w:sz w:val="32"/>
          <w:szCs w:val="32"/>
        </w:rPr>
        <w:t>2.4</w:t>
      </w:r>
      <w:r>
        <w:rPr>
          <w:rFonts w:ascii="仿宋_GB2312" w:hAnsi="Cambria" w:eastAsia="仿宋_GB2312" w:cs="仿宋_GB2312"/>
          <w:sz w:val="32"/>
          <w:szCs w:val="32"/>
        </w:rPr>
        <w:t>%，环卫设施完好率达到95%，行政村生活垃圾处置率、辖区公共机构生活垃圾分类覆盖率、城市主干道清扫保洁率、生活垃圾清运率、生活垃圾无害化处理率等五个卫生指标均达到100%。</w:t>
      </w:r>
      <w:r>
        <w:rPr>
          <w:rFonts w:hint="eastAsia" w:ascii="仿宋_GB2312" w:hAnsi="Cambria" w:eastAsia="仿宋_GB2312" w:cs="仿宋_GB2312"/>
          <w:sz w:val="32"/>
          <w:szCs w:val="32"/>
        </w:rPr>
        <w:t>同时，积极探索、利用华润公司覆盖广、缴费简单便捷的便民渠道征收城镇垃圾处理费新途径，征缴居民2022年城镇垃圾处理</w:t>
      </w:r>
      <w:r>
        <w:rPr>
          <w:rFonts w:ascii="仿宋_GB2312" w:hAnsi="Cambria" w:eastAsia="仿宋_GB2312" w:cs="仿宋_GB2312"/>
          <w:sz w:val="32"/>
          <w:szCs w:val="32"/>
        </w:rPr>
        <w:t>费</w:t>
      </w:r>
      <w:r>
        <w:rPr>
          <w:rFonts w:hint="eastAsia" w:ascii="仿宋_GB2312" w:hAnsi="Cambria" w:eastAsia="仿宋_GB2312" w:cs="仿宋_GB2312"/>
          <w:sz w:val="32"/>
          <w:szCs w:val="32"/>
        </w:rPr>
        <w:t>243万余元。</w:t>
      </w:r>
    </w:p>
    <w:p>
      <w:pPr>
        <w:keepNext/>
        <w:keepLines/>
        <w:spacing w:line="353" w:lineRule="auto"/>
        <w:ind w:firstLine="641"/>
        <w:rPr>
          <w:rFonts w:ascii="仿宋_GB2312" w:hAnsi="Cambria" w:eastAsia="仿宋_GB2312" w:cs="仿宋_GB2312"/>
          <w:sz w:val="32"/>
          <w:szCs w:val="32"/>
        </w:rPr>
      </w:pPr>
      <w:r>
        <w:rPr>
          <w:rFonts w:hint="eastAsia" w:ascii="仿宋_GB2312" w:hAnsi="Cambria" w:eastAsia="仿宋_GB2312" w:cs="仿宋_GB2312"/>
          <w:sz w:val="32"/>
          <w:szCs w:val="32"/>
        </w:rPr>
        <w:t>5.</w:t>
      </w:r>
      <w:r>
        <w:rPr>
          <w:rFonts w:ascii="仿宋_GB2312" w:hAnsi="Cambria" w:eastAsia="仿宋_GB2312" w:cs="仿宋_GB2312"/>
          <w:sz w:val="32"/>
          <w:szCs w:val="32"/>
        </w:rPr>
        <w:t>裨补缺漏，打开城镇燃气安全生产新局面</w:t>
      </w:r>
    </w:p>
    <w:p>
      <w:pPr>
        <w:keepNext/>
        <w:spacing w:line="353" w:lineRule="auto"/>
        <w:ind w:firstLine="641"/>
        <w:rPr>
          <w:rFonts w:ascii="仿宋_GB2312" w:hAnsi="Cambria" w:eastAsia="仿宋_GB2312" w:cs="仿宋_GB2312"/>
          <w:sz w:val="32"/>
          <w:szCs w:val="32"/>
        </w:rPr>
      </w:pPr>
      <w:r>
        <w:rPr>
          <w:rFonts w:ascii="仿宋_GB2312" w:hAnsi="Cambria" w:eastAsia="仿宋_GB2312" w:cs="仿宋_GB2312"/>
          <w:sz w:val="32"/>
          <w:szCs w:val="32"/>
        </w:rPr>
        <w:t>以安全生产专项整治三年行动、“岁末年初安全生产活动”、“安全生产月”等为抓手，标本兼治，深入开展城镇燃气隐患排查整治，开展燃气专项演练9次，安全培训23次，投入2370人（次），完成159443户（次）居民用户入户排查，排查出一般隐患18582个（次）并全部完成整改，入户排查率和整改率均达100%；排查非居民用户安全隐患问题25</w:t>
      </w:r>
      <w:r>
        <w:rPr>
          <w:rFonts w:hint="eastAsia" w:ascii="仿宋_GB2312" w:hAnsi="Cambria" w:eastAsia="仿宋_GB2312" w:cs="仿宋_GB2312"/>
          <w:sz w:val="32"/>
          <w:szCs w:val="32"/>
        </w:rPr>
        <w:t>2</w:t>
      </w:r>
      <w:r>
        <w:rPr>
          <w:rFonts w:ascii="仿宋_GB2312" w:hAnsi="Cambria" w:eastAsia="仿宋_GB2312" w:cs="仿宋_GB2312"/>
          <w:sz w:val="32"/>
          <w:szCs w:val="32"/>
        </w:rPr>
        <w:t>个，立案查处未安装可燃气体报警装置餐饮企业3家、违章占压燃气管道案件1起，整改完成251个，整改率</w:t>
      </w:r>
      <w:r>
        <w:rPr>
          <w:rFonts w:hint="eastAsia" w:ascii="仿宋_GB2312" w:hAnsi="Cambria" w:eastAsia="仿宋_GB2312" w:cs="仿宋_GB2312"/>
          <w:sz w:val="32"/>
          <w:szCs w:val="32"/>
        </w:rPr>
        <w:t>99.6</w:t>
      </w:r>
      <w:r>
        <w:rPr>
          <w:rFonts w:ascii="仿宋_GB2312" w:hAnsi="Cambria" w:eastAsia="仿宋_GB2312" w:cs="仿宋_GB2312"/>
          <w:sz w:val="32"/>
          <w:szCs w:val="32"/>
        </w:rPr>
        <w:t>%，未整改问题均纳入隐患台账落实动态管理；省、市两级督导检查反馈的57个问题已全部完成整改销号。同时，完成“攀枝花市东区江北片区高粱坪至五道河、高粱坪至密地片区天然气置换次高压管线工程”、“江北、江南片区燃气安全隐患治理”、江北部分老旧小区老旧燃气管网6.8公里维修、改造以及金域阳光、金海世纪城等天然气置换煤气3万户，积极推进</w:t>
      </w:r>
      <w:r>
        <w:rPr>
          <w:rFonts w:hint="eastAsia" w:ascii="仿宋_GB2312" w:hAnsi="Cambria" w:eastAsia="仿宋_GB2312" w:cs="仿宋_GB2312"/>
          <w:sz w:val="32"/>
          <w:szCs w:val="32"/>
        </w:rPr>
        <w:t>投资2.65亿元的</w:t>
      </w:r>
      <w:r>
        <w:rPr>
          <w:rFonts w:ascii="仿宋_GB2312" w:hAnsi="Cambria" w:eastAsia="仿宋_GB2312" w:cs="仿宋_GB2312"/>
          <w:sz w:val="32"/>
          <w:szCs w:val="32"/>
        </w:rPr>
        <w:t>“攀枝花市东区老旧小区燃气管道等老化设施更新改造建设（一期）（二期）”“攀枝花市东区燃气管道等老化设施更新改造（一期）”等项目建设。</w:t>
      </w:r>
    </w:p>
    <w:p>
      <w:pPr>
        <w:keepNext/>
        <w:keepLines/>
        <w:spacing w:line="353" w:lineRule="auto"/>
        <w:ind w:firstLine="641"/>
        <w:rPr>
          <w:rFonts w:ascii="仿宋_GB2312" w:hAnsi="Cambria" w:eastAsia="仿宋_GB2312" w:cs="仿宋_GB2312"/>
          <w:sz w:val="32"/>
          <w:szCs w:val="32"/>
        </w:rPr>
      </w:pPr>
      <w:r>
        <w:rPr>
          <w:rFonts w:hint="eastAsia" w:ascii="仿宋_GB2312" w:hAnsi="Cambria" w:eastAsia="仿宋_GB2312" w:cs="仿宋_GB2312"/>
          <w:sz w:val="32"/>
          <w:szCs w:val="32"/>
        </w:rPr>
        <w:t>6.</w:t>
      </w:r>
      <w:r>
        <w:rPr>
          <w:rFonts w:ascii="仿宋_GB2312" w:hAnsi="Cambria" w:eastAsia="仿宋_GB2312" w:cs="仿宋_GB2312"/>
          <w:sz w:val="32"/>
          <w:szCs w:val="32"/>
        </w:rPr>
        <w:t>依法行政，</w:t>
      </w:r>
      <w:r>
        <w:rPr>
          <w:rFonts w:hint="eastAsia" w:ascii="仿宋_GB2312" w:hAnsi="Cambria" w:eastAsia="仿宋_GB2312" w:cs="仿宋_GB2312"/>
          <w:sz w:val="32"/>
          <w:szCs w:val="32"/>
        </w:rPr>
        <w:t>聚焦</w:t>
      </w:r>
      <w:r>
        <w:rPr>
          <w:rFonts w:ascii="仿宋_GB2312" w:hAnsi="Cambria" w:eastAsia="仿宋_GB2312" w:cs="仿宋_GB2312"/>
          <w:sz w:val="32"/>
          <w:szCs w:val="32"/>
        </w:rPr>
        <w:t>法治城管建设新突破</w:t>
      </w:r>
    </w:p>
    <w:p>
      <w:pPr>
        <w:keepNext/>
        <w:spacing w:line="353" w:lineRule="auto"/>
        <w:ind w:firstLine="641"/>
        <w:rPr>
          <w:rFonts w:ascii="仿宋_GB2312" w:hAnsi="Cambria" w:eastAsia="仿宋_GB2312" w:cs="仿宋_GB2312"/>
          <w:sz w:val="32"/>
          <w:szCs w:val="32"/>
        </w:rPr>
      </w:pPr>
      <w:r>
        <w:rPr>
          <w:rFonts w:ascii="仿宋_GB2312" w:hAnsi="Cambria" w:eastAsia="仿宋_GB2312" w:cs="仿宋_GB2312"/>
          <w:sz w:val="32"/>
          <w:szCs w:val="32"/>
        </w:rPr>
        <w:t>组织开展法治培训3次，及时发现、坚决制止、快速消除各类在建违法建设，有效遏制新增违法建设，办理行政处罚案件</w:t>
      </w:r>
      <w:r>
        <w:rPr>
          <w:rFonts w:hint="eastAsia" w:ascii="仿宋_GB2312" w:hAnsi="Cambria" w:eastAsia="仿宋_GB2312" w:cs="仿宋_GB2312"/>
          <w:sz w:val="32"/>
          <w:szCs w:val="32"/>
        </w:rPr>
        <w:t>236</w:t>
      </w:r>
      <w:r>
        <w:rPr>
          <w:rFonts w:ascii="仿宋_GB2312" w:hAnsi="Cambria" w:eastAsia="仿宋_GB2312" w:cs="仿宋_GB2312"/>
          <w:sz w:val="32"/>
          <w:szCs w:val="32"/>
        </w:rPr>
        <w:t>起，较2021年增加</w:t>
      </w:r>
      <w:r>
        <w:rPr>
          <w:rFonts w:hint="eastAsia" w:ascii="仿宋_GB2312" w:hAnsi="Cambria" w:eastAsia="仿宋_GB2312" w:cs="仿宋_GB2312"/>
          <w:sz w:val="32"/>
          <w:szCs w:val="32"/>
        </w:rPr>
        <w:t>143</w:t>
      </w:r>
      <w:r>
        <w:rPr>
          <w:rFonts w:ascii="仿宋_GB2312" w:hAnsi="Cambria" w:eastAsia="仿宋_GB2312" w:cs="仿宋_GB2312"/>
          <w:sz w:val="32"/>
          <w:szCs w:val="32"/>
        </w:rPr>
        <w:t>件，增长</w:t>
      </w:r>
      <w:r>
        <w:rPr>
          <w:rFonts w:hint="eastAsia" w:ascii="仿宋_GB2312" w:hAnsi="Cambria" w:eastAsia="仿宋_GB2312" w:cs="仿宋_GB2312"/>
          <w:sz w:val="32"/>
          <w:szCs w:val="32"/>
        </w:rPr>
        <w:t>153.8</w:t>
      </w:r>
      <w:r>
        <w:rPr>
          <w:rFonts w:ascii="仿宋_GB2312" w:hAnsi="Cambria" w:eastAsia="仿宋_GB2312" w:cs="仿宋_GB2312"/>
          <w:sz w:val="32"/>
          <w:szCs w:val="32"/>
        </w:rPr>
        <w:t>%，罚没收入</w:t>
      </w:r>
      <w:r>
        <w:rPr>
          <w:rFonts w:hint="eastAsia" w:ascii="仿宋_GB2312" w:hAnsi="Cambria" w:eastAsia="仿宋_GB2312" w:cs="仿宋_GB2312"/>
          <w:sz w:val="32"/>
          <w:szCs w:val="32"/>
        </w:rPr>
        <w:t>703</w:t>
      </w:r>
      <w:r>
        <w:rPr>
          <w:rFonts w:ascii="仿宋_GB2312" w:hAnsi="Cambria" w:eastAsia="仿宋_GB2312" w:cs="仿宋_GB2312"/>
          <w:sz w:val="32"/>
          <w:szCs w:val="32"/>
        </w:rPr>
        <w:t>万余元，较2021年增加</w:t>
      </w:r>
      <w:r>
        <w:rPr>
          <w:rFonts w:hint="eastAsia" w:ascii="仿宋_GB2312" w:hAnsi="Cambria" w:eastAsia="仿宋_GB2312" w:cs="仿宋_GB2312"/>
          <w:sz w:val="32"/>
          <w:szCs w:val="32"/>
        </w:rPr>
        <w:t>610</w:t>
      </w:r>
      <w:r>
        <w:rPr>
          <w:rFonts w:ascii="仿宋_GB2312" w:hAnsi="Cambria" w:eastAsia="仿宋_GB2312" w:cs="仿宋_GB2312"/>
          <w:sz w:val="32"/>
          <w:szCs w:val="32"/>
        </w:rPr>
        <w:t>万元，涨幅达</w:t>
      </w:r>
      <w:r>
        <w:rPr>
          <w:rFonts w:hint="eastAsia" w:ascii="仿宋_GB2312" w:hAnsi="Cambria" w:eastAsia="仿宋_GB2312" w:cs="仿宋_GB2312"/>
          <w:sz w:val="32"/>
          <w:szCs w:val="32"/>
        </w:rPr>
        <w:t>635.41</w:t>
      </w:r>
      <w:r>
        <w:rPr>
          <w:rFonts w:ascii="仿宋_GB2312" w:hAnsi="Cambria" w:eastAsia="仿宋_GB2312" w:cs="仿宋_GB2312"/>
          <w:sz w:val="32"/>
          <w:szCs w:val="32"/>
        </w:rPr>
        <w:t>%，拆除各类违法建设1.4万余平方米，较2021年增加13450平方米，涨幅达2445.45%，未发生行政复议和行政诉讼案件，</w:t>
      </w:r>
      <w:r>
        <w:rPr>
          <w:rFonts w:hint="eastAsia" w:ascii="仿宋_GB2312" w:hAnsi="Cambria" w:eastAsia="仿宋_GB2312" w:cs="仿宋_GB2312"/>
          <w:sz w:val="32"/>
          <w:szCs w:val="32"/>
        </w:rPr>
        <w:t>在2022年度全省行政执法案卷评审中杯省住建厅评为案件质量优秀单位，</w:t>
      </w:r>
      <w:r>
        <w:rPr>
          <w:rFonts w:ascii="仿宋_GB2312" w:hAnsi="Cambria" w:eastAsia="仿宋_GB2312" w:cs="仿宋_GB2312"/>
          <w:sz w:val="32"/>
          <w:szCs w:val="32"/>
        </w:rPr>
        <w:t>依法行政水平进一步提升，法治城管建设取得新突破。</w:t>
      </w:r>
    </w:p>
    <w:p>
      <w:pPr>
        <w:keepNext/>
        <w:spacing w:line="353" w:lineRule="auto"/>
        <w:ind w:firstLine="641"/>
        <w:rPr>
          <w:rFonts w:ascii="仿宋_GB2312" w:hAnsi="Cambria" w:eastAsia="仿宋_GB2312" w:cs="仿宋_GB2312"/>
          <w:sz w:val="32"/>
          <w:szCs w:val="32"/>
        </w:rPr>
      </w:pPr>
      <w:r>
        <w:rPr>
          <w:rFonts w:hint="eastAsia" w:ascii="仿宋_GB2312" w:hAnsi="Cambria" w:eastAsia="仿宋_GB2312" w:cs="仿宋_GB2312"/>
          <w:sz w:val="32"/>
          <w:szCs w:val="32"/>
        </w:rPr>
        <w:t>7.</w:t>
      </w:r>
      <w:r>
        <w:rPr>
          <w:rFonts w:ascii="仿宋_GB2312" w:hAnsi="Cambria" w:eastAsia="仿宋_GB2312" w:cs="仿宋_GB2312"/>
          <w:sz w:val="32"/>
          <w:szCs w:val="32"/>
        </w:rPr>
        <w:t>机构整合，推进事业单位新发展</w:t>
      </w:r>
    </w:p>
    <w:p>
      <w:pPr>
        <w:keepNext/>
        <w:spacing w:line="353" w:lineRule="auto"/>
        <w:ind w:firstLine="641"/>
        <w:rPr>
          <w:rFonts w:ascii="仿宋_GB2312" w:hAnsi="Cambria" w:eastAsia="仿宋_GB2312" w:cs="仿宋_GB2312"/>
          <w:sz w:val="32"/>
          <w:szCs w:val="32"/>
        </w:rPr>
      </w:pPr>
      <w:r>
        <w:rPr>
          <w:rFonts w:ascii="仿宋_GB2312" w:hAnsi="Cambria" w:eastAsia="仿宋_GB2312" w:cs="仿宋_GB2312"/>
          <w:sz w:val="32"/>
          <w:szCs w:val="32"/>
        </w:rPr>
        <w:t>因炳草岗垃圾分类及收运体系建设项目建成并投入使用，结合区环卫汽车队和</w:t>
      </w:r>
      <w:r>
        <w:rPr>
          <w:rFonts w:hint="eastAsia" w:ascii="仿宋_GB2312" w:hAnsi="Cambria" w:eastAsia="仿宋_GB2312" w:cs="仿宋_GB2312"/>
          <w:sz w:val="32"/>
          <w:szCs w:val="32"/>
        </w:rPr>
        <w:t>区</w:t>
      </w:r>
      <w:r>
        <w:rPr>
          <w:rFonts w:ascii="仿宋_GB2312" w:hAnsi="Cambria" w:eastAsia="仿宋_GB2312" w:cs="仿宋_GB2312"/>
          <w:sz w:val="32"/>
          <w:szCs w:val="32"/>
        </w:rPr>
        <w:t>固废流转站实际，按照新一轮事业单位改革要求，我局积极向区政府报送《关于加快推进局属事业单位改革工作的请示》（攀东综执﹝2022﹞74号）拟推进区环卫汽车队和</w:t>
      </w:r>
      <w:r>
        <w:rPr>
          <w:rFonts w:hint="eastAsia" w:ascii="仿宋_GB2312" w:hAnsi="Cambria" w:eastAsia="仿宋_GB2312" w:cs="仿宋_GB2312"/>
          <w:sz w:val="32"/>
          <w:szCs w:val="32"/>
        </w:rPr>
        <w:t>区</w:t>
      </w:r>
      <w:r>
        <w:rPr>
          <w:rFonts w:ascii="仿宋_GB2312" w:hAnsi="Cambria" w:eastAsia="仿宋_GB2312" w:cs="仿宋_GB2312"/>
          <w:sz w:val="32"/>
          <w:szCs w:val="32"/>
        </w:rPr>
        <w:t>固废流转站</w:t>
      </w:r>
      <w:r>
        <w:rPr>
          <w:rFonts w:hint="eastAsia" w:ascii="仿宋_GB2312" w:hAnsi="Cambria" w:eastAsia="仿宋_GB2312" w:cs="仿宋_GB2312"/>
          <w:sz w:val="32"/>
          <w:szCs w:val="32"/>
        </w:rPr>
        <w:t>整合</w:t>
      </w:r>
      <w:r>
        <w:rPr>
          <w:rFonts w:ascii="仿宋_GB2312" w:hAnsi="Cambria" w:eastAsia="仿宋_GB2312" w:cs="仿宋_GB2312"/>
          <w:sz w:val="32"/>
          <w:szCs w:val="32"/>
        </w:rPr>
        <w:t>并获得批准，完成区环卫汽车队和</w:t>
      </w:r>
      <w:r>
        <w:rPr>
          <w:rFonts w:hint="eastAsia" w:ascii="仿宋_GB2312" w:hAnsi="Cambria" w:eastAsia="仿宋_GB2312" w:cs="仿宋_GB2312"/>
          <w:sz w:val="32"/>
          <w:szCs w:val="32"/>
        </w:rPr>
        <w:t>区</w:t>
      </w:r>
      <w:r>
        <w:rPr>
          <w:rFonts w:ascii="仿宋_GB2312" w:hAnsi="Cambria" w:eastAsia="仿宋_GB2312" w:cs="仿宋_GB2312"/>
          <w:sz w:val="32"/>
          <w:szCs w:val="32"/>
        </w:rPr>
        <w:t>固废流转站合署办公，有效推进事业单位改革。</w:t>
      </w:r>
    </w:p>
    <w:p>
      <w:pPr>
        <w:keepNext/>
        <w:spacing w:line="353" w:lineRule="auto"/>
        <w:ind w:firstLine="641"/>
        <w:rPr>
          <w:rFonts w:ascii="仿宋_GB2312" w:hAnsi="Cambria" w:eastAsia="仿宋_GB2312" w:cs="仿宋_GB2312"/>
          <w:sz w:val="32"/>
          <w:szCs w:val="32"/>
        </w:rPr>
      </w:pPr>
      <w:r>
        <w:rPr>
          <w:rFonts w:hint="eastAsia" w:ascii="仿宋_GB2312" w:hAnsi="Cambria" w:eastAsia="仿宋_GB2312" w:cs="仿宋_GB2312"/>
          <w:sz w:val="32"/>
          <w:szCs w:val="32"/>
        </w:rPr>
        <w:t>8.</w:t>
      </w:r>
      <w:r>
        <w:rPr>
          <w:rFonts w:ascii="仿宋_GB2312" w:hAnsi="Cambria" w:eastAsia="仿宋_GB2312" w:cs="仿宋_GB2312"/>
          <w:sz w:val="32"/>
          <w:szCs w:val="32"/>
        </w:rPr>
        <w:t>多措并举，取得广告治理新成效</w:t>
      </w:r>
    </w:p>
    <w:p>
      <w:pPr>
        <w:keepNext/>
        <w:spacing w:line="353" w:lineRule="auto"/>
        <w:ind w:firstLine="641"/>
        <w:rPr>
          <w:rFonts w:ascii="仿宋_GB2312" w:hAnsi="Cambria" w:eastAsia="仿宋_GB2312" w:cs="仿宋_GB2312"/>
          <w:sz w:val="32"/>
          <w:szCs w:val="32"/>
        </w:rPr>
      </w:pPr>
      <w:r>
        <w:rPr>
          <w:rFonts w:ascii="仿宋_GB2312" w:hAnsi="Cambria" w:eastAsia="仿宋_GB2312" w:cs="仿宋_GB2312"/>
          <w:sz w:val="32"/>
          <w:szCs w:val="32"/>
        </w:rPr>
        <w:t>出动人员5000余人（次），采取集中训诫遏源头、专项清理净环境、依法行政强震慑三项措施，召开“牛皮癣”治理集中训诫会2次，签订不再张贴“牛皮癣”承诺书95份，教育规劝散发、张贴小广告人员</w:t>
      </w:r>
      <w:r>
        <w:rPr>
          <w:rFonts w:hint="eastAsia" w:ascii="仿宋_GB2312" w:hAnsi="Cambria" w:eastAsia="仿宋_GB2312" w:cs="仿宋_GB2312"/>
          <w:sz w:val="32"/>
          <w:szCs w:val="32"/>
        </w:rPr>
        <w:t>7</w:t>
      </w:r>
      <w:r>
        <w:rPr>
          <w:rFonts w:ascii="仿宋_GB2312" w:hAnsi="Cambria" w:eastAsia="仿宋_GB2312" w:cs="仿宋_GB2312"/>
          <w:sz w:val="32"/>
          <w:szCs w:val="32"/>
        </w:rPr>
        <w:t>00余人（次），下达整改文书147份，办理相关行政处罚案件9起，清理各类“牛皮癣” 小广告8</w:t>
      </w:r>
      <w:r>
        <w:rPr>
          <w:rFonts w:hint="eastAsia" w:ascii="仿宋_GB2312" w:hAnsi="Cambria" w:eastAsia="仿宋_GB2312" w:cs="仿宋_GB2312"/>
          <w:sz w:val="32"/>
          <w:szCs w:val="32"/>
        </w:rPr>
        <w:t>.2</w:t>
      </w:r>
      <w:r>
        <w:rPr>
          <w:rFonts w:ascii="仿宋_GB2312" w:hAnsi="Cambria" w:eastAsia="仿宋_GB2312" w:cs="仿宋_GB2312"/>
          <w:sz w:val="32"/>
          <w:szCs w:val="32"/>
        </w:rPr>
        <w:t>万余处（次）、各类私设横幅4000余条，拆除加州国际、邮政大楼等处违</w:t>
      </w:r>
      <w:r>
        <w:rPr>
          <w:rFonts w:hint="eastAsia" w:ascii="仿宋_GB2312" w:hAnsi="Cambria" w:eastAsia="仿宋_GB2312" w:cs="仿宋_GB2312"/>
          <w:sz w:val="32"/>
          <w:szCs w:val="32"/>
        </w:rPr>
        <w:t>规</w:t>
      </w:r>
      <w:r>
        <w:rPr>
          <w:rFonts w:ascii="仿宋_GB2312" w:hAnsi="Cambria" w:eastAsia="仿宋_GB2312" w:cs="仿宋_GB2312"/>
          <w:sz w:val="32"/>
          <w:szCs w:val="32"/>
        </w:rPr>
        <w:t>广告、商招店招120余处、1700余平方米，进一步打造亮丽、整洁、有序的城市容貌，有效改善中心城区外部形象。同时，投资300万元，完成中心广场、必胜客旁小广场、人大转盘等10个节点和新丰路、大渡口街入口至五十四等16条线路春节环境综合整治，全面营造喜庆、祥和的春节氛围。</w:t>
      </w:r>
    </w:p>
    <w:p>
      <w:pPr>
        <w:keepNext/>
        <w:spacing w:line="353" w:lineRule="auto"/>
        <w:ind w:firstLine="641"/>
        <w:rPr>
          <w:rFonts w:ascii="仿宋_GB2312" w:hAnsi="Cambria" w:eastAsia="仿宋_GB2312" w:cs="仿宋_GB2312"/>
          <w:sz w:val="32"/>
          <w:szCs w:val="32"/>
        </w:rPr>
      </w:pPr>
      <w:r>
        <w:rPr>
          <w:rFonts w:ascii="仿宋_GB2312" w:hAnsi="Cambria" w:eastAsia="仿宋_GB2312" w:cs="仿宋_GB2312"/>
          <w:sz w:val="32"/>
          <w:szCs w:val="32"/>
        </w:rPr>
        <w:t>同时，结合上述工作积极完成党建、党风廉政建设、精神文明、意识形态、体制改革、安全生产、生态环境保护、森林草原防灭火、生态文明建设、营商环境、服务业发展、质量强区、档案、机要保密、宣传、政务公开、政务一体化、统计、河湖长制、城乡基层治理、社会救助、反恐、非法集资、平安创建、目标考核、食品安全、综治维稳、信访、扫黑除恶、疫情防控、爱国卫生、组织人事、工会、共青团、关心下一代、妇女、残联、统战、计划生育、机构能耗、退役军人事务、提案议案办理、固定资产投资、部门预决算、城市防汛、铁路沿线环境安全整治、依法治区、“七五”普法、市域社会治理等工作以及区委、区政府交办的其他工作。</w:t>
      </w:r>
    </w:p>
    <w:p>
      <w:pPr>
        <w:keepNext/>
        <w:spacing w:line="353" w:lineRule="auto"/>
        <w:ind w:firstLine="641"/>
        <w:rPr>
          <w:rFonts w:ascii="楷体_GB2312" w:hAnsi="Cambria" w:eastAsia="楷体_GB2312" w:cs="楷体_GB2312"/>
          <w:b/>
          <w:bCs/>
          <w:sz w:val="32"/>
          <w:szCs w:val="32"/>
          <w:lang w:val="zh-CN"/>
        </w:rPr>
      </w:pPr>
      <w:r>
        <w:rPr>
          <w:rFonts w:hint="eastAsia" w:ascii="楷体_GB2312" w:hAnsi="Cambria" w:eastAsia="楷体_GB2312" w:cs="楷体_GB2312"/>
          <w:b/>
          <w:bCs/>
          <w:sz w:val="32"/>
          <w:szCs w:val="32"/>
          <w:lang w:val="zh-CN"/>
        </w:rPr>
        <w:t>（四）部门整体支出绩效目标。</w:t>
      </w:r>
    </w:p>
    <w:p>
      <w:pPr>
        <w:keepNext/>
        <w:spacing w:line="353" w:lineRule="auto"/>
        <w:ind w:firstLine="641"/>
        <w:rPr>
          <w:rFonts w:ascii="仿宋_GB2312" w:hAnsi="Cambria" w:eastAsia="仿宋_GB2312" w:cs="仿宋_GB2312"/>
          <w:sz w:val="32"/>
          <w:szCs w:val="32"/>
        </w:rPr>
      </w:pPr>
      <w:r>
        <w:rPr>
          <w:rFonts w:hint="eastAsia" w:ascii="Times New Roman" w:hAnsi="Times New Roman" w:eastAsia="仿宋_GB2312" w:cs="Times New Roman"/>
          <w:kern w:val="2"/>
          <w:sz w:val="32"/>
          <w:szCs w:val="32"/>
        </w:rPr>
        <w:t>2022年攀枝花市东区综合行政执法局全年预算安排财政拨款收入、支出主要用于保障该部门机构正常运转、完成日常工作任务以及承担检察业务相关工作。</w:t>
      </w:r>
    </w:p>
    <w:p>
      <w:pPr>
        <w:keepNext/>
        <w:keepLines/>
        <w:spacing w:line="353" w:lineRule="auto"/>
        <w:ind w:firstLine="640"/>
        <w:rPr>
          <w:rFonts w:ascii="黑体" w:hAnsi="Cambria" w:eastAsia="黑体" w:cs="黑体"/>
          <w:sz w:val="32"/>
          <w:szCs w:val="32"/>
        </w:rPr>
      </w:pPr>
      <w:r>
        <w:rPr>
          <w:rFonts w:hint="eastAsia" w:ascii="黑体" w:hAnsi="Cambria" w:eastAsia="黑体" w:cs="黑体"/>
          <w:sz w:val="32"/>
          <w:szCs w:val="32"/>
        </w:rPr>
        <w:t>二、部门资金收支情况</w:t>
      </w:r>
    </w:p>
    <w:p>
      <w:pPr>
        <w:keepNext/>
        <w:keepLines/>
        <w:spacing w:line="353" w:lineRule="auto"/>
        <w:ind w:firstLine="643"/>
        <w:rPr>
          <w:rFonts w:ascii="楷体_GB2312" w:hAnsi="Cambria" w:eastAsia="楷体_GB2312" w:cs="楷体_GB2312"/>
          <w:b/>
          <w:bCs/>
          <w:sz w:val="32"/>
          <w:szCs w:val="32"/>
          <w:lang w:val="zh-CN"/>
        </w:rPr>
      </w:pPr>
      <w:r>
        <w:rPr>
          <w:rFonts w:hint="eastAsia" w:ascii="楷体_GB2312" w:hAnsi="Cambria" w:eastAsia="楷体_GB2312" w:cs="楷体_GB2312"/>
          <w:b/>
          <w:bCs/>
          <w:sz w:val="32"/>
          <w:szCs w:val="32"/>
          <w:lang w:val="zh-CN"/>
        </w:rPr>
        <w:t>（一）部门总体收支情况。</w:t>
      </w:r>
    </w:p>
    <w:p>
      <w:pPr>
        <w:keepNext/>
        <w:keepLines/>
        <w:spacing w:line="353" w:lineRule="auto"/>
        <w:ind w:firstLine="640"/>
        <w:rPr>
          <w:rFonts w:ascii="仿宋_GB2312" w:hAnsi="Cambria" w:eastAsia="仿宋_GB2312" w:cs="仿宋_GB2312"/>
          <w:sz w:val="32"/>
          <w:szCs w:val="32"/>
        </w:rPr>
      </w:pPr>
      <w:r>
        <w:rPr>
          <w:rFonts w:ascii="仿宋_GB2312" w:hAnsi="Cambria" w:eastAsia="仿宋_GB2312" w:cs="仿宋_GB2312"/>
          <w:sz w:val="32"/>
          <w:szCs w:val="32"/>
        </w:rPr>
        <w:t>1.</w:t>
      </w:r>
      <w:r>
        <w:rPr>
          <w:rFonts w:hint="eastAsia" w:ascii="仿宋_GB2312" w:hAnsi="Cambria" w:eastAsia="仿宋_GB2312" w:cs="仿宋_GB2312"/>
          <w:sz w:val="32"/>
          <w:szCs w:val="32"/>
        </w:rPr>
        <w:t>部门总体收入情况</w:t>
      </w:r>
    </w:p>
    <w:p>
      <w:pPr>
        <w:keepNext/>
        <w:keepLines/>
        <w:spacing w:line="353" w:lineRule="auto"/>
        <w:ind w:firstLine="640"/>
        <w:rPr>
          <w:rFonts w:ascii="仿宋_GB2312" w:hAnsi="Cambria" w:eastAsia="仿宋_GB2312" w:cs="仿宋_GB2312"/>
          <w:sz w:val="32"/>
          <w:szCs w:val="32"/>
        </w:rPr>
      </w:pPr>
      <w:r>
        <w:rPr>
          <w:rFonts w:ascii="仿宋_GB2312" w:hAnsi="Times New Roman" w:eastAsia="仿宋_GB2312" w:cs="仿宋_GB2312"/>
          <w:color w:val="000000"/>
          <w:kern w:val="2"/>
          <w:sz w:val="32"/>
          <w:szCs w:val="32"/>
          <w:lang w:val="zh-CN"/>
        </w:rPr>
        <w:t>2022</w:t>
      </w:r>
      <w:r>
        <w:rPr>
          <w:rFonts w:hint="eastAsia" w:ascii="仿宋_GB2312" w:hAnsi="Times New Roman" w:eastAsia="仿宋_GB2312" w:cs="仿宋_GB2312"/>
          <w:color w:val="000000"/>
          <w:kern w:val="2"/>
          <w:sz w:val="32"/>
          <w:szCs w:val="32"/>
          <w:lang w:val="zh-CN"/>
        </w:rPr>
        <w:t>年本年收入合计</w:t>
      </w:r>
      <w:r>
        <w:rPr>
          <w:rFonts w:ascii="仿宋_GB2312" w:hAnsi="Times New Roman" w:eastAsia="仿宋_GB2312" w:cs="仿宋_GB2312"/>
          <w:color w:val="000000"/>
          <w:kern w:val="2"/>
          <w:sz w:val="32"/>
          <w:szCs w:val="32"/>
          <w:lang w:val="zh-CN"/>
        </w:rPr>
        <w:t>2,254.22</w:t>
      </w:r>
      <w:r>
        <w:rPr>
          <w:rFonts w:hint="eastAsia" w:ascii="仿宋_GB2312" w:hAnsi="Times New Roman" w:eastAsia="仿宋_GB2312" w:cs="仿宋_GB2312"/>
          <w:color w:val="000000"/>
          <w:kern w:val="2"/>
          <w:sz w:val="32"/>
          <w:szCs w:val="32"/>
          <w:lang w:val="zh-CN"/>
        </w:rPr>
        <w:t>万元，其中：一般公共预算财政拨款收入</w:t>
      </w:r>
      <w:r>
        <w:rPr>
          <w:rFonts w:ascii="仿宋_GB2312" w:hAnsi="Times New Roman" w:eastAsia="仿宋_GB2312" w:cs="仿宋_GB2312"/>
          <w:color w:val="000000"/>
          <w:kern w:val="2"/>
          <w:sz w:val="32"/>
          <w:szCs w:val="32"/>
          <w:lang w:val="zh-CN"/>
        </w:rPr>
        <w:t>2,228.62</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98.9%</w:t>
      </w:r>
      <w:r>
        <w:rPr>
          <w:rFonts w:hint="eastAsia" w:ascii="仿宋_GB2312" w:hAnsi="Times New Roman" w:eastAsia="仿宋_GB2312" w:cs="仿宋_GB2312"/>
          <w:color w:val="000000"/>
          <w:kern w:val="2"/>
          <w:sz w:val="32"/>
          <w:szCs w:val="32"/>
          <w:lang w:val="zh-CN"/>
        </w:rPr>
        <w:t>；政府性基金预算财政拨款收入</w:t>
      </w:r>
      <w:r>
        <w:rPr>
          <w:rFonts w:ascii="仿宋_GB2312" w:hAnsi="Times New Roman" w:eastAsia="仿宋_GB2312" w:cs="仿宋_GB2312"/>
          <w:color w:val="000000"/>
          <w:kern w:val="2"/>
          <w:sz w:val="32"/>
          <w:szCs w:val="32"/>
          <w:lang w:val="zh-CN"/>
        </w:rPr>
        <w:t>25.61</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1.1%。</w:t>
      </w:r>
    </w:p>
    <w:p>
      <w:pPr>
        <w:keepNext/>
        <w:keepLines/>
        <w:spacing w:line="353" w:lineRule="auto"/>
        <w:ind w:firstLine="640"/>
        <w:rPr>
          <w:rFonts w:ascii="仿宋_GB2312" w:hAnsi="Cambria" w:eastAsia="仿宋_GB2312" w:cs="仿宋_GB2312"/>
          <w:sz w:val="32"/>
          <w:szCs w:val="32"/>
        </w:rPr>
      </w:pPr>
      <w:r>
        <w:rPr>
          <w:rFonts w:ascii="仿宋_GB2312" w:hAnsi="Cambria" w:eastAsia="仿宋_GB2312" w:cs="仿宋_GB2312"/>
          <w:sz w:val="32"/>
          <w:szCs w:val="32"/>
        </w:rPr>
        <w:t>2.</w:t>
      </w:r>
      <w:r>
        <w:rPr>
          <w:rFonts w:hint="eastAsia" w:ascii="仿宋_GB2312" w:hAnsi="Cambria" w:eastAsia="仿宋_GB2312" w:cs="仿宋_GB2312"/>
          <w:sz w:val="32"/>
          <w:szCs w:val="32"/>
        </w:rPr>
        <w:t>部门总体支出情况</w:t>
      </w:r>
    </w:p>
    <w:p>
      <w:pPr>
        <w:keepNext/>
        <w:keepLines/>
        <w:spacing w:line="353" w:lineRule="auto"/>
        <w:ind w:firstLine="640"/>
        <w:rPr>
          <w:rFonts w:ascii="仿宋_GB2312" w:hAnsi="Cambria" w:eastAsia="仿宋_GB2312" w:cs="仿宋_GB2312"/>
          <w:sz w:val="32"/>
          <w:szCs w:val="32"/>
        </w:rPr>
      </w:pPr>
      <w:r>
        <w:rPr>
          <w:rFonts w:ascii="仿宋_GB2312" w:hAnsi="Times New Roman" w:eastAsia="仿宋_GB2312" w:cs="仿宋_GB2312"/>
          <w:color w:val="000000"/>
          <w:kern w:val="2"/>
          <w:sz w:val="32"/>
          <w:szCs w:val="32"/>
          <w:lang w:val="zh-CN"/>
        </w:rPr>
        <w:t>2022</w:t>
      </w:r>
      <w:r>
        <w:rPr>
          <w:rFonts w:hint="eastAsia" w:ascii="仿宋_GB2312" w:hAnsi="Times New Roman" w:eastAsia="仿宋_GB2312" w:cs="仿宋_GB2312"/>
          <w:color w:val="000000"/>
          <w:kern w:val="2"/>
          <w:sz w:val="32"/>
          <w:szCs w:val="32"/>
          <w:lang w:val="zh-CN"/>
        </w:rPr>
        <w:t>年本年支出合计</w:t>
      </w:r>
      <w:r>
        <w:rPr>
          <w:rFonts w:ascii="仿宋_GB2312" w:hAnsi="Times New Roman" w:eastAsia="仿宋_GB2312" w:cs="仿宋_GB2312"/>
          <w:color w:val="000000"/>
          <w:kern w:val="2"/>
          <w:sz w:val="32"/>
          <w:szCs w:val="32"/>
          <w:lang w:val="zh-CN"/>
        </w:rPr>
        <w:t>2,264.87</w:t>
      </w:r>
      <w:r>
        <w:rPr>
          <w:rFonts w:hint="eastAsia" w:ascii="仿宋_GB2312" w:hAnsi="Times New Roman" w:eastAsia="仿宋_GB2312" w:cs="仿宋_GB2312"/>
          <w:color w:val="000000"/>
          <w:kern w:val="2"/>
          <w:sz w:val="32"/>
          <w:szCs w:val="32"/>
          <w:lang w:val="zh-CN"/>
        </w:rPr>
        <w:t>万元，其中：基本支出</w:t>
      </w:r>
      <w:r>
        <w:rPr>
          <w:rFonts w:ascii="仿宋_GB2312" w:hAnsi="Times New Roman" w:eastAsia="仿宋_GB2312" w:cs="仿宋_GB2312"/>
          <w:color w:val="000000"/>
          <w:kern w:val="2"/>
          <w:sz w:val="32"/>
          <w:szCs w:val="32"/>
          <w:lang w:val="zh-CN"/>
        </w:rPr>
        <w:t>1,584.75</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70%</w:t>
      </w:r>
      <w:r>
        <w:rPr>
          <w:rFonts w:hint="eastAsia" w:ascii="仿宋_GB2312" w:hAnsi="Times New Roman" w:eastAsia="仿宋_GB2312" w:cs="仿宋_GB2312"/>
          <w:color w:val="000000"/>
          <w:kern w:val="2"/>
          <w:sz w:val="32"/>
          <w:szCs w:val="32"/>
          <w:lang w:val="zh-CN"/>
        </w:rPr>
        <w:t>；项目支出</w:t>
      </w:r>
      <w:r>
        <w:rPr>
          <w:rFonts w:ascii="仿宋_GB2312" w:hAnsi="Times New Roman" w:eastAsia="仿宋_GB2312" w:cs="仿宋_GB2312"/>
          <w:color w:val="000000"/>
          <w:kern w:val="2"/>
          <w:sz w:val="32"/>
          <w:szCs w:val="32"/>
          <w:lang w:val="zh-CN"/>
        </w:rPr>
        <w:t>680.12</w:t>
      </w:r>
      <w:r>
        <w:rPr>
          <w:rFonts w:hint="eastAsia" w:ascii="仿宋_GB2312" w:hAnsi="Times New Roman" w:eastAsia="仿宋_GB2312" w:cs="仿宋_GB2312"/>
          <w:color w:val="000000"/>
          <w:kern w:val="2"/>
          <w:sz w:val="32"/>
          <w:szCs w:val="32"/>
          <w:lang w:val="zh-CN"/>
        </w:rPr>
        <w:t>万元，占</w:t>
      </w:r>
      <w:r>
        <w:rPr>
          <w:rFonts w:ascii="仿宋_GB2312" w:hAnsi="Times New Roman" w:eastAsia="仿宋_GB2312" w:cs="仿宋_GB2312"/>
          <w:color w:val="000000"/>
          <w:kern w:val="2"/>
          <w:sz w:val="32"/>
          <w:szCs w:val="32"/>
          <w:lang w:val="zh-CN"/>
        </w:rPr>
        <w:t>30%。</w:t>
      </w:r>
    </w:p>
    <w:p>
      <w:pPr>
        <w:keepNext/>
        <w:keepLines/>
        <w:spacing w:line="353" w:lineRule="auto"/>
        <w:ind w:firstLine="640"/>
        <w:rPr>
          <w:rFonts w:ascii="仿宋_GB2312" w:hAnsi="Cambria" w:eastAsia="仿宋_GB2312" w:cs="仿宋_GB2312"/>
          <w:sz w:val="32"/>
          <w:szCs w:val="32"/>
        </w:rPr>
      </w:pPr>
      <w:r>
        <w:rPr>
          <w:rFonts w:ascii="仿宋_GB2312" w:hAnsi="Cambria" w:eastAsia="仿宋_GB2312" w:cs="仿宋_GB2312"/>
          <w:sz w:val="32"/>
          <w:szCs w:val="32"/>
        </w:rPr>
        <w:t>3.</w:t>
      </w:r>
      <w:r>
        <w:rPr>
          <w:rFonts w:hint="eastAsia" w:ascii="仿宋_GB2312" w:hAnsi="Cambria" w:eastAsia="仿宋_GB2312" w:cs="仿宋_GB2312"/>
          <w:sz w:val="32"/>
          <w:szCs w:val="32"/>
        </w:rPr>
        <w:t>部门总体结转结余情况</w:t>
      </w:r>
    </w:p>
    <w:p>
      <w:pPr>
        <w:keepNext/>
        <w:keepLines/>
        <w:spacing w:line="353" w:lineRule="auto"/>
        <w:ind w:firstLine="640"/>
        <w:rPr>
          <w:rFonts w:ascii="仿宋_GB2312" w:hAnsi="Cambria" w:eastAsia="仿宋_GB2312" w:cs="仿宋_GB2312"/>
          <w:sz w:val="32"/>
          <w:szCs w:val="32"/>
        </w:rPr>
      </w:pPr>
      <w:r>
        <w:rPr>
          <w:rFonts w:hint="eastAsia" w:ascii="仿宋_GB2312" w:hAnsi="Times New Roman" w:eastAsia="仿宋_GB2312" w:cs="仿宋_GB2312"/>
          <w:color w:val="000000"/>
          <w:kern w:val="2"/>
          <w:sz w:val="32"/>
          <w:szCs w:val="32"/>
          <w:lang w:val="zh-CN"/>
        </w:rPr>
        <w:t>2022年末结转和结余1.49万</w:t>
      </w:r>
      <w:r>
        <w:rPr>
          <w:rFonts w:hint="eastAsia" w:eastAsia="仿宋_GB2312" w:cs="Times New Roman"/>
          <w:sz w:val="32"/>
          <w:szCs w:val="32"/>
        </w:rPr>
        <w:t>元。</w:t>
      </w:r>
    </w:p>
    <w:p>
      <w:pPr>
        <w:keepNext/>
        <w:keepLines/>
        <w:spacing w:line="353" w:lineRule="auto"/>
        <w:ind w:firstLine="643"/>
        <w:rPr>
          <w:rFonts w:ascii="楷体_GB2312" w:hAnsi="Cambria" w:eastAsia="楷体_GB2312" w:cs="楷体_GB2312"/>
          <w:b/>
          <w:bCs/>
          <w:sz w:val="32"/>
          <w:szCs w:val="32"/>
          <w:lang w:val="zh-CN"/>
        </w:rPr>
      </w:pPr>
      <w:r>
        <w:rPr>
          <w:rFonts w:hint="eastAsia" w:ascii="楷体_GB2312" w:hAnsi="Cambria" w:eastAsia="楷体_GB2312" w:cs="楷体_GB2312"/>
          <w:b/>
          <w:bCs/>
          <w:sz w:val="32"/>
          <w:szCs w:val="32"/>
          <w:lang w:val="zh-CN"/>
        </w:rPr>
        <w:t>（二）部门财政拨款收支情况。</w:t>
      </w:r>
    </w:p>
    <w:p>
      <w:pPr>
        <w:keepNext/>
        <w:keepLines/>
        <w:spacing w:line="353" w:lineRule="auto"/>
        <w:ind w:firstLine="640"/>
        <w:rPr>
          <w:rFonts w:ascii="仿宋_GB2312" w:hAnsi="Cambria" w:eastAsia="仿宋_GB2312" w:cs="仿宋_GB2312"/>
          <w:sz w:val="32"/>
          <w:szCs w:val="32"/>
        </w:rPr>
      </w:pPr>
      <w:r>
        <w:rPr>
          <w:rFonts w:ascii="Times New Roman" w:hAnsi="Times New Roman" w:eastAsia="仿宋_GB2312" w:cs="Times New Roman"/>
          <w:kern w:val="2"/>
          <w:sz w:val="32"/>
          <w:szCs w:val="32"/>
        </w:rPr>
        <w:t>按照预算管理有关规定，目前部门预算的编制实行综合预算制度，即全部收入和支出都反映在预算中。</w:t>
      </w:r>
    </w:p>
    <w:p>
      <w:pPr>
        <w:keepNext/>
        <w:keepLines/>
        <w:spacing w:line="353" w:lineRule="auto"/>
        <w:ind w:firstLine="640"/>
        <w:rPr>
          <w:rFonts w:ascii="仿宋_GB2312" w:hAnsi="Cambria" w:eastAsia="仿宋_GB2312" w:cs="仿宋_GB2312"/>
          <w:sz w:val="32"/>
          <w:szCs w:val="32"/>
        </w:rPr>
      </w:pPr>
      <w:r>
        <w:rPr>
          <w:rFonts w:ascii="仿宋_GB2312" w:hAnsi="Cambria" w:eastAsia="仿宋_GB2312" w:cs="仿宋_GB2312"/>
          <w:sz w:val="32"/>
          <w:szCs w:val="32"/>
        </w:rPr>
        <w:t>1.</w:t>
      </w:r>
      <w:r>
        <w:rPr>
          <w:rFonts w:hint="eastAsia" w:ascii="仿宋_GB2312" w:hAnsi="Cambria" w:eastAsia="仿宋_GB2312" w:cs="仿宋_GB2312"/>
          <w:sz w:val="32"/>
          <w:szCs w:val="32"/>
        </w:rPr>
        <w:t>部门财政拨款收入情况</w:t>
      </w:r>
    </w:p>
    <w:p>
      <w:pPr>
        <w:keepNext/>
        <w:keepLines/>
        <w:spacing w:line="353" w:lineRule="auto"/>
        <w:ind w:firstLine="640"/>
        <w:rPr>
          <w:rFonts w:ascii="仿宋_GB2312" w:hAnsi="Cambria" w:eastAsia="仿宋_GB2312" w:cs="仿宋_GB2312"/>
          <w:sz w:val="32"/>
          <w:szCs w:val="32"/>
        </w:rPr>
      </w:pPr>
      <w:r>
        <w:rPr>
          <w:rFonts w:hint="eastAsia" w:ascii="仿宋_GB2312" w:hAnsi="Cambria" w:eastAsia="仿宋_GB2312" w:cs="仿宋_GB2312"/>
          <w:sz w:val="32"/>
          <w:szCs w:val="32"/>
        </w:rPr>
        <w:t>2022年度攀枝花市东区综合行政执法局收入预算总额为2254.22万元，其中：一般公共预算财政拨款收入2228.62万元。政府性基金预算财政拨款收入25.6</w:t>
      </w:r>
      <w:r>
        <w:rPr>
          <w:rFonts w:ascii="仿宋_GB2312" w:hAnsi="Cambria" w:eastAsia="仿宋_GB2312" w:cs="仿宋_GB2312"/>
          <w:sz w:val="32"/>
          <w:szCs w:val="32"/>
        </w:rPr>
        <w:t>万元</w:t>
      </w:r>
    </w:p>
    <w:p>
      <w:pPr>
        <w:keepNext/>
        <w:keepLines/>
        <w:spacing w:line="353" w:lineRule="auto"/>
        <w:ind w:firstLine="640"/>
        <w:rPr>
          <w:rFonts w:ascii="仿宋_GB2312" w:hAnsi="Cambria" w:eastAsia="仿宋_GB2312" w:cs="仿宋_GB2312"/>
          <w:sz w:val="32"/>
          <w:szCs w:val="32"/>
        </w:rPr>
      </w:pPr>
      <w:r>
        <w:rPr>
          <w:rFonts w:ascii="仿宋_GB2312" w:hAnsi="Cambria" w:eastAsia="仿宋_GB2312" w:cs="仿宋_GB2312"/>
          <w:sz w:val="32"/>
          <w:szCs w:val="32"/>
        </w:rPr>
        <w:t>2.</w:t>
      </w:r>
      <w:r>
        <w:rPr>
          <w:rFonts w:hint="eastAsia" w:ascii="仿宋_GB2312" w:hAnsi="Cambria" w:eastAsia="仿宋_GB2312" w:cs="仿宋_GB2312"/>
          <w:sz w:val="32"/>
          <w:szCs w:val="32"/>
        </w:rPr>
        <w:t>部门财政拨款支出情况</w:t>
      </w:r>
    </w:p>
    <w:p>
      <w:pPr>
        <w:keepNext/>
        <w:spacing w:line="353" w:lineRule="auto"/>
        <w:ind w:firstLine="641"/>
        <w:rPr>
          <w:rFonts w:ascii="仿宋_GB2312" w:hAnsi="Cambria" w:eastAsia="仿宋_GB2312" w:cs="仿宋_GB2312"/>
          <w:sz w:val="32"/>
          <w:szCs w:val="32"/>
        </w:rPr>
      </w:pPr>
      <w:r>
        <w:rPr>
          <w:rFonts w:hint="eastAsia" w:ascii="仿宋_GB2312" w:hAnsi="Cambria" w:eastAsia="仿宋_GB2312" w:cs="仿宋_GB2312"/>
          <w:sz w:val="32"/>
          <w:szCs w:val="32"/>
        </w:rPr>
        <w:t>2022年度攀枝花市东区综合行政执法局财政实际拨款2264.87万元，其中：工资福得支出1456.99万元，商品和服务支出797.14万元，对个人和家庭补助10.74万元。</w:t>
      </w:r>
    </w:p>
    <w:p>
      <w:pPr>
        <w:keepNext/>
        <w:spacing w:line="353" w:lineRule="auto"/>
        <w:ind w:firstLine="641"/>
        <w:rPr>
          <w:rFonts w:ascii="仿宋_GB2312" w:hAnsi="Cambria" w:eastAsia="仿宋_GB2312" w:cs="仿宋_GB2312"/>
          <w:sz w:val="32"/>
          <w:szCs w:val="32"/>
        </w:rPr>
      </w:pPr>
      <w:r>
        <w:rPr>
          <w:rFonts w:ascii="仿宋_GB2312" w:hAnsi="Cambria" w:eastAsia="仿宋_GB2312" w:cs="仿宋_GB2312"/>
          <w:sz w:val="32"/>
          <w:szCs w:val="32"/>
        </w:rPr>
        <w:t>3.</w:t>
      </w:r>
      <w:r>
        <w:rPr>
          <w:rFonts w:hint="eastAsia" w:ascii="仿宋_GB2312" w:hAnsi="Cambria" w:eastAsia="仿宋_GB2312" w:cs="仿宋_GB2312"/>
          <w:sz w:val="32"/>
          <w:szCs w:val="32"/>
        </w:rPr>
        <w:t>部门财政拨款结转结余情况</w:t>
      </w:r>
    </w:p>
    <w:p>
      <w:pPr>
        <w:keepNext/>
        <w:spacing w:line="353" w:lineRule="auto"/>
        <w:ind w:firstLine="641"/>
        <w:rPr>
          <w:rFonts w:ascii="仿宋_GB2312" w:hAnsi="Cambria" w:eastAsia="仿宋_GB2312" w:cs="仿宋_GB2312"/>
          <w:sz w:val="32"/>
          <w:szCs w:val="32"/>
        </w:rPr>
      </w:pPr>
      <w:r>
        <w:rPr>
          <w:rFonts w:hint="eastAsia" w:ascii="仿宋_GB2312" w:hAnsi="Times New Roman" w:eastAsia="仿宋_GB2312" w:cs="仿宋_GB2312"/>
          <w:color w:val="000000"/>
          <w:kern w:val="2"/>
          <w:sz w:val="32"/>
          <w:szCs w:val="32"/>
          <w:lang w:val="zh-CN"/>
        </w:rPr>
        <w:t>2022年末结转和结余1.49万</w:t>
      </w:r>
      <w:r>
        <w:rPr>
          <w:rFonts w:hint="eastAsia" w:eastAsia="仿宋_GB2312" w:cs="Times New Roman"/>
          <w:sz w:val="32"/>
          <w:szCs w:val="32"/>
        </w:rPr>
        <w:t>元。</w:t>
      </w:r>
    </w:p>
    <w:p>
      <w:pPr>
        <w:keepNext/>
        <w:spacing w:line="353" w:lineRule="auto"/>
        <w:ind w:firstLine="641"/>
        <w:rPr>
          <w:rFonts w:ascii="黑体" w:hAnsi="Cambria" w:eastAsia="黑体" w:cs="黑体"/>
          <w:sz w:val="32"/>
          <w:szCs w:val="32"/>
        </w:rPr>
      </w:pPr>
      <w:r>
        <w:rPr>
          <w:rFonts w:hint="eastAsia" w:ascii="黑体" w:hAnsi="Cambria" w:eastAsia="黑体" w:cs="黑体"/>
          <w:sz w:val="32"/>
          <w:szCs w:val="32"/>
        </w:rPr>
        <w:t>三、部门整体绩效分析</w:t>
      </w:r>
    </w:p>
    <w:p>
      <w:pPr>
        <w:keepNext/>
        <w:keepLines/>
        <w:spacing w:line="353" w:lineRule="auto"/>
        <w:ind w:firstLine="640"/>
        <w:rPr>
          <w:rFonts w:ascii="黑体" w:hAnsi="Cambria" w:eastAsia="黑体" w:cs="黑体"/>
          <w:sz w:val="32"/>
          <w:szCs w:val="32"/>
        </w:rPr>
      </w:pPr>
      <w:r>
        <w:rPr>
          <w:rFonts w:hint="eastAsia" w:ascii="楷体_GB2312" w:hAnsi="Cambria" w:eastAsia="楷体_GB2312" w:cs="楷体_GB2312"/>
          <w:b/>
          <w:bCs/>
          <w:sz w:val="32"/>
          <w:szCs w:val="32"/>
          <w:lang w:val="zh-CN"/>
        </w:rPr>
        <w:t>（一）部门预算项目绩效分析。</w:t>
      </w:r>
    </w:p>
    <w:p>
      <w:pPr>
        <w:keepNext/>
        <w:keepLines/>
        <w:spacing w:line="353" w:lineRule="auto"/>
        <w:ind w:firstLine="640"/>
        <w:rPr>
          <w:rFonts w:ascii="仿宋_GB2312" w:hAnsi="Cambria" w:eastAsia="仿宋_GB2312" w:cs="仿宋_GB2312"/>
          <w:sz w:val="32"/>
          <w:szCs w:val="32"/>
        </w:rPr>
      </w:pPr>
      <w:r>
        <w:rPr>
          <w:rFonts w:ascii="仿宋_GB2312" w:hAnsi="Cambria" w:eastAsia="仿宋_GB2312" w:cs="仿宋_GB2312"/>
          <w:sz w:val="32"/>
          <w:szCs w:val="32"/>
        </w:rPr>
        <w:t>1.</w:t>
      </w:r>
      <w:r>
        <w:rPr>
          <w:rFonts w:hint="eastAsia" w:ascii="仿宋_GB2312" w:hAnsi="Cambria" w:eastAsia="仿宋_GB2312" w:cs="仿宋_GB2312"/>
          <w:sz w:val="32"/>
          <w:szCs w:val="32"/>
        </w:rPr>
        <w:t>人员类项目绩效分析</w:t>
      </w:r>
    </w:p>
    <w:p>
      <w:pPr>
        <w:keepNext/>
        <w:keepLines/>
        <w:spacing w:line="353" w:lineRule="auto"/>
        <w:ind w:firstLine="640"/>
        <w:rPr>
          <w:rFonts w:ascii="仿宋" w:hAnsi="Cambria" w:eastAsia="仿宋" w:cs="仿宋"/>
          <w:kern w:val="2"/>
          <w:sz w:val="32"/>
          <w:szCs w:val="32"/>
        </w:rPr>
      </w:pPr>
      <w:r>
        <w:rPr>
          <w:rFonts w:hint="eastAsia" w:ascii="仿宋_GB2312" w:hAnsi="Cambria" w:eastAsia="仿宋_GB2312" w:cs="仿宋_GB2312"/>
          <w:sz w:val="32"/>
          <w:szCs w:val="32"/>
        </w:rPr>
        <w:t>2022年攀枝花市东区综合行政执法局按月正常支付工资、社保等经费，年底无资金结余，无违规记录情况。人员经费</w:t>
      </w:r>
      <w:r>
        <w:rPr>
          <w:rFonts w:ascii="仿宋_GB2312" w:hAnsi="Cambria" w:eastAsia="仿宋_GB2312" w:cs="仿宋_GB2312"/>
          <w:sz w:val="32"/>
          <w:szCs w:val="32"/>
        </w:rPr>
        <w:t>1,467.73</w:t>
      </w:r>
      <w:r>
        <w:rPr>
          <w:rFonts w:hint="eastAsia" w:ascii="仿宋_GB2312" w:hAnsi="Cambria" w:eastAsia="仿宋_GB2312" w:cs="仿宋_GB2312"/>
          <w:sz w:val="32"/>
          <w:szCs w:val="32"/>
        </w:rPr>
        <w:t>万元，主要包括：基本工资268.78万元、津贴补贴522.21万元、奖金55.59万元、机关事业单位基本养老保险缴费132.51万元、职业年金缴费0.78万元、职工基本医疗保险缴费98.55万元、其他社会保障缴费3.08万元、其他工资福利支出215.03万元、生活补助10.74万元、医疗</w:t>
      </w:r>
      <w:r>
        <w:rPr>
          <w:rFonts w:hint="eastAsia" w:ascii="仿宋" w:hAnsi="Cambria" w:eastAsia="仿宋" w:cs="仿宋"/>
          <w:kern w:val="2"/>
          <w:sz w:val="32"/>
          <w:szCs w:val="32"/>
        </w:rPr>
        <w:t>费补助33.68万元、住房公积金126.78万元。</w:t>
      </w:r>
    </w:p>
    <w:p>
      <w:pPr>
        <w:keepNext/>
        <w:keepLines/>
        <w:spacing w:line="353" w:lineRule="auto"/>
        <w:ind w:firstLine="640"/>
        <w:rPr>
          <w:rFonts w:ascii="仿宋_GB2312" w:hAnsi="Cambria" w:eastAsia="仿宋_GB2312" w:cs="仿宋_GB2312"/>
          <w:sz w:val="32"/>
          <w:szCs w:val="32"/>
        </w:rPr>
      </w:pPr>
      <w:r>
        <w:rPr>
          <w:rFonts w:ascii="仿宋_GB2312" w:hAnsi="Cambria" w:eastAsia="仿宋_GB2312" w:cs="仿宋_GB2312"/>
          <w:sz w:val="32"/>
          <w:szCs w:val="32"/>
        </w:rPr>
        <w:t>2.</w:t>
      </w:r>
      <w:r>
        <w:rPr>
          <w:rFonts w:hint="eastAsia" w:ascii="仿宋_GB2312" w:hAnsi="Cambria" w:eastAsia="仿宋_GB2312" w:cs="仿宋_GB2312"/>
          <w:sz w:val="32"/>
          <w:szCs w:val="32"/>
        </w:rPr>
        <w:t>运转类项目绩效分析</w:t>
      </w:r>
    </w:p>
    <w:p>
      <w:pPr>
        <w:keepNext/>
        <w:tabs>
          <w:tab w:val="right" w:pos="8306"/>
        </w:tabs>
        <w:spacing w:line="353" w:lineRule="auto"/>
        <w:ind w:firstLine="641"/>
        <w:jc w:val="both"/>
        <w:rPr>
          <w:rFonts w:ascii="仿宋_GB2312" w:hAnsi="Cambria" w:eastAsia="仿宋_GB2312" w:cs="仿宋_GB2312"/>
          <w:kern w:val="2"/>
          <w:sz w:val="32"/>
          <w:szCs w:val="32"/>
          <w:lang w:val="zh-CN"/>
        </w:rPr>
      </w:pPr>
      <w:r>
        <w:rPr>
          <w:rFonts w:hint="eastAsia" w:ascii="仿宋_GB2312" w:hAnsi="Cambria" w:eastAsia="仿宋_GB2312" w:cs="仿宋_GB2312"/>
          <w:sz w:val="32"/>
          <w:szCs w:val="32"/>
        </w:rPr>
        <w:t>2022年攀枝花市东区综合行政执法局全年预算安排运转类支出主要用于保障该部门机构正常运转、完成日常工作任务以及承担综合行政执法业务等相关工作。公用经费</w:t>
      </w:r>
      <w:r>
        <w:rPr>
          <w:rFonts w:ascii="仿宋_GB2312" w:hAnsi="Cambria" w:eastAsia="仿宋_GB2312" w:cs="仿宋_GB2312"/>
          <w:sz w:val="32"/>
          <w:szCs w:val="32"/>
        </w:rPr>
        <w:t>117.04</w:t>
      </w:r>
      <w:r>
        <w:rPr>
          <w:rFonts w:hint="eastAsia" w:ascii="仿宋_GB2312" w:hAnsi="Cambria" w:eastAsia="仿宋_GB2312" w:cs="仿宋_GB2312"/>
          <w:sz w:val="32"/>
          <w:szCs w:val="32"/>
        </w:rPr>
        <w:t>万元，主要包括：办公费12.02万元、水费1.53万元、电费3万元、邮电费3.34万元、物业管理费0.29万元、差旅费2.62万元、培训费0.75万元、劳务费2.76万元、委托业务费10万元、工会经费13.94万元、福利费4.77万元、公务用车运行维护费5.35万元、其他交通费43.76万元、其他商品和服务支出12.91万元。</w:t>
      </w:r>
    </w:p>
    <w:p>
      <w:pPr>
        <w:keepNext/>
        <w:keepLines/>
        <w:spacing w:line="353" w:lineRule="auto"/>
        <w:ind w:firstLine="640"/>
        <w:rPr>
          <w:rFonts w:ascii="仿宋_GB2312" w:hAnsi="Cambria" w:eastAsia="仿宋_GB2312" w:cs="仿宋_GB2312"/>
          <w:sz w:val="32"/>
          <w:szCs w:val="32"/>
        </w:rPr>
      </w:pPr>
      <w:r>
        <w:rPr>
          <w:rFonts w:ascii="仿宋_GB2312" w:hAnsi="Cambria" w:eastAsia="仿宋_GB2312" w:cs="仿宋_GB2312"/>
          <w:sz w:val="32"/>
          <w:szCs w:val="32"/>
        </w:rPr>
        <w:t>3.</w:t>
      </w:r>
      <w:r>
        <w:rPr>
          <w:rFonts w:hint="eastAsia" w:ascii="仿宋_GB2312" w:hAnsi="Cambria" w:eastAsia="仿宋_GB2312" w:cs="仿宋_GB2312"/>
          <w:sz w:val="32"/>
          <w:szCs w:val="32"/>
        </w:rPr>
        <w:t>特定目标类项目绩效分析</w:t>
      </w:r>
    </w:p>
    <w:p>
      <w:pPr>
        <w:keepNext/>
        <w:spacing w:line="353" w:lineRule="auto"/>
        <w:ind w:firstLine="640"/>
        <w:rPr>
          <w:rFonts w:ascii="仿宋_GB2312" w:hAnsi="Cambria" w:eastAsia="仿宋_GB2312" w:cs="仿宋_GB2312"/>
          <w:sz w:val="32"/>
          <w:szCs w:val="32"/>
        </w:rPr>
      </w:pPr>
      <w:r>
        <w:rPr>
          <w:rFonts w:hint="eastAsia" w:ascii="仿宋_GB2312" w:hAnsi="Cambria" w:eastAsia="仿宋_GB2312" w:cs="仿宋_GB2312"/>
          <w:sz w:val="32"/>
          <w:szCs w:val="32"/>
        </w:rPr>
        <w:t>2022年攀枝花市东区综合行政执法局</w:t>
      </w:r>
      <w:r>
        <w:rPr>
          <w:rFonts w:hint="eastAsia" w:ascii="Times New Roman" w:hAnsi="Times New Roman" w:eastAsia="仿宋_GB2312" w:cs="Times New Roman"/>
          <w:kern w:val="2"/>
          <w:sz w:val="32"/>
          <w:szCs w:val="32"/>
        </w:rPr>
        <w:t>全年预算安排特定目标类项目经费用于保障业务部门为完成特定的综合行政执法业务工作任务，开展专项业务工作的经费支出等。2022年特定目标类项目实际支出680.11万元，涉及11个项目。</w:t>
      </w:r>
    </w:p>
    <w:p>
      <w:pPr>
        <w:keepNext/>
        <w:spacing w:line="353" w:lineRule="auto"/>
        <w:ind w:firstLine="643"/>
        <w:rPr>
          <w:rFonts w:ascii="楷体_GB2312" w:hAnsi="Cambria" w:eastAsia="楷体_GB2312" w:cs="楷体_GB2312"/>
          <w:b/>
          <w:bCs/>
          <w:sz w:val="32"/>
          <w:szCs w:val="32"/>
          <w:lang w:val="zh-CN"/>
        </w:rPr>
      </w:pPr>
      <w:r>
        <w:rPr>
          <w:rFonts w:hint="eastAsia" w:ascii="楷体_GB2312" w:hAnsi="Cambria" w:eastAsia="楷体_GB2312" w:cs="楷体_GB2312"/>
          <w:b/>
          <w:bCs/>
          <w:sz w:val="32"/>
          <w:szCs w:val="32"/>
          <w:lang w:val="zh-CN"/>
        </w:rPr>
        <w:t>（二）部门整体履职绩效分析。</w:t>
      </w:r>
    </w:p>
    <w:p>
      <w:pPr>
        <w:pStyle w:val="5"/>
        <w:keepNext/>
        <w:spacing w:line="353" w:lineRule="auto"/>
        <w:ind w:firstLine="640" w:firstLineChars="200"/>
        <w:rPr>
          <w:rFonts w:ascii="Times New Roman" w:hAnsi="Times New Roman" w:eastAsia="仿宋_GB2312"/>
          <w:sz w:val="32"/>
          <w:szCs w:val="32"/>
        </w:rPr>
      </w:pPr>
      <w:r>
        <w:rPr>
          <w:rFonts w:hint="eastAsia" w:ascii="仿宋_GB2312" w:hAnsi="Cambria" w:eastAsia="仿宋_GB2312" w:cs="仿宋_GB2312"/>
          <w:sz w:val="32"/>
          <w:szCs w:val="32"/>
        </w:rPr>
        <w:t>攀枝花市东区综合行政执法局</w:t>
      </w:r>
      <w:r>
        <w:rPr>
          <w:rFonts w:ascii="仿宋_GB2312" w:hAnsi="Cambria" w:eastAsia="仿宋_GB2312" w:cs="仿宋_GB2312"/>
          <w:sz w:val="32"/>
          <w:szCs w:val="32"/>
        </w:rPr>
        <w:t>认真落实科学监管理念，严格按照预算要求管理和使用资金，确保了财政资金专款专用，切实提高了资金使用效益。一是按照国家财经制度、法规要求，各项财务收支活动都纳入了部门统一管理、统一核算，并接受监督。各项支出均应严格遵守行政单位经费规定执行；二是认真办理会计业务、进行会计核算，正确编制会计报表；三是加强现金和支票管理，不得“坐支”，各项开支均需出具合法、规范、有效的原始发票或原始凭证，严禁“白条”报销，原始凭证必须由报销人、经办人签名，按规定审批程序批准后报销；四是实行不相容岗位相互分离及内部授权审批控制措施，业务经办、审核及审批职责相互分离，相互制约，相互监督；五是要求财务人员要以身作则、奉公守法，认真贯彻国家各项改革措施，既要维护国家和集体利益，又要维护职工的切身利益；六是出纳、会计各司其职，互相制约，出纳不兼管稽核、会计档案保管和收入、支出、债权、债务账目的登记工作，会计做好会计档案管理工作，每年要及时将各类会计帐、证、表等资料分类装订，立卷归档；七是对违反财务制度和违反财务纪律的开支，财务人员有权拒绝办理，对违反财务制度和无特殊理由并未经领导批准的超标准支出，财务人员有权拒绝报销；八是各类支出按规定提出申请，经领导批准后方</w:t>
      </w:r>
      <w:r>
        <w:rPr>
          <w:rFonts w:ascii="Times New Roman" w:hAnsi="Times New Roman" w:eastAsia="仿宋_GB2312"/>
          <w:sz w:val="32"/>
          <w:szCs w:val="32"/>
        </w:rPr>
        <w:t>可执行。</w:t>
      </w:r>
    </w:p>
    <w:p>
      <w:pPr>
        <w:keepNext/>
        <w:keepLines/>
        <w:spacing w:line="353" w:lineRule="auto"/>
        <w:ind w:firstLine="643"/>
        <w:rPr>
          <w:rFonts w:ascii="仿宋_GB2312" w:hAnsi="Cambria" w:eastAsia="仿宋_GB2312" w:cs="仿宋_GB2312"/>
          <w:kern w:val="2"/>
          <w:sz w:val="32"/>
          <w:szCs w:val="32"/>
        </w:rPr>
      </w:pPr>
      <w:r>
        <w:rPr>
          <w:rFonts w:hint="eastAsia" w:ascii="仿宋_GB2312" w:hAnsi="Cambria" w:eastAsia="仿宋_GB2312" w:cs="仿宋_GB2312"/>
          <w:kern w:val="2"/>
          <w:sz w:val="32"/>
          <w:szCs w:val="32"/>
        </w:rPr>
        <w:t>截止2022年12月31日，当年年初预算数为3051.69万元，当年决算支出数为2228.62万元，预算执行率为73.03%，由于财政资金紧困，节日环境整治经费未能及时支付，预算执行率偏低。</w:t>
      </w:r>
    </w:p>
    <w:p>
      <w:pPr>
        <w:keepNext/>
        <w:keepLines/>
        <w:spacing w:line="353" w:lineRule="auto"/>
        <w:ind w:firstLine="643"/>
        <w:rPr>
          <w:rFonts w:ascii="楷体_GB2312" w:hAnsi="Cambria" w:eastAsia="楷体_GB2312" w:cs="楷体_GB2312"/>
          <w:b/>
          <w:bCs/>
          <w:sz w:val="32"/>
          <w:szCs w:val="32"/>
          <w:lang w:val="zh-CN"/>
        </w:rPr>
      </w:pPr>
      <w:r>
        <w:rPr>
          <w:rFonts w:hint="eastAsia" w:ascii="楷体_GB2312" w:hAnsi="Cambria" w:eastAsia="楷体_GB2312" w:cs="楷体_GB2312"/>
          <w:b/>
          <w:bCs/>
          <w:sz w:val="32"/>
          <w:szCs w:val="32"/>
          <w:lang w:val="zh-CN"/>
        </w:rPr>
        <w:t>（三）结果应用情况。</w:t>
      </w:r>
    </w:p>
    <w:p>
      <w:pPr>
        <w:keepNext/>
        <w:keepLines/>
        <w:spacing w:line="353" w:lineRule="auto"/>
        <w:ind w:firstLine="643"/>
        <w:rPr>
          <w:rFonts w:ascii="楷体_GB2312" w:hAnsi="Cambria" w:eastAsia="楷体_GB2312" w:cs="楷体_GB2312"/>
          <w:b/>
          <w:bCs/>
          <w:sz w:val="32"/>
          <w:szCs w:val="32"/>
          <w:lang w:val="zh-CN"/>
        </w:rPr>
      </w:pPr>
      <w:r>
        <w:rPr>
          <w:rFonts w:hint="eastAsia" w:ascii="仿宋_GB2312" w:hAnsi="Cambria" w:eastAsia="仿宋_GB2312" w:cs="仿宋_GB2312"/>
          <w:kern w:val="2"/>
          <w:sz w:val="32"/>
          <w:szCs w:val="32"/>
        </w:rPr>
        <w:t>2022年预算收入为3051.69万元，支出为2228.62万元，比预算减少823.07万元，主要原因是财政资金紧张，部分项目经费未及时支付。我局严格执行三公经费的控制政策。2022年“三公”经费财政拨款预算数5.59万元，其中：公务接待费预算0万元，公务用车运行维护费5.59万元。主要用于城市的巡查工作等。</w:t>
      </w:r>
    </w:p>
    <w:p>
      <w:pPr>
        <w:keepNext/>
        <w:keepLines/>
        <w:spacing w:line="353" w:lineRule="auto"/>
        <w:ind w:firstLine="643"/>
        <w:rPr>
          <w:rFonts w:ascii="楷体_GB2312" w:hAnsi="Cambria" w:eastAsia="楷体_GB2312" w:cs="楷体_GB2312"/>
          <w:b/>
          <w:bCs/>
          <w:sz w:val="32"/>
          <w:szCs w:val="32"/>
          <w:lang w:val="zh-CN"/>
        </w:rPr>
      </w:pPr>
      <w:r>
        <w:rPr>
          <w:rFonts w:hint="eastAsia" w:ascii="楷体_GB2312" w:hAnsi="Cambria" w:eastAsia="楷体_GB2312" w:cs="楷体_GB2312"/>
          <w:b/>
          <w:bCs/>
          <w:sz w:val="32"/>
          <w:szCs w:val="32"/>
          <w:lang w:val="zh-CN"/>
        </w:rPr>
        <w:t>（四）自评质量。</w:t>
      </w:r>
    </w:p>
    <w:p>
      <w:pPr>
        <w:keepNext/>
        <w:spacing w:line="353" w:lineRule="auto"/>
        <w:ind w:firstLine="641"/>
        <w:rPr>
          <w:rFonts w:ascii="楷体_GB2312" w:hAnsi="Cambria" w:eastAsia="楷体_GB2312" w:cs="楷体_GB2312"/>
          <w:b/>
          <w:bCs/>
          <w:sz w:val="32"/>
          <w:szCs w:val="32"/>
          <w:lang w:val="zh-CN"/>
        </w:rPr>
      </w:pPr>
      <w:r>
        <w:rPr>
          <w:rFonts w:hint="eastAsia" w:ascii="仿宋_GB2312" w:hAnsi="Cambria" w:eastAsia="仿宋_GB2312" w:cs="仿宋_GB2312"/>
          <w:sz w:val="32"/>
          <w:szCs w:val="32"/>
        </w:rPr>
        <w:t>结合我局实际情况建立健全了财务管理制度和约束机制，依法、有效地利用财政资金，提高财政资金使用效率，合理分配人、财、物，完成了部门职能目标，实现了较高的工作效率和支出绩效。</w:t>
      </w:r>
    </w:p>
    <w:p>
      <w:pPr>
        <w:keepNext/>
        <w:spacing w:line="353" w:lineRule="auto"/>
        <w:ind w:firstLine="641"/>
        <w:rPr>
          <w:rFonts w:ascii="楷体_GB2312" w:hAnsi="Cambria" w:eastAsia="楷体_GB2312" w:cs="楷体_GB2312"/>
          <w:b/>
          <w:bCs/>
          <w:sz w:val="32"/>
          <w:szCs w:val="32"/>
          <w:lang w:val="zh-CN"/>
        </w:rPr>
      </w:pPr>
      <w:r>
        <w:rPr>
          <w:rFonts w:hint="eastAsia" w:ascii="仿宋_GB2312" w:hAnsi="Cambria" w:eastAsia="仿宋_GB2312" w:cs="仿宋_GB2312"/>
          <w:kern w:val="2"/>
          <w:sz w:val="32"/>
          <w:szCs w:val="32"/>
        </w:rPr>
        <w:t>1.</w:t>
      </w:r>
      <w:r>
        <w:rPr>
          <w:rFonts w:ascii="仿宋_GB2312" w:hAnsi="Cambria" w:eastAsia="仿宋_GB2312" w:cs="仿宋_GB2312"/>
          <w:kern w:val="2"/>
          <w:sz w:val="32"/>
          <w:szCs w:val="32"/>
        </w:rPr>
        <w:t>202</w:t>
      </w:r>
      <w:r>
        <w:rPr>
          <w:rFonts w:hint="eastAsia" w:ascii="仿宋_GB2312" w:hAnsi="Cambria" w:eastAsia="仿宋_GB2312" w:cs="仿宋_GB2312"/>
          <w:kern w:val="2"/>
          <w:sz w:val="32"/>
          <w:szCs w:val="32"/>
        </w:rPr>
        <w:t>2</w:t>
      </w:r>
      <w:r>
        <w:rPr>
          <w:rFonts w:ascii="仿宋_GB2312" w:hAnsi="Cambria" w:eastAsia="仿宋_GB2312" w:cs="仿宋_GB2312"/>
          <w:kern w:val="2"/>
          <w:sz w:val="32"/>
          <w:szCs w:val="32"/>
        </w:rPr>
        <w:t>年</w:t>
      </w:r>
      <w:r>
        <w:rPr>
          <w:rFonts w:hint="eastAsia" w:ascii="仿宋_GB2312" w:hAnsi="Cambria" w:eastAsia="仿宋_GB2312" w:cs="仿宋_GB2312"/>
          <w:kern w:val="2"/>
          <w:sz w:val="32"/>
          <w:szCs w:val="32"/>
        </w:rPr>
        <w:t>度</w:t>
      </w:r>
      <w:r>
        <w:rPr>
          <w:rFonts w:ascii="仿宋_GB2312" w:hAnsi="Cambria" w:eastAsia="仿宋_GB2312" w:cs="仿宋_GB2312"/>
          <w:kern w:val="2"/>
          <w:sz w:val="32"/>
          <w:szCs w:val="32"/>
        </w:rPr>
        <w:t>部门预算编制规范准确，各项经费足额纳入预算安排，确保</w:t>
      </w:r>
      <w:r>
        <w:rPr>
          <w:rFonts w:hint="eastAsia" w:ascii="仿宋_GB2312" w:hAnsi="Cambria" w:eastAsia="仿宋_GB2312" w:cs="仿宋_GB2312"/>
          <w:kern w:val="2"/>
          <w:sz w:val="32"/>
          <w:szCs w:val="32"/>
        </w:rPr>
        <w:t>我局各项业务工作的</w:t>
      </w:r>
      <w:r>
        <w:rPr>
          <w:rFonts w:ascii="仿宋_GB2312" w:hAnsi="Cambria" w:eastAsia="仿宋_GB2312" w:cs="仿宋_GB2312"/>
          <w:kern w:val="2"/>
          <w:sz w:val="32"/>
          <w:szCs w:val="32"/>
        </w:rPr>
        <w:t>正常运转，</w:t>
      </w:r>
      <w:r>
        <w:rPr>
          <w:rFonts w:hint="eastAsia" w:ascii="仿宋_GB2312" w:hAnsi="Cambria" w:eastAsia="仿宋_GB2312" w:cs="仿宋_GB2312"/>
          <w:kern w:val="2"/>
          <w:sz w:val="32"/>
          <w:szCs w:val="32"/>
        </w:rPr>
        <w:t>基本</w:t>
      </w:r>
      <w:r>
        <w:rPr>
          <w:rFonts w:ascii="仿宋_GB2312" w:hAnsi="Cambria" w:eastAsia="仿宋_GB2312" w:cs="仿宋_GB2312"/>
          <w:kern w:val="2"/>
          <w:sz w:val="32"/>
          <w:szCs w:val="32"/>
        </w:rPr>
        <w:t>完成年初绩效目标任务。</w:t>
      </w:r>
    </w:p>
    <w:p>
      <w:pPr>
        <w:keepNext/>
        <w:keepLines/>
        <w:spacing w:line="353" w:lineRule="auto"/>
        <w:ind w:firstLine="643"/>
        <w:rPr>
          <w:rFonts w:ascii="楷体_GB2312" w:hAnsi="Cambria" w:eastAsia="楷体_GB2312" w:cs="楷体_GB2312"/>
          <w:b/>
          <w:bCs/>
          <w:sz w:val="32"/>
          <w:szCs w:val="32"/>
          <w:lang w:val="zh-CN"/>
        </w:rPr>
      </w:pPr>
      <w:r>
        <w:rPr>
          <w:rFonts w:hint="eastAsia" w:ascii="仿宋_GB2312" w:hAnsi="Cambria" w:eastAsia="仿宋_GB2312" w:cs="仿宋_GB2312"/>
          <w:kern w:val="2"/>
          <w:sz w:val="32"/>
          <w:szCs w:val="32"/>
        </w:rPr>
        <w:t>2.</w:t>
      </w:r>
      <w:r>
        <w:rPr>
          <w:rFonts w:ascii="仿宋_GB2312" w:hAnsi="Cambria" w:eastAsia="仿宋_GB2312" w:cs="仿宋_GB2312"/>
          <w:kern w:val="2"/>
          <w:sz w:val="32"/>
          <w:szCs w:val="32"/>
        </w:rPr>
        <w:t>202</w:t>
      </w:r>
      <w:r>
        <w:rPr>
          <w:rFonts w:hint="eastAsia" w:ascii="仿宋_GB2312" w:hAnsi="Cambria" w:eastAsia="仿宋_GB2312" w:cs="仿宋_GB2312"/>
          <w:kern w:val="2"/>
          <w:sz w:val="32"/>
          <w:szCs w:val="32"/>
        </w:rPr>
        <w:t>2</w:t>
      </w:r>
      <w:r>
        <w:rPr>
          <w:rFonts w:ascii="仿宋_GB2312" w:hAnsi="Cambria" w:eastAsia="仿宋_GB2312" w:cs="仿宋_GB2312"/>
          <w:kern w:val="2"/>
          <w:sz w:val="32"/>
          <w:szCs w:val="32"/>
        </w:rPr>
        <w:t>年</w:t>
      </w:r>
      <w:r>
        <w:rPr>
          <w:rFonts w:hint="eastAsia" w:ascii="仿宋_GB2312" w:hAnsi="Cambria" w:eastAsia="仿宋_GB2312" w:cs="仿宋_GB2312"/>
          <w:kern w:val="2"/>
          <w:sz w:val="32"/>
          <w:szCs w:val="32"/>
        </w:rPr>
        <w:t>度</w:t>
      </w:r>
      <w:r>
        <w:rPr>
          <w:rFonts w:ascii="仿宋_GB2312" w:hAnsi="Cambria" w:eastAsia="仿宋_GB2312" w:cs="仿宋_GB2312"/>
          <w:kern w:val="2"/>
          <w:sz w:val="32"/>
          <w:szCs w:val="32"/>
        </w:rPr>
        <w:t>部门决算按照区财政和上级财政要求进行编制，准确、详实、真实地反映了</w:t>
      </w:r>
      <w:r>
        <w:rPr>
          <w:rFonts w:hint="eastAsia" w:ascii="仿宋_GB2312" w:hAnsi="Cambria" w:eastAsia="仿宋_GB2312" w:cs="仿宋_GB2312"/>
          <w:kern w:val="2"/>
          <w:sz w:val="32"/>
          <w:szCs w:val="32"/>
        </w:rPr>
        <w:t>我局</w:t>
      </w:r>
      <w:r>
        <w:rPr>
          <w:rFonts w:ascii="仿宋_GB2312" w:hAnsi="Cambria" w:eastAsia="仿宋_GB2312" w:cs="仿宋_GB2312"/>
          <w:kern w:val="2"/>
          <w:sz w:val="32"/>
          <w:szCs w:val="32"/>
        </w:rPr>
        <w:t>财政收支情况。</w:t>
      </w:r>
    </w:p>
    <w:p>
      <w:pPr>
        <w:keepNext/>
        <w:keepLines/>
        <w:spacing w:line="353" w:lineRule="auto"/>
        <w:ind w:firstLine="643"/>
        <w:rPr>
          <w:rFonts w:ascii="楷体_GB2312" w:hAnsi="Cambria" w:eastAsia="楷体_GB2312" w:cs="楷体_GB2312"/>
          <w:b/>
          <w:bCs/>
          <w:sz w:val="32"/>
          <w:szCs w:val="32"/>
          <w:lang w:val="zh-CN"/>
        </w:rPr>
      </w:pPr>
      <w:r>
        <w:rPr>
          <w:rFonts w:hint="eastAsia" w:ascii="仿宋_GB2312" w:hAnsi="Cambria" w:eastAsia="仿宋_GB2312" w:cs="仿宋_GB2312"/>
          <w:kern w:val="2"/>
          <w:sz w:val="32"/>
          <w:szCs w:val="32"/>
        </w:rPr>
        <w:t>3.对绩效评价发现的问题进行认真整改，应用绩效评价结果运用，提升部门管理服务效能，及时公开公示绩效评价情况。</w:t>
      </w:r>
    </w:p>
    <w:p>
      <w:pPr>
        <w:keepNext/>
        <w:keepLines/>
        <w:spacing w:line="353" w:lineRule="auto"/>
        <w:ind w:firstLine="640"/>
        <w:rPr>
          <w:rFonts w:ascii="黑体" w:hAnsi="Cambria" w:eastAsia="黑体" w:cs="黑体"/>
          <w:sz w:val="32"/>
          <w:szCs w:val="32"/>
        </w:rPr>
      </w:pPr>
      <w:r>
        <w:rPr>
          <w:rFonts w:hint="eastAsia" w:ascii="黑体" w:hAnsi="Cambria" w:eastAsia="黑体" w:cs="黑体"/>
          <w:sz w:val="32"/>
          <w:szCs w:val="32"/>
        </w:rPr>
        <w:t>四、评价结论及建议</w:t>
      </w:r>
    </w:p>
    <w:p>
      <w:pPr>
        <w:keepNext/>
        <w:keepLines/>
        <w:spacing w:line="353" w:lineRule="auto"/>
        <w:ind w:firstLine="643"/>
        <w:rPr>
          <w:rFonts w:ascii="楷体_GB2312" w:hAnsi="Cambria" w:eastAsia="楷体_GB2312" w:cs="楷体_GB2312"/>
          <w:b/>
          <w:bCs/>
          <w:sz w:val="32"/>
          <w:szCs w:val="32"/>
          <w:lang w:val="zh-CN"/>
        </w:rPr>
      </w:pPr>
      <w:r>
        <w:rPr>
          <w:rFonts w:hint="eastAsia" w:ascii="楷体_GB2312" w:hAnsi="Cambria" w:eastAsia="楷体_GB2312" w:cs="楷体_GB2312"/>
          <w:b/>
          <w:bCs/>
          <w:sz w:val="32"/>
          <w:szCs w:val="32"/>
          <w:lang w:val="zh-CN"/>
        </w:rPr>
        <w:t>（一）评价结论。</w:t>
      </w:r>
    </w:p>
    <w:p>
      <w:pPr>
        <w:keepNext/>
        <w:keepLines/>
        <w:spacing w:line="353" w:lineRule="auto"/>
        <w:ind w:firstLine="643"/>
        <w:rPr>
          <w:rFonts w:ascii="楷体_GB2312" w:hAnsi="Cambria" w:eastAsia="楷体_GB2312" w:cs="楷体_GB2312"/>
          <w:b/>
          <w:bCs/>
          <w:sz w:val="32"/>
          <w:szCs w:val="32"/>
          <w:lang w:val="zh-CN"/>
        </w:rPr>
      </w:pPr>
      <w:r>
        <w:rPr>
          <w:rFonts w:hint="eastAsia" w:ascii="仿宋_GB2312" w:hAnsi="Cambria" w:eastAsia="仿宋_GB2312" w:cs="仿宋_GB2312"/>
          <w:kern w:val="2"/>
          <w:sz w:val="32"/>
          <w:szCs w:val="32"/>
        </w:rPr>
        <w:t>2022年攀枝花市东区综合行政执法局自我绩效评价为：优秀。</w:t>
      </w:r>
      <w:r>
        <w:rPr>
          <w:rFonts w:ascii="Times New Roman" w:hAnsi="Times New Roman" w:eastAsia="仿宋_GB2312" w:cs="Times New Roman"/>
          <w:kern w:val="2"/>
          <w:sz w:val="32"/>
          <w:szCs w:val="32"/>
          <w:lang w:val="zh-CN"/>
        </w:rPr>
        <w:t>评价得分：部门预算项目绩效管理</w:t>
      </w:r>
      <w:r>
        <w:rPr>
          <w:rFonts w:ascii="Times New Roman" w:hAnsi="Times New Roman" w:eastAsia="仿宋_GB2312" w:cs="Times New Roman"/>
          <w:kern w:val="2"/>
          <w:sz w:val="32"/>
          <w:szCs w:val="32"/>
        </w:rPr>
        <w:t>38</w:t>
      </w:r>
      <w:r>
        <w:rPr>
          <w:rFonts w:ascii="Times New Roman" w:hAnsi="Times New Roman" w:eastAsia="仿宋_GB2312" w:cs="Times New Roman"/>
          <w:kern w:val="2"/>
          <w:sz w:val="32"/>
          <w:szCs w:val="32"/>
          <w:lang w:val="zh-CN"/>
        </w:rPr>
        <w:t>分，</w:t>
      </w:r>
      <w:r>
        <w:rPr>
          <w:rFonts w:ascii="Times New Roman" w:hAnsi="Times New Roman" w:eastAsia="仿宋_GB2312" w:cs="Times New Roman"/>
          <w:kern w:val="2"/>
          <w:sz w:val="32"/>
          <w:szCs w:val="32"/>
        </w:rPr>
        <w:t>专项预算项目绩效管理38分，</w:t>
      </w:r>
      <w:r>
        <w:rPr>
          <w:rFonts w:ascii="Times New Roman" w:hAnsi="Times New Roman" w:eastAsia="仿宋_GB2312" w:cs="Times New Roman"/>
          <w:kern w:val="2"/>
          <w:sz w:val="32"/>
          <w:szCs w:val="32"/>
          <w:lang w:val="zh-CN"/>
        </w:rPr>
        <w:t>绩效结果应用</w:t>
      </w:r>
      <w:r>
        <w:rPr>
          <w:rFonts w:ascii="Times New Roman" w:hAnsi="Times New Roman" w:eastAsia="仿宋_GB2312" w:cs="Times New Roman"/>
          <w:kern w:val="2"/>
          <w:sz w:val="32"/>
          <w:szCs w:val="32"/>
        </w:rPr>
        <w:t>10</w:t>
      </w:r>
      <w:r>
        <w:rPr>
          <w:rFonts w:ascii="Times New Roman" w:hAnsi="Times New Roman" w:eastAsia="仿宋_GB2312" w:cs="Times New Roman"/>
          <w:kern w:val="2"/>
          <w:sz w:val="32"/>
          <w:szCs w:val="32"/>
          <w:lang w:val="zh-CN"/>
        </w:rPr>
        <w:t>分，自评质量</w:t>
      </w:r>
      <w:r>
        <w:rPr>
          <w:rFonts w:ascii="Times New Roman" w:hAnsi="Times New Roman" w:eastAsia="仿宋_GB2312" w:cs="Times New Roman"/>
          <w:kern w:val="2"/>
          <w:sz w:val="32"/>
          <w:szCs w:val="32"/>
        </w:rPr>
        <w:t>9分，</w:t>
      </w:r>
      <w:r>
        <w:rPr>
          <w:rFonts w:ascii="Times New Roman" w:hAnsi="Times New Roman" w:eastAsia="仿宋_GB2312" w:cs="Times New Roman"/>
          <w:kern w:val="2"/>
          <w:sz w:val="32"/>
          <w:szCs w:val="32"/>
          <w:lang w:val="zh-CN"/>
        </w:rPr>
        <w:t>合计</w:t>
      </w:r>
      <w:r>
        <w:rPr>
          <w:rFonts w:ascii="Times New Roman" w:hAnsi="Times New Roman" w:eastAsia="仿宋_GB2312" w:cs="Times New Roman"/>
          <w:kern w:val="2"/>
          <w:sz w:val="32"/>
          <w:szCs w:val="32"/>
        </w:rPr>
        <w:t>95</w:t>
      </w:r>
      <w:r>
        <w:rPr>
          <w:rFonts w:ascii="Times New Roman" w:hAnsi="Times New Roman" w:eastAsia="仿宋_GB2312" w:cs="Times New Roman"/>
          <w:kern w:val="2"/>
          <w:sz w:val="32"/>
          <w:szCs w:val="32"/>
          <w:lang w:val="zh-CN"/>
        </w:rPr>
        <w:t>分。</w:t>
      </w:r>
    </w:p>
    <w:p>
      <w:pPr>
        <w:keepNext/>
        <w:keepLines/>
        <w:spacing w:line="353" w:lineRule="auto"/>
        <w:ind w:firstLine="643"/>
        <w:rPr>
          <w:rFonts w:ascii="楷体_GB2312" w:hAnsi="Cambria" w:eastAsia="楷体_GB2312" w:cs="楷体_GB2312"/>
          <w:b/>
          <w:bCs/>
          <w:sz w:val="32"/>
          <w:szCs w:val="32"/>
          <w:lang w:val="zh-CN"/>
        </w:rPr>
      </w:pPr>
      <w:r>
        <w:rPr>
          <w:rFonts w:hint="eastAsia" w:ascii="楷体_GB2312" w:hAnsi="Cambria" w:eastAsia="楷体_GB2312" w:cs="楷体_GB2312"/>
          <w:b/>
          <w:bCs/>
          <w:sz w:val="32"/>
          <w:szCs w:val="32"/>
          <w:lang w:val="zh-CN"/>
        </w:rPr>
        <w:t>（二）存在问题。</w:t>
      </w:r>
    </w:p>
    <w:p>
      <w:pPr>
        <w:keepNext/>
        <w:spacing w:line="353" w:lineRule="auto"/>
        <w:ind w:firstLine="641"/>
        <w:rPr>
          <w:rFonts w:ascii="楷体_GB2312" w:hAnsi="Cambria" w:eastAsia="楷体_GB2312" w:cs="楷体_GB2312"/>
          <w:b/>
          <w:bCs/>
          <w:sz w:val="32"/>
          <w:szCs w:val="32"/>
          <w:lang w:val="zh-CN"/>
        </w:rPr>
      </w:pPr>
      <w:r>
        <w:rPr>
          <w:rFonts w:ascii="仿宋_GB2312" w:hAnsi="Cambria" w:eastAsia="仿宋_GB2312" w:cs="仿宋_GB2312"/>
          <w:kern w:val="2"/>
          <w:sz w:val="32"/>
          <w:szCs w:val="32"/>
        </w:rPr>
        <w:t>基本支出经费保障水平偏低。预算执行基本围绕保障人员经费、保障正常运转进行。从决算情况看，基本支出比重比较大。资产管理资料更新速度较慢。虽然按照财政对资产管理的要求，对各项资产都进行了登记及建立台账，但仍存在更新滞后的情况。财务人员业务水平仍需提高，需加强对财务业务知识的培训。</w:t>
      </w:r>
    </w:p>
    <w:p>
      <w:pPr>
        <w:keepNext/>
        <w:keepLines/>
        <w:spacing w:line="353" w:lineRule="auto"/>
        <w:ind w:firstLine="643"/>
        <w:rPr>
          <w:rFonts w:ascii="楷体_GB2312" w:hAnsi="Cambria" w:eastAsia="楷体_GB2312" w:cs="楷体_GB2312"/>
          <w:b/>
          <w:bCs/>
          <w:sz w:val="32"/>
          <w:szCs w:val="32"/>
          <w:lang w:val="zh-CN"/>
        </w:rPr>
      </w:pPr>
      <w:r>
        <w:rPr>
          <w:rFonts w:hint="eastAsia" w:ascii="楷体_GB2312" w:hAnsi="Cambria" w:eastAsia="楷体_GB2312" w:cs="楷体_GB2312"/>
          <w:b/>
          <w:bCs/>
          <w:sz w:val="32"/>
          <w:szCs w:val="32"/>
          <w:lang w:val="zh-CN"/>
        </w:rPr>
        <w:t>（三）改进建议。</w:t>
      </w:r>
    </w:p>
    <w:p>
      <w:pPr>
        <w:keepNext/>
        <w:keepLines/>
        <w:spacing w:line="353" w:lineRule="auto"/>
        <w:ind w:firstLine="643"/>
        <w:rPr>
          <w:rFonts w:ascii="楷体_GB2312" w:hAnsi="Cambria" w:eastAsia="楷体_GB2312" w:cs="楷体_GB2312"/>
          <w:b/>
          <w:bCs/>
          <w:sz w:val="32"/>
          <w:szCs w:val="32"/>
          <w:lang w:val="zh-CN"/>
        </w:rPr>
      </w:pPr>
      <w:r>
        <w:rPr>
          <w:rFonts w:ascii="仿宋_GB2312" w:hAnsi="Cambria" w:eastAsia="仿宋_GB2312" w:cs="仿宋_GB2312"/>
          <w:kern w:val="2"/>
          <w:sz w:val="32"/>
          <w:szCs w:val="32"/>
        </w:rPr>
        <w:t>细化预算编制工作，认真做好预算的编制。严格按照预算编制的相关制度和要求进行预算编制。加强财务管理，严格财务审核。加强单位财务管理，健全单位财务管理制度体系，规范单位财务行为。完善资产管理，抓好“三公”经费控制。严格控制“三公”经费规模和比例，把关“三公”经费支出的审核、审批，杜绝挪用和挤占其他预算资金行为；进一步细化“三公”经费的管理，合理压缩“三公”经费支出。</w:t>
      </w:r>
    </w:p>
    <w:p>
      <w:pPr>
        <w:keepNext/>
        <w:keepLines/>
        <w:spacing w:after="120" w:line="353" w:lineRule="auto"/>
        <w:ind w:firstLine="640"/>
        <w:jc w:val="both"/>
        <w:rPr>
          <w:rFonts w:ascii="仿宋_GB2312" w:hAnsi="Cambria" w:eastAsia="仿宋_GB2312" w:cs="仿宋_GB2312"/>
          <w:kern w:val="2"/>
          <w:sz w:val="32"/>
          <w:szCs w:val="32"/>
          <w:lang w:val="zh-CN"/>
        </w:rPr>
      </w:pPr>
      <w:r>
        <w:rPr>
          <w:rFonts w:hint="eastAsia" w:ascii="仿宋_GB2312" w:hAnsi="Cambria" w:eastAsia="仿宋_GB2312" w:cs="仿宋_GB2312"/>
          <w:kern w:val="2"/>
          <w:sz w:val="32"/>
          <w:szCs w:val="32"/>
          <w:lang w:val="zh-CN"/>
        </w:rPr>
        <w:t>附表：</w:t>
      </w:r>
      <w:r>
        <w:rPr>
          <w:rFonts w:hint="eastAsia" w:ascii="仿宋_GB2312" w:hAnsi="Cambria" w:eastAsia="仿宋_GB2312" w:cs="仿宋_GB2312"/>
          <w:kern w:val="2"/>
          <w:sz w:val="32"/>
          <w:szCs w:val="32"/>
        </w:rPr>
        <w:t>部门预算项目支出绩效自评表（</w:t>
      </w:r>
      <w:r>
        <w:rPr>
          <w:rFonts w:ascii="仿宋_GB2312" w:hAnsi="Cambria" w:eastAsia="仿宋_GB2312" w:cs="仿宋_GB2312"/>
          <w:kern w:val="2"/>
          <w:sz w:val="32"/>
          <w:szCs w:val="32"/>
        </w:rPr>
        <w:t>2022</w:t>
      </w:r>
      <w:r>
        <w:rPr>
          <w:rFonts w:hint="eastAsia" w:ascii="仿宋_GB2312" w:hAnsi="Cambria" w:eastAsia="仿宋_GB2312" w:cs="仿宋_GB2312"/>
          <w:kern w:val="2"/>
          <w:sz w:val="32"/>
          <w:szCs w:val="32"/>
        </w:rPr>
        <w:t>年度）</w:t>
      </w:r>
    </w:p>
    <w:p>
      <w:pPr>
        <w:keepNext/>
        <w:keepLines/>
        <w:spacing w:after="120" w:line="353" w:lineRule="auto"/>
        <w:ind w:firstLine="640"/>
        <w:jc w:val="both"/>
        <w:rPr>
          <w:rFonts w:ascii="仿宋_GB2312" w:hAnsi="Cambria" w:eastAsia="仿宋_GB2312" w:cs="仿宋_GB2312"/>
          <w:kern w:val="2"/>
          <w:sz w:val="32"/>
          <w:szCs w:val="32"/>
          <w:lang w:val="zh-CN"/>
        </w:rPr>
      </w:pPr>
    </w:p>
    <w:p>
      <w:pPr>
        <w:keepNext/>
        <w:keepLines/>
        <w:spacing w:after="120" w:line="353" w:lineRule="auto"/>
        <w:ind w:firstLine="640"/>
        <w:jc w:val="both"/>
        <w:rPr>
          <w:rFonts w:ascii="仿宋_GB2312" w:hAnsi="Cambria" w:eastAsia="仿宋_GB2312" w:cs="仿宋_GB2312"/>
          <w:kern w:val="2"/>
          <w:sz w:val="32"/>
          <w:szCs w:val="32"/>
          <w:lang w:val="zh-CN"/>
        </w:rPr>
      </w:pPr>
    </w:p>
    <w:p>
      <w:pPr>
        <w:keepNext/>
        <w:keepLines/>
        <w:spacing w:after="120" w:line="353" w:lineRule="auto"/>
        <w:ind w:firstLine="640"/>
        <w:jc w:val="both"/>
        <w:rPr>
          <w:rFonts w:ascii="仿宋_GB2312" w:hAnsi="Cambria" w:eastAsia="仿宋_GB2312" w:cs="仿宋_GB2312"/>
          <w:kern w:val="2"/>
          <w:sz w:val="32"/>
          <w:szCs w:val="32"/>
          <w:lang w:val="zh-CN"/>
        </w:rPr>
      </w:pPr>
    </w:p>
    <w:p>
      <w:pPr>
        <w:keepNext/>
        <w:keepLines/>
        <w:spacing w:after="120" w:line="353" w:lineRule="auto"/>
        <w:ind w:firstLine="640"/>
        <w:jc w:val="both"/>
        <w:rPr>
          <w:rFonts w:ascii="仿宋_GB2312" w:hAnsi="Cambria" w:eastAsia="仿宋_GB2312" w:cs="仿宋_GB2312"/>
          <w:kern w:val="2"/>
          <w:sz w:val="32"/>
          <w:szCs w:val="32"/>
          <w:lang w:val="zh-CN"/>
        </w:rPr>
      </w:pPr>
    </w:p>
    <w:p>
      <w:pPr>
        <w:keepNext/>
        <w:keepLines/>
        <w:spacing w:after="120" w:line="353" w:lineRule="auto"/>
        <w:ind w:firstLine="640"/>
        <w:jc w:val="both"/>
        <w:rPr>
          <w:rFonts w:ascii="仿宋_GB2312" w:hAnsi="Cambria" w:eastAsia="仿宋_GB2312" w:cs="仿宋_GB2312"/>
          <w:kern w:val="2"/>
          <w:sz w:val="32"/>
          <w:szCs w:val="32"/>
          <w:lang w:val="zh-CN"/>
        </w:rPr>
      </w:pPr>
    </w:p>
    <w:p>
      <w:pPr>
        <w:keepNext/>
        <w:keepLines/>
        <w:spacing w:after="120" w:line="353" w:lineRule="auto"/>
        <w:ind w:firstLine="640"/>
        <w:jc w:val="both"/>
        <w:rPr>
          <w:rFonts w:ascii="仿宋_GB2312" w:hAnsi="Cambria" w:eastAsia="仿宋_GB2312" w:cs="仿宋_GB2312"/>
          <w:kern w:val="2"/>
          <w:sz w:val="32"/>
          <w:szCs w:val="32"/>
          <w:lang w:val="zh-CN"/>
        </w:rPr>
      </w:pPr>
    </w:p>
    <w:p>
      <w:pPr>
        <w:keepNext/>
        <w:keepLines/>
        <w:spacing w:after="120" w:line="353" w:lineRule="auto"/>
        <w:ind w:firstLine="640"/>
        <w:jc w:val="both"/>
        <w:rPr>
          <w:rFonts w:ascii="仿宋_GB2312" w:hAnsi="Cambria" w:eastAsia="仿宋_GB2312" w:cs="仿宋_GB2312"/>
          <w:kern w:val="2"/>
          <w:sz w:val="32"/>
          <w:szCs w:val="32"/>
          <w:lang w:val="zh-CN"/>
        </w:rPr>
      </w:pPr>
    </w:p>
    <w:p>
      <w:pPr>
        <w:keepNext/>
        <w:keepLines/>
        <w:spacing w:after="120" w:line="353" w:lineRule="auto"/>
        <w:ind w:firstLine="640"/>
        <w:jc w:val="both"/>
        <w:rPr>
          <w:rFonts w:ascii="仿宋_GB2312" w:hAnsi="Cambria" w:eastAsia="仿宋_GB2312" w:cs="仿宋_GB2312"/>
          <w:kern w:val="2"/>
          <w:sz w:val="32"/>
          <w:szCs w:val="32"/>
          <w:lang w:val="zh-CN"/>
        </w:rPr>
      </w:pPr>
    </w:p>
    <w:p>
      <w:pPr>
        <w:keepNext/>
        <w:keepLines/>
        <w:spacing w:after="120" w:line="353" w:lineRule="auto"/>
        <w:ind w:firstLine="640"/>
        <w:jc w:val="both"/>
        <w:rPr>
          <w:rFonts w:ascii="仿宋_GB2312" w:hAnsi="Cambria" w:eastAsia="仿宋_GB2312" w:cs="仿宋_GB2312"/>
          <w:kern w:val="2"/>
          <w:sz w:val="32"/>
          <w:szCs w:val="32"/>
          <w:lang w:val="zh-CN"/>
        </w:rPr>
      </w:pPr>
    </w:p>
    <w:p>
      <w:pPr>
        <w:keepNext/>
        <w:keepLines/>
        <w:spacing w:after="120" w:line="353" w:lineRule="auto"/>
        <w:ind w:firstLine="640"/>
        <w:jc w:val="both"/>
        <w:rPr>
          <w:rFonts w:ascii="仿宋_GB2312" w:hAnsi="Cambria" w:eastAsia="仿宋_GB2312" w:cs="仿宋_GB2312"/>
          <w:kern w:val="2"/>
          <w:sz w:val="32"/>
          <w:szCs w:val="32"/>
          <w:lang w:val="zh-CN"/>
        </w:rPr>
      </w:pPr>
    </w:p>
    <w:p>
      <w:pPr>
        <w:keepNext/>
        <w:keepLines/>
        <w:spacing w:after="120" w:line="353" w:lineRule="auto"/>
        <w:jc w:val="both"/>
        <w:rPr>
          <w:rFonts w:ascii="仿宋_GB2312" w:hAnsi="Cambria" w:eastAsia="仿宋_GB2312" w:cs="仿宋_GB2312"/>
          <w:kern w:val="2"/>
          <w:sz w:val="32"/>
          <w:szCs w:val="32"/>
          <w:lang w:val="zh-CN"/>
        </w:rPr>
      </w:pPr>
    </w:p>
    <w:p>
      <w:pPr>
        <w:keepNext/>
        <w:keepLines/>
        <w:spacing w:line="353" w:lineRule="auto"/>
        <w:rPr>
          <w:rFonts w:hAnsi="Cambria" w:cs="方正小标宋简体"/>
          <w:kern w:val="2"/>
          <w:sz w:val="32"/>
          <w:szCs w:val="32"/>
        </w:rPr>
      </w:pPr>
      <w:r>
        <w:rPr>
          <w:rFonts w:hint="eastAsia" w:ascii="仿宋_GB2312" w:hAnsi="Cambria" w:eastAsia="仿宋_GB2312" w:cs="仿宋_GB2312"/>
          <w:sz w:val="32"/>
          <w:szCs w:val="32"/>
          <w:lang w:val="zh-CN"/>
        </w:rPr>
        <w:t>附件</w:t>
      </w:r>
      <w:r>
        <w:rPr>
          <w:rFonts w:ascii="仿宋_GB2312" w:hAnsi="Cambria" w:eastAsia="仿宋_GB2312" w:cs="仿宋_GB2312"/>
          <w:sz w:val="32"/>
          <w:szCs w:val="32"/>
        </w:rPr>
        <w:t>2</w:t>
      </w:r>
    </w:p>
    <w:p>
      <w:pPr>
        <w:keepNext/>
        <w:keepLines/>
        <w:spacing w:line="353" w:lineRule="auto"/>
        <w:jc w:val="center"/>
        <w:rPr>
          <w:rFonts w:hAnsi="Cambria" w:cs="方正小标宋简体"/>
          <w:kern w:val="2"/>
          <w:sz w:val="44"/>
          <w:szCs w:val="44"/>
        </w:rPr>
      </w:pPr>
      <w:r>
        <w:rPr>
          <w:rFonts w:hAnsi="Cambria" w:cs="方正小标宋简体"/>
          <w:kern w:val="2"/>
          <w:sz w:val="44"/>
          <w:szCs w:val="44"/>
        </w:rPr>
        <w:t>2022年预算项目绩效自评报告</w:t>
      </w:r>
    </w:p>
    <w:p>
      <w:pPr>
        <w:keepNext/>
        <w:keepLines/>
        <w:spacing w:line="353" w:lineRule="auto"/>
        <w:ind w:firstLine="640"/>
        <w:jc w:val="center"/>
        <w:rPr>
          <w:rFonts w:ascii="宋体" w:hAnsi="Cambria" w:eastAsia="宋体" w:cs="宋体"/>
          <w:kern w:val="2"/>
          <w:sz w:val="32"/>
          <w:szCs w:val="32"/>
          <w:lang w:val="zh-CN"/>
        </w:rPr>
      </w:pPr>
      <w:r>
        <w:rPr>
          <w:rFonts w:hint="eastAsia" w:ascii="仿宋_GB2312" w:hAnsi="宋体" w:eastAsia="仿宋_GB2312"/>
          <w:color w:val="000000"/>
          <w:sz w:val="32"/>
          <w:szCs w:val="32"/>
          <w:lang w:val="zh-CN"/>
        </w:rPr>
        <w:t>（城管执法外勤补助、保险、培训</w:t>
      </w:r>
      <w:r>
        <w:rPr>
          <w:rFonts w:ascii="仿宋_GB2312" w:hAnsi="宋体" w:eastAsia="仿宋_GB2312"/>
          <w:color w:val="000000"/>
          <w:sz w:val="32"/>
          <w:szCs w:val="32"/>
          <w:lang w:val="zh-CN"/>
        </w:rPr>
        <w:t>）</w:t>
      </w:r>
    </w:p>
    <w:p>
      <w:pPr>
        <w:keepNext/>
        <w:keepLines/>
        <w:spacing w:line="353" w:lineRule="auto"/>
        <w:ind w:firstLine="720"/>
        <w:jc w:val="both"/>
        <w:rPr>
          <w:rFonts w:ascii="黑体" w:hAnsi="Cambria" w:eastAsia="黑体" w:cs="黑体"/>
          <w:kern w:val="2"/>
          <w:sz w:val="32"/>
          <w:szCs w:val="32"/>
          <w:lang w:val="zh-CN"/>
        </w:rPr>
      </w:pPr>
      <w:r>
        <w:rPr>
          <w:rFonts w:hint="eastAsia" w:ascii="黑体" w:hAnsi="Cambria" w:eastAsia="黑体" w:cs="黑体"/>
          <w:kern w:val="2"/>
          <w:sz w:val="32"/>
          <w:szCs w:val="32"/>
        </w:rPr>
        <w:t>一、</w:t>
      </w:r>
      <w:r>
        <w:rPr>
          <w:rFonts w:hint="eastAsia" w:ascii="黑体" w:hAnsi="Cambria" w:eastAsia="黑体" w:cs="黑体"/>
          <w:kern w:val="2"/>
          <w:sz w:val="32"/>
          <w:szCs w:val="32"/>
          <w:lang w:val="zh-CN"/>
        </w:rPr>
        <w:t>项目概况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（一）项目基本情况。</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w:t>
      </w:r>
      <w:r>
        <w:rPr>
          <w:rFonts w:hint="eastAsia" w:ascii="仿宋_GB2312" w:hAnsi="宋体" w:eastAsia="仿宋_GB2312"/>
          <w:sz w:val="32"/>
          <w:szCs w:val="32"/>
          <w:lang w:val="zh-CN"/>
        </w:rPr>
        <w:t>攀枝花市东区</w:t>
      </w:r>
      <w:r>
        <w:rPr>
          <w:rFonts w:hint="eastAsia" w:ascii="仿宋_GB2312" w:eastAsia="仿宋_GB2312"/>
          <w:sz w:val="32"/>
          <w:szCs w:val="32"/>
          <w:lang w:val="zh-CN"/>
        </w:rPr>
        <w:t>综合行政执法局</w:t>
      </w:r>
      <w:r>
        <w:rPr>
          <w:rFonts w:hint="eastAsia" w:ascii="仿宋_GB2312" w:hAnsi="宋体" w:eastAsia="仿宋_GB2312"/>
          <w:sz w:val="32"/>
          <w:szCs w:val="32"/>
          <w:lang w:val="zh-CN"/>
        </w:rPr>
        <w:t>是该项目的具体实施主体。</w:t>
      </w:r>
    </w:p>
    <w:p>
      <w:pPr>
        <w:keepNext/>
        <w:spacing w:line="353" w:lineRule="auto"/>
        <w:ind w:firstLine="641"/>
        <w:rPr>
          <w:rFonts w:ascii="仿宋_GB2312" w:hAnsi="Cambria" w:eastAsia="仿宋_GB2312" w:cs="仿宋_GB2312"/>
          <w:sz w:val="32"/>
          <w:szCs w:val="32"/>
          <w:lang w:val="zh-CN"/>
        </w:rPr>
      </w:pPr>
      <w:r>
        <w:rPr>
          <w:rFonts w:ascii="仿宋_GB2312" w:hAnsi="Cambria" w:eastAsia="仿宋_GB2312" w:cs="仿宋_GB2312"/>
          <w:sz w:val="32"/>
          <w:szCs w:val="32"/>
          <w:lang w:val="zh-CN"/>
        </w:rPr>
        <w:t>2</w:t>
      </w:r>
      <w:r>
        <w:rPr>
          <w:rFonts w:hint="eastAsia" w:ascii="仿宋_GB2312" w:hAnsi="Cambria" w:eastAsia="仿宋_GB2312" w:cs="仿宋_GB2312"/>
          <w:sz w:val="32"/>
          <w:szCs w:val="32"/>
          <w:lang w:val="zh-CN"/>
        </w:rPr>
        <w:t>．项目立项、资金申报的依据</w:t>
      </w:r>
      <w:r>
        <w:rPr>
          <w:rFonts w:hint="eastAsia" w:ascii="宋体" w:hAnsi="Cambria" w:eastAsia="宋体" w:cs="宋体"/>
          <w:sz w:val="32"/>
          <w:szCs w:val="32"/>
        </w:rPr>
        <w:t>：</w:t>
      </w:r>
      <w:r>
        <w:rPr>
          <w:rFonts w:hint="eastAsia" w:ascii="仿宋_GB2312" w:hAnsi="Cambria" w:eastAsia="仿宋_GB2312" w:cs="仿宋_GB2312"/>
          <w:sz w:val="32"/>
          <w:szCs w:val="32"/>
        </w:rPr>
        <w:t>项目涉及</w:t>
      </w:r>
      <w:r>
        <w:rPr>
          <w:rFonts w:hint="eastAsia" w:ascii="宋体" w:hAnsi="Cambria" w:eastAsia="宋体" w:cs="宋体"/>
          <w:sz w:val="32"/>
          <w:szCs w:val="32"/>
        </w:rPr>
        <w:t>的中省</w:t>
      </w:r>
      <w:r>
        <w:rPr>
          <w:rFonts w:hint="eastAsia" w:ascii="仿宋_GB2312" w:hAnsi="Cambria" w:eastAsia="仿宋_GB2312" w:cs="仿宋_GB2312"/>
          <w:sz w:val="32"/>
          <w:szCs w:val="32"/>
        </w:rPr>
        <w:t>相关政策文件</w:t>
      </w:r>
      <w:r>
        <w:rPr>
          <w:rFonts w:hint="eastAsia" w:ascii="宋体" w:hAnsi="Cambria" w:eastAsia="宋体" w:cs="宋体"/>
          <w:sz w:val="32"/>
          <w:szCs w:val="32"/>
        </w:rPr>
        <w:t>和</w:t>
      </w:r>
      <w:r>
        <w:rPr>
          <w:rFonts w:hint="eastAsia" w:ascii="仿宋_GB2312" w:hAnsi="Cambria" w:eastAsia="仿宋_GB2312" w:cs="仿宋_GB2312"/>
          <w:sz w:val="32"/>
          <w:szCs w:val="32"/>
        </w:rPr>
        <w:t>规划</w:t>
      </w:r>
      <w:r>
        <w:rPr>
          <w:rFonts w:hint="eastAsia" w:ascii="宋体" w:hAnsi="Cambria" w:eastAsia="宋体" w:cs="宋体"/>
          <w:sz w:val="32"/>
          <w:szCs w:val="32"/>
        </w:rPr>
        <w:t>、</w:t>
      </w:r>
      <w:r>
        <w:rPr>
          <w:rFonts w:hint="eastAsia" w:ascii="仿宋_GB2312" w:hAnsi="Cambria" w:eastAsia="仿宋_GB2312" w:cs="仿宋_GB2312"/>
          <w:sz w:val="32"/>
          <w:szCs w:val="32"/>
        </w:rPr>
        <w:t>项目设立论证资料</w:t>
      </w:r>
      <w:r>
        <w:rPr>
          <w:rFonts w:hint="eastAsia" w:ascii="宋体" w:hAnsi="Cambria" w:eastAsia="宋体" w:cs="宋体"/>
          <w:sz w:val="32"/>
          <w:szCs w:val="32"/>
        </w:rPr>
        <w:t>、</w:t>
      </w:r>
      <w:r>
        <w:rPr>
          <w:rFonts w:hint="eastAsia" w:ascii="仿宋_GB2312" w:hAnsi="Cambria" w:eastAsia="仿宋_GB2312" w:cs="仿宋_GB2312"/>
          <w:sz w:val="32"/>
          <w:szCs w:val="32"/>
        </w:rPr>
        <w:t>资金安排相关文件</w:t>
      </w:r>
      <w:r>
        <w:rPr>
          <w:rFonts w:hint="eastAsia" w:ascii="宋体" w:hAnsi="Cambria" w:eastAsia="宋体" w:cs="宋体"/>
          <w:sz w:val="32"/>
          <w:szCs w:val="32"/>
        </w:rPr>
        <w:t>等</w:t>
      </w:r>
      <w:r>
        <w:rPr>
          <w:rFonts w:hint="eastAsia" w:ascii="仿宋_GB2312" w:hAnsi="Cambria" w:eastAsia="仿宋_GB2312" w:cs="仿宋_GB2312"/>
          <w:sz w:val="32"/>
          <w:szCs w:val="32"/>
        </w:rPr>
        <w:t>。附相关文件资料</w:t>
      </w:r>
      <w:r>
        <w:rPr>
          <w:rFonts w:hint="eastAsia" w:ascii="仿宋_GB2312" w:hAnsi="Cambria" w:eastAsia="仿宋_GB2312" w:cs="仿宋_GB2312"/>
          <w:sz w:val="32"/>
          <w:szCs w:val="32"/>
          <w:lang w:val="zh-CN"/>
        </w:rPr>
        <w:t>。</w:t>
      </w:r>
      <w:r>
        <w:rPr>
          <w:rFonts w:hint="eastAsia" w:ascii="仿宋_GB2312" w:hAnsi="Cambria" w:eastAsia="仿宋_GB2312" w:cs="仿宋_GB2312"/>
          <w:sz w:val="32"/>
          <w:szCs w:val="32"/>
        </w:rPr>
        <w:t>为了</w:t>
      </w:r>
      <w:r>
        <w:rPr>
          <w:rFonts w:ascii="仿宋_GB2312" w:hAnsi="Cambria" w:eastAsia="仿宋_GB2312" w:cs="仿宋_GB2312"/>
          <w:sz w:val="32"/>
          <w:szCs w:val="32"/>
        </w:rPr>
        <w:t>保障</w:t>
      </w:r>
      <w:r>
        <w:rPr>
          <w:rFonts w:ascii="仿宋_GB2312" w:hAnsi="Cambria" w:eastAsia="仿宋_GB2312" w:cs="仿宋_GB2312"/>
          <w:bCs/>
          <w:sz w:val="32"/>
          <w:szCs w:val="32"/>
        </w:rPr>
        <w:t>东区城市执法人员工作正常运行</w:t>
      </w:r>
      <w:r>
        <w:rPr>
          <w:rFonts w:ascii="仿宋_GB2312" w:hAnsi="Cambria" w:eastAsia="仿宋_GB2312" w:cs="仿宋_GB2312"/>
          <w:sz w:val="32"/>
          <w:szCs w:val="32"/>
        </w:rPr>
        <w:t>。</w:t>
      </w:r>
      <w:r>
        <w:rPr>
          <w:rFonts w:hint="eastAsia" w:ascii="仿宋_GB2312" w:hAnsi="Cambria" w:eastAsia="仿宋_GB2312" w:cs="仿宋_GB2312"/>
          <w:sz w:val="32"/>
          <w:szCs w:val="32"/>
        </w:rPr>
        <w:t>一是行政执法人员16人、城管协管员66人，225元/人·月，共计22.14万元；二是保险费200/人·年，224人，共计4.48万元；三是执法纠纷十九冶定点医疗费，预安排6万元，以实际发生为准，凭票据补充安排；四是培训及军训相关人员共293人10万元；五是为制服破损无法正常穿戴的执法人员及新进执法人员订购执法制服，预安排5万元，为新进执法人员订购执法制服，预安排10万元，以实际发生为准。</w:t>
      </w:r>
    </w:p>
    <w:p>
      <w:pPr>
        <w:keepNext/>
        <w:keepLines/>
        <w:spacing w:line="353" w:lineRule="auto"/>
        <w:ind w:firstLine="640"/>
        <w:rPr>
          <w:rFonts w:ascii="仿宋_GB2312" w:hAnsi="Cambria" w:eastAsia="仿宋_GB2312" w:cs="仿宋_GB2312"/>
          <w:sz w:val="32"/>
          <w:szCs w:val="32"/>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．资金</w:t>
      </w:r>
      <w:r>
        <w:rPr>
          <w:rFonts w:hint="eastAsia" w:ascii="仿宋_GB2312" w:hAnsi="Cambria" w:eastAsia="仿宋_GB2312" w:cs="仿宋_GB2312"/>
          <w:sz w:val="32"/>
          <w:szCs w:val="32"/>
        </w:rPr>
        <w:t>或项目</w:t>
      </w:r>
      <w:r>
        <w:rPr>
          <w:rFonts w:hint="eastAsia" w:ascii="仿宋_GB2312" w:hAnsi="Cambria" w:eastAsia="仿宋_GB2312" w:cs="仿宋_GB2312"/>
          <w:sz w:val="32"/>
          <w:szCs w:val="32"/>
          <w:lang w:val="zh-CN"/>
        </w:rPr>
        <w:t>管理办法制定情况，资金支持具体项目的条件、范围与支持方式概况：</w:t>
      </w:r>
      <w:r>
        <w:rPr>
          <w:rFonts w:hint="eastAsia" w:ascii="仿宋_GB2312" w:hAnsi="Cambria" w:eastAsia="仿宋_GB2312" w:cs="仿宋_GB2312"/>
          <w:sz w:val="32"/>
          <w:szCs w:val="32"/>
        </w:rPr>
        <w:t>保障</w:t>
      </w:r>
      <w:r>
        <w:rPr>
          <w:rFonts w:ascii="仿宋_GB2312" w:hAnsi="Cambria" w:eastAsia="仿宋_GB2312" w:cs="仿宋_GB2312"/>
          <w:bCs/>
          <w:sz w:val="32"/>
          <w:szCs w:val="32"/>
        </w:rPr>
        <w:t>东区城市执法人员工作正常运行，提升城管执法人员整体形象及素质，保障执法人员人身安全。</w:t>
      </w:r>
    </w:p>
    <w:p>
      <w:pPr>
        <w:keepNext/>
        <w:spacing w:line="353" w:lineRule="auto"/>
        <w:ind w:firstLine="641"/>
        <w:rPr>
          <w:rFonts w:ascii="仿宋_GB2312" w:hAnsi="Cambria" w:eastAsia="仿宋_GB2312" w:cs="仿宋_GB2312"/>
          <w:sz w:val="32"/>
          <w:szCs w:val="32"/>
          <w:lang w:val="zh-CN"/>
        </w:rPr>
      </w:pPr>
      <w:r>
        <w:rPr>
          <w:rFonts w:ascii="仿宋_GB2312" w:hAnsi="Cambria" w:eastAsia="仿宋_GB2312" w:cs="仿宋_GB2312"/>
          <w:sz w:val="32"/>
          <w:szCs w:val="32"/>
          <w:lang w:val="zh-CN"/>
        </w:rPr>
        <w:t>4</w:t>
      </w:r>
      <w:r>
        <w:rPr>
          <w:rFonts w:hint="eastAsia" w:ascii="仿宋_GB2312" w:hAnsi="Cambria" w:eastAsia="仿宋_GB2312" w:cs="仿宋_GB2312"/>
          <w:sz w:val="32"/>
          <w:szCs w:val="32"/>
          <w:lang w:val="zh-CN"/>
        </w:rPr>
        <w:t>．资金分配的原则及考虑因素：</w:t>
      </w:r>
      <w:r>
        <w:rPr>
          <w:rFonts w:hint="eastAsia" w:ascii="仿宋_GB2312" w:hAnsi="Cambria" w:eastAsia="仿宋_GB2312" w:cs="仿宋_GB2312"/>
          <w:sz w:val="32"/>
          <w:szCs w:val="32"/>
        </w:rPr>
        <w:t>行政执法人员16人、城管协管员66人，225元/人·月，共计22.14万元；保险费200/人·年，224人，共计4.48万元；执法纠纷十九冶定点医疗费，预安排6万元，以实际发生为准，凭票据补充安排；培训及军训相关人员共293人10万元；为制服破损无法正常穿戴的执法人员及新进执法人员订购执法制服，预安排5万元，为新进执法人员订购执法制服，预安排10万元，以实际发生为准。</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（二）项目绩效目标。</w:t>
      </w:r>
    </w:p>
    <w:p>
      <w:pPr>
        <w:keepNext/>
        <w:spacing w:line="353" w:lineRule="auto"/>
        <w:ind w:firstLine="641"/>
        <w:rPr>
          <w:rFonts w:ascii="仿宋_GB2312" w:hAnsi="Cambria" w:eastAsia="仿宋_GB2312" w:cs="仿宋_GB2312"/>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．项目主要内容：</w:t>
      </w:r>
      <w:r>
        <w:rPr>
          <w:rFonts w:ascii="仿宋_GB2312" w:hAnsi="Cambria" w:eastAsia="仿宋_GB2312" w:cs="仿宋_GB2312"/>
          <w:sz w:val="32"/>
          <w:szCs w:val="32"/>
        </w:rPr>
        <w:t>城管执法</w:t>
      </w:r>
      <w:r>
        <w:rPr>
          <w:rFonts w:hint="eastAsia" w:ascii="仿宋_GB2312" w:hAnsi="Cambria" w:eastAsia="仿宋_GB2312" w:cs="仿宋_GB2312"/>
          <w:sz w:val="32"/>
          <w:szCs w:val="32"/>
        </w:rPr>
        <w:t>外勤</w:t>
      </w:r>
      <w:r>
        <w:rPr>
          <w:rFonts w:ascii="仿宋_GB2312" w:hAnsi="Cambria" w:eastAsia="仿宋_GB2312" w:cs="仿宋_GB2312"/>
          <w:sz w:val="32"/>
          <w:szCs w:val="32"/>
        </w:rPr>
        <w:t>补助、保险、培训经费</w:t>
      </w:r>
      <w:r>
        <w:rPr>
          <w:rFonts w:hint="eastAsia" w:ascii="仿宋_GB2312" w:hAnsi="Cambria" w:eastAsia="仿宋_GB2312" w:cs="仿宋_GB2312"/>
          <w:sz w:val="32"/>
          <w:szCs w:val="32"/>
        </w:rPr>
        <w:t>45万元。主要用于：1.行政执法人员16人、城管协管员66人，225元/人·月，共计22.14万元；2.保险费200/人·年，224人，共计4.48万元；3.执法纠纷十九冶定点医疗费，预安排6万元，以实际发生为准，凭票据补充安排；4.培训及军训相关人员共293人10万元；5.为制服破损无法正常穿戴的执法人员及新进执法人员订购执法制服，预安排5万元，为新进执法人员订购执法制服，预安排10万元，以实际发生为准。共计57.62万元。统筹安排45万元。</w:t>
      </w:r>
    </w:p>
    <w:p>
      <w:pPr>
        <w:keepNext/>
        <w:keepLines/>
        <w:spacing w:line="353" w:lineRule="auto"/>
        <w:ind w:firstLine="640"/>
        <w:rPr>
          <w:rFonts w:ascii="仿宋_GB2312" w:hAnsi="Cambria" w:eastAsia="仿宋_GB2312" w:cs="仿宋_GB2312"/>
          <w:sz w:val="32"/>
          <w:szCs w:val="32"/>
        </w:rPr>
      </w:pPr>
      <w:r>
        <w:rPr>
          <w:rFonts w:ascii="仿宋_GB2312" w:hAnsi="Cambria" w:eastAsia="仿宋_GB2312" w:cs="仿宋_GB2312"/>
          <w:sz w:val="32"/>
          <w:szCs w:val="32"/>
          <w:lang w:val="zh-CN"/>
        </w:rPr>
        <w:t>2</w:t>
      </w:r>
      <w:r>
        <w:rPr>
          <w:rFonts w:hint="eastAsia" w:ascii="仿宋_GB2312" w:hAnsi="Cambria" w:eastAsia="仿宋_GB2312" w:cs="仿宋_GB2312"/>
          <w:sz w:val="32"/>
          <w:szCs w:val="32"/>
          <w:lang w:val="zh-CN"/>
        </w:rPr>
        <w:t>．项目应实现的具体绩效目标：</w:t>
      </w:r>
      <w:r>
        <w:rPr>
          <w:rFonts w:hint="eastAsia" w:ascii="仿宋_GB2312" w:hAnsi="Cambria" w:eastAsia="仿宋_GB2312" w:cs="仿宋_GB2312"/>
          <w:sz w:val="32"/>
          <w:szCs w:val="32"/>
        </w:rPr>
        <w:t>保障</w:t>
      </w:r>
      <w:r>
        <w:rPr>
          <w:rFonts w:ascii="仿宋_GB2312" w:hAnsi="Cambria" w:eastAsia="仿宋_GB2312" w:cs="仿宋_GB2312"/>
          <w:bCs/>
          <w:sz w:val="32"/>
          <w:szCs w:val="32"/>
        </w:rPr>
        <w:t>东区城市执法人员工作正常运行。</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．分析评价申报内容是否与实际相符，申报目标是否合理可行。通过自评，申报内容与实际相符，申报目标合理可行。</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（三）项目自评步骤及方法。</w:t>
      </w:r>
    </w:p>
    <w:p>
      <w:pPr>
        <w:keepNext/>
        <w:spacing w:line="353" w:lineRule="auto"/>
        <w:ind w:firstLine="641"/>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按照区财政下达的项目支出绩效评价指标体系，针对申报内容、实施情况、资金兑现、财务管理、社会效益等做出自我评价。</w:t>
      </w:r>
    </w:p>
    <w:p>
      <w:pPr>
        <w:keepNext/>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二、项目资金申报及使用情况</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（一）项目资金申报及批复情况。</w:t>
      </w:r>
    </w:p>
    <w:p>
      <w:pPr>
        <w:keepNext/>
        <w:spacing w:line="353" w:lineRule="auto"/>
        <w:ind w:firstLine="640"/>
        <w:rPr>
          <w:rFonts w:ascii="仿宋_GB2312" w:hAnsi="Cambria" w:eastAsia="仿宋_GB2312" w:cs="仿宋_GB2312"/>
          <w:b/>
          <w:bCs/>
          <w:sz w:val="32"/>
          <w:szCs w:val="32"/>
          <w:lang w:val="zh-CN"/>
        </w:rPr>
      </w:pPr>
      <w:r>
        <w:rPr>
          <w:rFonts w:hint="eastAsia" w:ascii="仿宋_GB2312" w:hAnsi="Cambria" w:eastAsia="仿宋_GB2312" w:cs="仿宋_GB2312"/>
          <w:sz w:val="32"/>
          <w:szCs w:val="32"/>
          <w:lang w:val="zh-CN"/>
        </w:rPr>
        <w:t>该项目在上年末进行预算工作时申报，年初区财政下达批复及拨付经费。</w:t>
      </w:r>
      <w:r>
        <w:rPr>
          <w:rFonts w:ascii="仿宋_GB2312" w:hAnsi="Cambria" w:eastAsia="仿宋_GB2312" w:cs="仿宋_GB2312"/>
          <w:sz w:val="32"/>
          <w:szCs w:val="32"/>
        </w:rPr>
        <w:t>城管执法</w:t>
      </w:r>
      <w:r>
        <w:rPr>
          <w:rFonts w:hint="eastAsia" w:ascii="仿宋_GB2312" w:hAnsi="Cambria" w:eastAsia="仿宋_GB2312" w:cs="仿宋_GB2312"/>
          <w:sz w:val="32"/>
          <w:szCs w:val="32"/>
        </w:rPr>
        <w:t>外勤</w:t>
      </w:r>
      <w:r>
        <w:rPr>
          <w:rFonts w:ascii="仿宋_GB2312" w:hAnsi="Cambria" w:eastAsia="仿宋_GB2312" w:cs="仿宋_GB2312"/>
          <w:sz w:val="32"/>
          <w:szCs w:val="32"/>
        </w:rPr>
        <w:t>补助、保险、培训经费</w:t>
      </w:r>
      <w:r>
        <w:rPr>
          <w:rFonts w:hint="eastAsia" w:ascii="仿宋_GB2312" w:hAnsi="Cambria" w:eastAsia="仿宋_GB2312" w:cs="仿宋_GB2312"/>
          <w:sz w:val="32"/>
          <w:szCs w:val="32"/>
        </w:rPr>
        <w:t>45万元。主要用于：1.行政执法人员16人、城管协管员66人，225元/人·月，共计22.14万元；2.保险费200/人·年，224人，共计4.48万元；3.执法纠纷十九冶定点医疗费，预安排6万元，以实际发生为准，凭票据补充安排；4.培训及军训相关人员共293人10万元；5.为制服破损无法正常穿戴的执法人员及新进执法人员订购执法制服，预安排5万元，为新进执法人员订购执法制服，预安排10万元，以实际发生为准。共计57.62万元。统筹安排45万元。</w:t>
      </w:r>
    </w:p>
    <w:p>
      <w:pPr>
        <w:keepNext/>
        <w:spacing w:line="353" w:lineRule="auto"/>
        <w:ind w:firstLine="720"/>
        <w:jc w:val="both"/>
        <w:rPr>
          <w:rFonts w:ascii="仿宋_GB2312" w:hAnsi="Cambria" w:eastAsia="仿宋_GB2312" w:cs="仿宋_GB2312"/>
          <w:kern w:val="2"/>
          <w:sz w:val="32"/>
          <w:szCs w:val="32"/>
          <w:lang w:val="zh-CN"/>
        </w:rPr>
      </w:pPr>
      <w:r>
        <w:rPr>
          <w:rFonts w:hint="eastAsia" w:ascii="楷体_GB2312" w:hAnsi="Cambria" w:eastAsia="楷体_GB2312" w:cs="楷体_GB2312"/>
          <w:b/>
          <w:bCs/>
          <w:kern w:val="2"/>
          <w:sz w:val="32"/>
          <w:szCs w:val="32"/>
          <w:lang w:val="zh-CN"/>
        </w:rPr>
        <w:t>（二）资金计划、到位及使用情况（可用表格形式反映）。</w:t>
      </w:r>
    </w:p>
    <w:p>
      <w:pPr>
        <w:keepNext/>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．资金计划。</w:t>
      </w:r>
    </w:p>
    <w:p>
      <w:pPr>
        <w:keepNext/>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该项目属区级预算项目经费。</w:t>
      </w:r>
    </w:p>
    <w:p>
      <w:pPr>
        <w:keepNext/>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2. 资金到位。</w:t>
      </w:r>
    </w:p>
    <w:p>
      <w:pPr>
        <w:keepNext/>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已全部到位。</w:t>
      </w:r>
    </w:p>
    <w:p>
      <w:pPr>
        <w:keepNext/>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3．资金使用。</w:t>
      </w:r>
    </w:p>
    <w:p>
      <w:pPr>
        <w:keepNext/>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该项目资金已在2022年内按相关规定全部使用，资金的支付范围、支付标准、支付依据合法合规与预算相符。</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（三）项目财务管理情况。</w:t>
      </w:r>
    </w:p>
    <w:p>
      <w:pPr>
        <w:keepNext/>
        <w:spacing w:line="353" w:lineRule="auto"/>
        <w:ind w:firstLine="720"/>
        <w:jc w:val="both"/>
        <w:rPr>
          <w:rFonts w:ascii="仿宋_GB2312" w:hAnsi="Cambria" w:eastAsia="仿宋_GB2312" w:cs="仿宋_GB2312"/>
          <w:sz w:val="32"/>
          <w:szCs w:val="32"/>
          <w:lang w:val="zh-CN"/>
        </w:rPr>
      </w:pPr>
      <w:r>
        <w:rPr>
          <w:rFonts w:ascii="仿宋_GB2312" w:hAnsi="Cambria" w:eastAsia="仿宋_GB2312" w:cs="仿宋_GB2312"/>
          <w:sz w:val="32"/>
          <w:szCs w:val="32"/>
          <w:lang w:val="zh-CN"/>
        </w:rPr>
        <w:t>财务管理制度健全，严格执行财务管理制度，账务处理及时，会计核算规范</w:t>
      </w:r>
      <w:r>
        <w:rPr>
          <w:rFonts w:hint="eastAsia" w:ascii="仿宋_GB2312" w:hAnsi="Cambria" w:eastAsia="仿宋_GB2312" w:cs="仿宋_GB2312"/>
          <w:sz w:val="32"/>
          <w:szCs w:val="32"/>
          <w:lang w:val="zh-CN"/>
        </w:rPr>
        <w:t>。</w:t>
      </w:r>
    </w:p>
    <w:p>
      <w:pPr>
        <w:keepNext/>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三、项目实施及管理情况</w:t>
      </w:r>
    </w:p>
    <w:p>
      <w:pPr>
        <w:keepNext/>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结合项目组织实施管理办法，重点围绕以下内容进行分析评价，并对自评中发现的问题分析说明。</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（一）项目组织架构及实施流程。</w:t>
      </w:r>
    </w:p>
    <w:p>
      <w:pPr>
        <w:keepNext/>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1.区财政根据预算项目批复，下达项目经费，预算单位进行项目实施计划。</w:t>
      </w:r>
    </w:p>
    <w:p>
      <w:pPr>
        <w:keepNext/>
        <w:spacing w:line="353" w:lineRule="auto"/>
        <w:ind w:firstLine="640"/>
        <w:rPr>
          <w:rFonts w:ascii="仿宋_GB2312" w:hAnsi="Cambria" w:eastAsia="仿宋_GB2312" w:cs="仿宋_GB2312"/>
          <w:b/>
          <w:bCs/>
          <w:sz w:val="32"/>
          <w:szCs w:val="32"/>
          <w:lang w:val="zh-CN"/>
        </w:rPr>
      </w:pPr>
      <w:r>
        <w:rPr>
          <w:rFonts w:hint="eastAsia" w:ascii="仿宋_GB2312" w:hAnsi="Cambria" w:eastAsia="仿宋_GB2312" w:cs="仿宋_GB2312"/>
          <w:sz w:val="32"/>
          <w:szCs w:val="32"/>
          <w:lang w:val="zh-CN"/>
        </w:rPr>
        <w:t>2.资金支付时根据实际情况，报分管领导审批同意，呈报主要负责人审核并批复同意支付。</w:t>
      </w:r>
    </w:p>
    <w:p>
      <w:pPr>
        <w:keepNext/>
        <w:spacing w:line="353" w:lineRule="auto"/>
        <w:ind w:firstLine="640"/>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（二）项目管理情况。</w:t>
      </w:r>
    </w:p>
    <w:p>
      <w:pPr>
        <w:keepNext/>
        <w:spacing w:line="353" w:lineRule="auto"/>
        <w:ind w:firstLine="640"/>
        <w:rPr>
          <w:rFonts w:ascii="仿宋_GB2312" w:hAnsi="Cambria" w:eastAsia="仿宋_GB2312" w:cs="仿宋_GB2312"/>
          <w:b/>
          <w:bCs/>
          <w:sz w:val="32"/>
          <w:szCs w:val="32"/>
          <w:lang w:val="zh-CN"/>
        </w:rPr>
      </w:pPr>
      <w:r>
        <w:rPr>
          <w:rFonts w:hint="eastAsia" w:ascii="仿宋_GB2312" w:hAnsi="Cambria" w:eastAsia="仿宋_GB2312" w:cs="仿宋_GB2312"/>
          <w:sz w:val="32"/>
          <w:szCs w:val="32"/>
          <w:lang w:val="zh-CN"/>
        </w:rPr>
        <w:t>项目是区财政纳入年度预算，我局严格安照项目要求及财经法律法规等要求落实的。</w:t>
      </w:r>
    </w:p>
    <w:p>
      <w:pPr>
        <w:keepNext/>
        <w:spacing w:line="353" w:lineRule="auto"/>
        <w:ind w:firstLine="640"/>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（三）项目监管情况。</w:t>
      </w:r>
    </w:p>
    <w:p>
      <w:pPr>
        <w:keepNext/>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项目完成情况每年都要向财政部门填写相关的绩效分析评价，并上报相关对口管理部门检查。</w:t>
      </w:r>
    </w:p>
    <w:p>
      <w:pPr>
        <w:keepNext/>
        <w:spacing w:line="353" w:lineRule="auto"/>
        <w:ind w:firstLine="720"/>
        <w:jc w:val="both"/>
        <w:rPr>
          <w:rFonts w:ascii="仿宋_GB2312" w:hAnsi="Cambria" w:eastAsia="仿宋_GB2312" w:cs="仿宋_GB2312"/>
          <w:kern w:val="2"/>
          <w:sz w:val="32"/>
          <w:szCs w:val="32"/>
          <w:lang w:val="zh-CN"/>
        </w:rPr>
      </w:pPr>
      <w:r>
        <w:rPr>
          <w:rFonts w:hint="eastAsia" w:ascii="黑体" w:hAnsi="Cambria" w:eastAsia="黑体" w:cs="黑体"/>
          <w:kern w:val="2"/>
          <w:sz w:val="32"/>
          <w:szCs w:val="32"/>
        </w:rPr>
        <w:t>四、项目绩效情况</w:t>
      </w:r>
      <w:r>
        <w:rPr>
          <w:rFonts w:ascii="宋体" w:hAnsi="Cambria" w:eastAsia="宋体" w:cs="宋体"/>
          <w:kern w:val="2"/>
          <w:sz w:val="32"/>
          <w:szCs w:val="32"/>
          <w:lang w:val="zh-CN"/>
        </w:rPr>
        <w:tab/>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（一）项目完成情况。</w:t>
      </w:r>
    </w:p>
    <w:p>
      <w:pPr>
        <w:keepNext/>
        <w:spacing w:line="353" w:lineRule="auto"/>
        <w:ind w:firstLine="640"/>
        <w:jc w:val="both"/>
        <w:rPr>
          <w:rFonts w:ascii="仿宋_GB2312" w:hAnsi="Cambria" w:eastAsia="仿宋_GB2312" w:cs="仿宋_GB2312"/>
          <w:sz w:val="32"/>
          <w:szCs w:val="32"/>
        </w:rPr>
      </w:pPr>
      <w:r>
        <w:rPr>
          <w:rFonts w:hint="eastAsia" w:ascii="仿宋_GB2312" w:hAnsi="Cambria" w:eastAsia="仿宋_GB2312" w:cs="仿宋_GB2312"/>
          <w:sz w:val="32"/>
          <w:szCs w:val="32"/>
        </w:rPr>
        <w:t>1．数量指标：行政执法人员16人、城管协管员66人，225元/人·月。</w:t>
      </w:r>
    </w:p>
    <w:p>
      <w:pPr>
        <w:keepNext/>
        <w:spacing w:line="353" w:lineRule="auto"/>
        <w:ind w:firstLine="640" w:firstLineChars="200"/>
        <w:rPr>
          <w:rFonts w:ascii="仿宋_GB2312" w:hAnsi="宋体" w:eastAsia="仿宋_GB2312"/>
          <w:sz w:val="32"/>
          <w:szCs w:val="32"/>
          <w:lang w:val="zh-CN"/>
        </w:rPr>
      </w:pPr>
      <w:r>
        <w:rPr>
          <w:rFonts w:hint="eastAsia" w:ascii="仿宋_GB2312" w:hAnsi="Cambria" w:eastAsia="仿宋_GB2312" w:cs="仿宋_GB2312"/>
          <w:sz w:val="32"/>
          <w:szCs w:val="32"/>
        </w:rPr>
        <w:t>2．质量指标：</w:t>
      </w:r>
      <w:r>
        <w:rPr>
          <w:rFonts w:hint="eastAsia" w:ascii="仿宋_GB2312" w:hAnsi="宋体" w:eastAsia="仿宋_GB2312"/>
          <w:sz w:val="32"/>
          <w:szCs w:val="32"/>
          <w:lang w:val="zh-CN"/>
        </w:rPr>
        <w:t>提高外勤人员的工作积极性和工作效率，确保外勤工作优质高效完成。</w:t>
      </w:r>
    </w:p>
    <w:p>
      <w:pPr>
        <w:keepNext/>
        <w:keepLines/>
        <w:spacing w:line="353" w:lineRule="auto"/>
        <w:ind w:firstLine="640"/>
        <w:jc w:val="both"/>
        <w:rPr>
          <w:rFonts w:ascii="仿宋_GB2312" w:hAnsi="Cambria" w:eastAsia="仿宋_GB2312" w:cs="仿宋_GB2312"/>
          <w:sz w:val="32"/>
          <w:szCs w:val="32"/>
        </w:rPr>
      </w:pPr>
      <w:r>
        <w:rPr>
          <w:rFonts w:hint="eastAsia" w:ascii="仿宋_GB2312" w:hAnsi="Cambria" w:eastAsia="仿宋_GB2312" w:cs="仿宋_GB2312"/>
          <w:sz w:val="32"/>
          <w:szCs w:val="32"/>
        </w:rPr>
        <w:t>3．时效指标：</w:t>
      </w:r>
      <w:r>
        <w:rPr>
          <w:rFonts w:hint="eastAsia" w:ascii="仿宋_GB2312" w:hAnsi="宋体" w:eastAsia="仿宋_GB2312"/>
          <w:sz w:val="32"/>
          <w:szCs w:val="32"/>
          <w:lang w:val="zh-CN"/>
        </w:rPr>
        <w:t>项目实施时间为20</w:t>
      </w:r>
      <w:r>
        <w:rPr>
          <w:rFonts w:ascii="仿宋_GB2312" w:hAnsi="宋体" w:eastAsia="仿宋_GB2312"/>
          <w:sz w:val="32"/>
          <w:szCs w:val="32"/>
          <w:lang w:val="zh-CN"/>
        </w:rPr>
        <w:t>2</w:t>
      </w:r>
      <w:r>
        <w:rPr>
          <w:rFonts w:hint="eastAsia" w:ascii="仿宋_GB2312" w:hAnsi="宋体" w:eastAsia="仿宋_GB2312"/>
          <w:sz w:val="32"/>
          <w:szCs w:val="32"/>
          <w:lang w:val="zh-CN"/>
        </w:rPr>
        <w:t>2年1月至12月。</w:t>
      </w:r>
    </w:p>
    <w:p>
      <w:pPr>
        <w:keepNext/>
        <w:keepLines/>
        <w:spacing w:line="353" w:lineRule="auto"/>
        <w:ind w:firstLine="640"/>
        <w:jc w:val="both"/>
        <w:rPr>
          <w:rFonts w:ascii="仿宋_GB2312" w:hAnsi="Cambria" w:eastAsia="仿宋_GB2312" w:cs="仿宋_GB2312"/>
          <w:sz w:val="32"/>
          <w:szCs w:val="32"/>
          <w:lang w:val="zh-CN"/>
        </w:rPr>
      </w:pPr>
      <w:r>
        <w:rPr>
          <w:rFonts w:hint="eastAsia" w:ascii="仿宋_GB2312" w:hAnsi="Cambria" w:eastAsia="仿宋_GB2312" w:cs="仿宋_GB2312"/>
          <w:sz w:val="32"/>
          <w:szCs w:val="32"/>
        </w:rPr>
        <w:t>4．成本指标：</w:t>
      </w:r>
      <w:r>
        <w:rPr>
          <w:rFonts w:ascii="仿宋_GB2312" w:hAnsi="Cambria" w:eastAsia="仿宋_GB2312" w:cs="仿宋_GB2312"/>
          <w:sz w:val="32"/>
          <w:szCs w:val="32"/>
        </w:rPr>
        <w:t>城管执法</w:t>
      </w:r>
      <w:r>
        <w:rPr>
          <w:rFonts w:hint="eastAsia" w:ascii="仿宋_GB2312" w:hAnsi="Cambria" w:eastAsia="仿宋_GB2312" w:cs="仿宋_GB2312"/>
          <w:sz w:val="32"/>
          <w:szCs w:val="32"/>
        </w:rPr>
        <w:t>外勤</w:t>
      </w:r>
      <w:r>
        <w:rPr>
          <w:rFonts w:ascii="仿宋_GB2312" w:hAnsi="Cambria" w:eastAsia="仿宋_GB2312" w:cs="仿宋_GB2312"/>
          <w:sz w:val="32"/>
          <w:szCs w:val="32"/>
        </w:rPr>
        <w:t>补助、保险、培训经费</w:t>
      </w:r>
      <w:r>
        <w:rPr>
          <w:rFonts w:hint="eastAsia" w:ascii="仿宋_GB2312" w:hAnsi="Cambria" w:eastAsia="仿宋_GB2312" w:cs="仿宋_GB2312"/>
          <w:sz w:val="32"/>
          <w:szCs w:val="32"/>
        </w:rPr>
        <w:t>支付45万元。</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（二）项目效益情况。</w:t>
      </w:r>
    </w:p>
    <w:p>
      <w:pPr>
        <w:spacing w:line="353"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1．社会效益指标：确保外勤工作优质高效完成，对执法人员安全进行保障。</w:t>
      </w:r>
    </w:p>
    <w:p>
      <w:pPr>
        <w:spacing w:line="353"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w:t>
      </w:r>
      <w:r>
        <w:rPr>
          <w:rFonts w:ascii="仿宋_GB2312" w:hAnsi="宋体" w:eastAsia="仿宋_GB2312"/>
          <w:sz w:val="32"/>
          <w:szCs w:val="32"/>
          <w:lang w:val="zh-CN"/>
        </w:rPr>
        <w:t>可持续</w:t>
      </w:r>
      <w:r>
        <w:rPr>
          <w:rFonts w:hint="eastAsia" w:ascii="仿宋_GB2312" w:hAnsi="宋体" w:eastAsia="仿宋_GB2312"/>
          <w:sz w:val="32"/>
          <w:szCs w:val="32"/>
          <w:lang w:val="zh-CN"/>
        </w:rPr>
        <w:t>影响指标：提升城管人员的综合业务素质，提高工作效率，营造良好的城市环境。</w:t>
      </w:r>
    </w:p>
    <w:p>
      <w:pPr>
        <w:spacing w:line="353"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3．服务对象满意度指标：服务对象和主管部门满意度大于90%以上。</w:t>
      </w:r>
    </w:p>
    <w:p>
      <w:pPr>
        <w:keepNext/>
        <w:keepLines/>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五、评价结论及建议</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（一）评价结论。</w:t>
      </w:r>
    </w:p>
    <w:p>
      <w:pPr>
        <w:keepNext/>
        <w:keepLines/>
        <w:spacing w:line="353" w:lineRule="auto"/>
        <w:ind w:firstLine="640"/>
        <w:rPr>
          <w:rFonts w:ascii="仿宋_GB2312" w:hAnsi="Cambria" w:eastAsia="仿宋_GB2312" w:cs="仿宋_GB2312"/>
          <w:sz w:val="32"/>
          <w:szCs w:val="32"/>
          <w:lang w:val="zh-CN"/>
        </w:rPr>
      </w:pPr>
      <w:r>
        <w:rPr>
          <w:rFonts w:ascii="Times New Roman" w:hAnsi="Times New Roman" w:eastAsia="仿宋_GB2312" w:cs="Times New Roman"/>
          <w:sz w:val="32"/>
          <w:szCs w:val="32"/>
          <w:lang w:val="zh-CN"/>
        </w:rPr>
        <w:t>2022年攀枝花市东区综合行政执法局自我绩效评价为：优秀。评价得分：</w:t>
      </w:r>
      <w:r>
        <w:rPr>
          <w:rFonts w:hint="eastAsia" w:ascii="Times New Roman" w:hAnsi="Times New Roman" w:eastAsia="仿宋_GB2312" w:cs="Times New Roman"/>
          <w:sz w:val="32"/>
          <w:szCs w:val="32"/>
        </w:rPr>
        <w:t>通用指标36分，共性指标20分，特性指标30分，个性指标10分，扣分项0分，合计96分</w:t>
      </w:r>
      <w:r>
        <w:rPr>
          <w:rFonts w:hint="eastAsia" w:ascii="仿宋_GB2312" w:hAnsi="宋体" w:eastAsia="仿宋_GB2312"/>
          <w:sz w:val="32"/>
          <w:szCs w:val="32"/>
          <w:lang w:val="zh-CN"/>
        </w:rPr>
        <w:t>。</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（二）存在的问题。</w:t>
      </w:r>
    </w:p>
    <w:p>
      <w:pPr>
        <w:spacing w:line="353"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继续加强市容秩序整治，严格加强考勤管理，进一步规范执法工作，进一步提升城市形象。</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（三）相关建议。</w:t>
      </w:r>
    </w:p>
    <w:p>
      <w:pPr>
        <w:spacing w:line="353" w:lineRule="auto"/>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加强资金监管，制定相应的资金使用计划，使之形成常态机制，加快资金使用进度。</w:t>
      </w:r>
    </w:p>
    <w:p>
      <w:pPr>
        <w:keepNext/>
        <w:keepLines/>
        <w:spacing w:line="353" w:lineRule="auto"/>
        <w:rPr>
          <w:rFonts w:ascii="仿宋_GB2312" w:hAnsi="Cambria" w:eastAsia="仿宋_GB2312" w:cs="仿宋_GB2312"/>
          <w:sz w:val="32"/>
          <w:szCs w:val="32"/>
        </w:rPr>
      </w:pPr>
      <w:r>
        <w:rPr>
          <w:rFonts w:hint="eastAsia" w:ascii="仿宋_GB2312" w:hAnsi="Cambria" w:eastAsia="仿宋_GB2312" w:cs="仿宋_GB2312"/>
          <w:sz w:val="32"/>
          <w:szCs w:val="32"/>
          <w:lang w:val="zh-CN"/>
        </w:rPr>
        <w:t>附件</w:t>
      </w:r>
      <w:r>
        <w:rPr>
          <w:rFonts w:ascii="仿宋_GB2312" w:hAnsi="Cambria" w:eastAsia="仿宋_GB2312" w:cs="仿宋_GB2312"/>
          <w:sz w:val="32"/>
          <w:szCs w:val="32"/>
        </w:rPr>
        <w:t>2</w:t>
      </w:r>
    </w:p>
    <w:p>
      <w:pPr>
        <w:keepNext/>
        <w:keepLines/>
        <w:spacing w:line="353" w:lineRule="auto"/>
        <w:jc w:val="center"/>
        <w:rPr>
          <w:rFonts w:hAnsi="Cambria" w:cs="方正小标宋简体"/>
          <w:kern w:val="2"/>
          <w:sz w:val="44"/>
          <w:szCs w:val="44"/>
        </w:rPr>
      </w:pPr>
      <w:r>
        <w:rPr>
          <w:rFonts w:hAnsi="Cambria" w:cs="方正小标宋简体"/>
          <w:kern w:val="2"/>
          <w:sz w:val="44"/>
          <w:szCs w:val="44"/>
        </w:rPr>
        <w:t>2022年预算项目绩效自评报告</w:t>
      </w:r>
    </w:p>
    <w:p>
      <w:pPr>
        <w:keepNext/>
        <w:keepLines/>
        <w:spacing w:line="353" w:lineRule="auto"/>
        <w:ind w:firstLine="640"/>
        <w:jc w:val="center"/>
        <w:rPr>
          <w:rFonts w:ascii="宋体" w:hAnsi="Cambria" w:eastAsia="宋体" w:cs="宋体"/>
          <w:kern w:val="2"/>
          <w:sz w:val="32"/>
          <w:szCs w:val="32"/>
          <w:lang w:val="zh-CN"/>
        </w:rPr>
      </w:pPr>
      <w:r>
        <w:rPr>
          <w:rFonts w:ascii="宋体" w:hAnsi="Cambria" w:eastAsia="宋体" w:cs="宋体"/>
          <w:kern w:val="2"/>
          <w:sz w:val="32"/>
          <w:szCs w:val="32"/>
          <w:lang w:val="zh-CN"/>
        </w:rPr>
        <w:t>（</w:t>
      </w:r>
      <w:r>
        <w:rPr>
          <w:rFonts w:hint="eastAsia" w:ascii="仿宋_GB2312" w:hAnsi="Cambria" w:eastAsia="仿宋_GB2312" w:cs="仿宋_GB2312"/>
          <w:sz w:val="32"/>
          <w:szCs w:val="32"/>
          <w:lang w:val="zh-CN"/>
        </w:rPr>
        <w:t>职工食堂经费补助）</w:t>
      </w:r>
    </w:p>
    <w:p>
      <w:pPr>
        <w:keepNext/>
        <w:keepLines/>
        <w:spacing w:line="353" w:lineRule="auto"/>
        <w:ind w:firstLine="720"/>
        <w:jc w:val="both"/>
        <w:rPr>
          <w:rFonts w:ascii="黑体" w:hAnsi="Cambria" w:eastAsia="黑体" w:cs="黑体"/>
          <w:kern w:val="2"/>
          <w:sz w:val="32"/>
          <w:szCs w:val="32"/>
          <w:lang w:val="zh-CN"/>
        </w:rPr>
      </w:pPr>
      <w:r>
        <w:rPr>
          <w:rFonts w:hint="eastAsia" w:ascii="黑体" w:hAnsi="Cambria" w:eastAsia="黑体" w:cs="黑体"/>
          <w:kern w:val="2"/>
          <w:sz w:val="32"/>
          <w:szCs w:val="32"/>
        </w:rPr>
        <w:t>一、</w:t>
      </w:r>
      <w:r>
        <w:rPr>
          <w:rFonts w:hint="eastAsia" w:ascii="黑体" w:hAnsi="Cambria" w:eastAsia="黑体" w:cs="黑体"/>
          <w:kern w:val="2"/>
          <w:sz w:val="32"/>
          <w:szCs w:val="32"/>
          <w:lang w:val="zh-CN"/>
        </w:rPr>
        <w:t>项目概况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（一）项目基本情况。</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w:t>
      </w:r>
      <w:r>
        <w:rPr>
          <w:rFonts w:hint="eastAsia" w:ascii="仿宋_GB2312" w:hAnsi="宋体" w:eastAsia="仿宋_GB2312"/>
          <w:sz w:val="32"/>
          <w:szCs w:val="32"/>
          <w:lang w:val="zh-CN"/>
        </w:rPr>
        <w:t>攀枝花市东区</w:t>
      </w:r>
      <w:r>
        <w:rPr>
          <w:rFonts w:hint="eastAsia" w:ascii="仿宋_GB2312" w:eastAsia="仿宋_GB2312"/>
          <w:sz w:val="32"/>
          <w:szCs w:val="32"/>
          <w:lang w:val="zh-CN"/>
        </w:rPr>
        <w:t>综合行政执法局</w:t>
      </w:r>
      <w:r>
        <w:rPr>
          <w:rFonts w:hint="eastAsia" w:ascii="仿宋_GB2312" w:hAnsi="宋体" w:eastAsia="仿宋_GB2312"/>
          <w:sz w:val="32"/>
          <w:szCs w:val="32"/>
          <w:lang w:val="zh-CN"/>
        </w:rPr>
        <w:t>是该项目的具体实施主体。</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2</w:t>
      </w:r>
      <w:r>
        <w:rPr>
          <w:rFonts w:hint="eastAsia" w:ascii="仿宋_GB2312" w:hAnsi="Cambria" w:eastAsia="仿宋_GB2312" w:cs="仿宋_GB2312"/>
          <w:sz w:val="32"/>
          <w:szCs w:val="32"/>
          <w:lang w:val="zh-CN"/>
        </w:rPr>
        <w:t>．</w:t>
      </w:r>
      <w:r>
        <w:rPr>
          <w:rFonts w:hint="eastAsia" w:ascii="仿宋_GB2312" w:hAnsi="宋体" w:eastAsia="仿宋_GB2312"/>
          <w:sz w:val="32"/>
          <w:szCs w:val="32"/>
          <w:lang w:val="zh-CN"/>
        </w:rPr>
        <w:t>项目立项、资金申报的依据：</w:t>
      </w:r>
      <w:r>
        <w:rPr>
          <w:rFonts w:ascii="仿宋_GB2312" w:hAnsi="宋体" w:eastAsia="仿宋_GB2312"/>
          <w:sz w:val="32"/>
          <w:szCs w:val="32"/>
          <w:lang w:val="zh-CN"/>
        </w:rPr>
        <w:t>执法人员后勤保障，提高职工素质，加强业务能力</w:t>
      </w:r>
      <w:r>
        <w:rPr>
          <w:rFonts w:hint="eastAsia" w:ascii="仿宋_GB2312" w:hAnsi="Cambria" w:eastAsia="仿宋_GB2312" w:cs="仿宋_GB2312"/>
          <w:sz w:val="32"/>
          <w:szCs w:val="32"/>
          <w:lang w:val="zh-CN"/>
        </w:rPr>
        <w:t>。</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．资金</w:t>
      </w:r>
      <w:r>
        <w:rPr>
          <w:rFonts w:hint="eastAsia" w:ascii="仿宋_GB2312" w:hAnsi="Cambria" w:eastAsia="仿宋_GB2312" w:cs="仿宋_GB2312"/>
          <w:sz w:val="32"/>
          <w:szCs w:val="32"/>
        </w:rPr>
        <w:t>或项目</w:t>
      </w:r>
      <w:r>
        <w:rPr>
          <w:rFonts w:hint="eastAsia" w:ascii="仿宋_GB2312" w:hAnsi="Cambria" w:eastAsia="仿宋_GB2312" w:cs="仿宋_GB2312"/>
          <w:sz w:val="32"/>
          <w:szCs w:val="32"/>
          <w:lang w:val="zh-CN"/>
        </w:rPr>
        <w:t>管理办法制定情况，资金支持具体项目的条件、范围与支持方式概况</w:t>
      </w:r>
      <w:r>
        <w:rPr>
          <w:rFonts w:hint="eastAsia" w:ascii="仿宋_GB2312" w:hAnsi="宋体" w:eastAsia="仿宋_GB2312"/>
          <w:sz w:val="32"/>
          <w:szCs w:val="32"/>
          <w:lang w:val="zh-CN"/>
        </w:rPr>
        <w:t>：61人*22天*10元*12月=16.1万元</w:t>
      </w:r>
      <w:r>
        <w:rPr>
          <w:rFonts w:hint="eastAsia" w:ascii="仿宋_GB2312" w:hAnsi="Cambria" w:eastAsia="仿宋_GB2312" w:cs="仿宋_GB2312"/>
          <w:sz w:val="32"/>
          <w:szCs w:val="32"/>
        </w:rPr>
        <w:t>。</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4</w:t>
      </w:r>
      <w:r>
        <w:rPr>
          <w:rFonts w:hint="eastAsia" w:ascii="仿宋_GB2312" w:hAnsi="Cambria" w:eastAsia="仿宋_GB2312" w:cs="仿宋_GB2312"/>
          <w:sz w:val="32"/>
          <w:szCs w:val="32"/>
          <w:lang w:val="zh-CN"/>
        </w:rPr>
        <w:t>．资金分配的原则及考虑因素</w:t>
      </w:r>
      <w:r>
        <w:rPr>
          <w:rFonts w:hint="eastAsia" w:ascii="仿宋_GB2312" w:hAnsi="宋体" w:eastAsia="仿宋_GB2312"/>
          <w:sz w:val="32"/>
          <w:szCs w:val="32"/>
          <w:lang w:val="zh-CN"/>
        </w:rPr>
        <w:t>：</w:t>
      </w:r>
      <w:r>
        <w:rPr>
          <w:rFonts w:ascii="仿宋_GB2312" w:hAnsi="宋体" w:eastAsia="仿宋_GB2312"/>
          <w:sz w:val="32"/>
          <w:szCs w:val="32"/>
          <w:lang w:val="zh-CN"/>
        </w:rPr>
        <w:t>后勤保障，提高职工工作能力水平。</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（二）项目绩效目标。</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．项目主要内容</w:t>
      </w:r>
      <w:r>
        <w:rPr>
          <w:rFonts w:hint="eastAsia" w:ascii="仿宋_GB2312" w:hAnsi="宋体" w:eastAsia="仿宋_GB2312"/>
          <w:sz w:val="32"/>
          <w:szCs w:val="32"/>
          <w:lang w:val="zh-CN"/>
        </w:rPr>
        <w:t>：</w:t>
      </w:r>
      <w:r>
        <w:rPr>
          <w:rFonts w:ascii="仿宋_GB2312" w:hAnsi="宋体" w:eastAsia="仿宋_GB2312"/>
          <w:sz w:val="32"/>
          <w:szCs w:val="32"/>
          <w:lang w:val="zh-CN"/>
        </w:rPr>
        <w:t>执法人员后勤保障，提高职工素质，加强业务能力</w:t>
      </w:r>
      <w:r>
        <w:rPr>
          <w:rFonts w:hint="eastAsia" w:ascii="仿宋_GB2312" w:hAnsi="Cambria" w:eastAsia="仿宋_GB2312" w:cs="仿宋_GB2312"/>
          <w:sz w:val="32"/>
          <w:szCs w:val="32"/>
          <w:lang w:val="zh-CN"/>
        </w:rPr>
        <w:t>。</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2</w:t>
      </w:r>
      <w:r>
        <w:rPr>
          <w:rFonts w:hint="eastAsia" w:ascii="仿宋_GB2312" w:hAnsi="Cambria" w:eastAsia="仿宋_GB2312" w:cs="仿宋_GB2312"/>
          <w:sz w:val="32"/>
          <w:szCs w:val="32"/>
          <w:lang w:val="zh-CN"/>
        </w:rPr>
        <w:t>．项目应实现的具体绩效目标</w:t>
      </w:r>
      <w:r>
        <w:rPr>
          <w:rFonts w:hint="eastAsia" w:ascii="仿宋_GB2312" w:hAnsi="宋体" w:eastAsia="仿宋_GB2312"/>
          <w:sz w:val="32"/>
          <w:szCs w:val="32"/>
          <w:lang w:val="zh-CN"/>
        </w:rPr>
        <w:t>：</w:t>
      </w:r>
      <w:r>
        <w:rPr>
          <w:rFonts w:ascii="仿宋_GB2312" w:hAnsi="宋体" w:eastAsia="仿宋_GB2312"/>
          <w:sz w:val="32"/>
          <w:szCs w:val="32"/>
          <w:lang w:val="zh-CN"/>
        </w:rPr>
        <w:t>后勤保障，提高职工工作能力水平。</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．分析评价申报内容是否与实际相符，申报目标是否合理可行。</w:t>
      </w:r>
      <w:r>
        <w:rPr>
          <w:rFonts w:hint="eastAsia" w:ascii="仿宋_GB2312" w:hAnsi="宋体" w:eastAsia="仿宋_GB2312"/>
          <w:sz w:val="32"/>
          <w:szCs w:val="32"/>
          <w:lang w:val="zh-CN"/>
        </w:rPr>
        <w:t>通过自评，申报内容与实际相符，申报目标合理可行。</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（三）项目自评步骤及方法。</w:t>
      </w:r>
    </w:p>
    <w:p>
      <w:pPr>
        <w:keepNext/>
        <w:spacing w:line="353" w:lineRule="auto"/>
        <w:ind w:firstLine="641"/>
        <w:rPr>
          <w:rFonts w:ascii="仿宋_GB2312" w:hAnsi="Cambria" w:eastAsia="仿宋_GB2312" w:cs="仿宋_GB2312"/>
          <w:sz w:val="32"/>
          <w:szCs w:val="32"/>
          <w:lang w:val="zh-CN"/>
        </w:rPr>
      </w:pPr>
      <w:r>
        <w:rPr>
          <w:rFonts w:hint="eastAsia" w:ascii="仿宋_GB2312" w:eastAsia="仿宋_GB2312" w:cs="Times New Roman"/>
          <w:kern w:val="2"/>
          <w:sz w:val="32"/>
          <w:szCs w:val="32"/>
          <w:lang w:val="zh-CN"/>
        </w:rPr>
        <w:t>按照区财政下达的项目支出绩效评价指标体系，针对申报内容、实施情况、资金兑现、财务管理、社会效益等做出自我评价。</w:t>
      </w:r>
    </w:p>
    <w:p>
      <w:pPr>
        <w:keepNext/>
        <w:keepLines/>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二、项目资金申报及使用情况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（一）项目资金申报及批复情况。</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宋体" w:eastAsia="仿宋_GB2312"/>
          <w:sz w:val="32"/>
          <w:szCs w:val="32"/>
          <w:lang w:val="zh-CN"/>
        </w:rPr>
        <w:t>该项目在上年末进行预算工作时申报，年初区财政下达批复及拨付经费。</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（二）资金计划、到位及使用情况（可用表格形式反映）。</w:t>
      </w:r>
    </w:p>
    <w:p>
      <w:pPr>
        <w:keepNext/>
        <w:keepLines/>
        <w:spacing w:line="353" w:lineRule="auto"/>
        <w:ind w:firstLine="720"/>
        <w:jc w:val="both"/>
        <w:rPr>
          <w:rFonts w:ascii="仿宋_GB2312" w:hAnsi="Cambria" w:eastAsia="仿宋_GB2312" w:cs="仿宋_GB2312"/>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．资金计划。</w:t>
      </w:r>
    </w:p>
    <w:p>
      <w:pPr>
        <w:keepNext/>
        <w:keepLines/>
        <w:spacing w:line="353" w:lineRule="auto"/>
        <w:ind w:firstLine="720"/>
        <w:jc w:val="both"/>
        <w:rPr>
          <w:rFonts w:ascii="仿宋_GB2312" w:hAnsi="Cambria" w:eastAsia="仿宋_GB2312" w:cs="仿宋_GB2312"/>
          <w:kern w:val="2"/>
          <w:sz w:val="32"/>
          <w:szCs w:val="32"/>
          <w:lang w:val="zh-CN"/>
        </w:rPr>
      </w:pPr>
      <w:r>
        <w:rPr>
          <w:rFonts w:hint="eastAsia" w:ascii="仿宋_GB2312" w:hAnsi="Cambria" w:eastAsia="仿宋_GB2312" w:cs="仿宋_GB2312"/>
          <w:sz w:val="32"/>
          <w:szCs w:val="32"/>
          <w:lang w:val="zh-CN"/>
        </w:rPr>
        <w:t>该项目属区级预算项目</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2</w:t>
      </w:r>
      <w:r>
        <w:rPr>
          <w:rFonts w:hint="eastAsia" w:ascii="仿宋_GB2312" w:hAnsi="Cambria" w:eastAsia="仿宋_GB2312" w:cs="仿宋_GB2312"/>
          <w:sz w:val="32"/>
          <w:szCs w:val="32"/>
          <w:lang w:val="zh-CN"/>
        </w:rPr>
        <w:t>．资金到位。</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已全部到位。</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．资金使用。</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该项目资金已在2022年内按相关规定全部使用，资金的支付范围、支付标准、支付依据合法合规与预算相符。</w:t>
      </w:r>
    </w:p>
    <w:p>
      <w:pPr>
        <w:keepNext/>
        <w:keepLines/>
        <w:spacing w:line="353" w:lineRule="auto"/>
        <w:ind w:firstLine="640"/>
        <w:rPr>
          <w:rFonts w:ascii="仿宋_GB2312" w:hAnsi="Cambria" w:eastAsia="仿宋_GB2312" w:cs="仿宋_GB2312"/>
          <w:sz w:val="32"/>
          <w:szCs w:val="32"/>
          <w:lang w:val="zh-CN"/>
        </w:rPr>
      </w:pPr>
      <w:r>
        <w:rPr>
          <w:rFonts w:hint="eastAsia" w:ascii="楷体_GB2312" w:hAnsi="宋体" w:eastAsia="楷体_GB2312"/>
          <w:b/>
          <w:sz w:val="32"/>
          <w:szCs w:val="32"/>
          <w:lang w:val="zh-CN"/>
        </w:rPr>
        <w:t>（三）项目财务管理情况。</w:t>
      </w:r>
    </w:p>
    <w:p>
      <w:pPr>
        <w:keepNext/>
        <w:keepLines/>
        <w:spacing w:line="353" w:lineRule="auto"/>
        <w:ind w:firstLine="640"/>
        <w:rPr>
          <w:rFonts w:ascii="仿宋_GB2312" w:hAnsi="Cambria" w:eastAsia="仿宋_GB2312" w:cs="仿宋_GB2312"/>
          <w:sz w:val="32"/>
          <w:szCs w:val="32"/>
          <w:lang w:val="zh-CN"/>
        </w:rPr>
      </w:pPr>
      <w:r>
        <w:rPr>
          <w:rFonts w:ascii="仿宋_GB2312" w:hAnsi="宋体" w:eastAsia="仿宋_GB2312"/>
          <w:sz w:val="32"/>
          <w:szCs w:val="32"/>
          <w:lang w:val="zh-CN"/>
        </w:rPr>
        <w:t>财务管理制度健全，严格执行财务管理制度，账务处理及时，会计核算规范</w:t>
      </w:r>
      <w:r>
        <w:rPr>
          <w:rFonts w:hint="eastAsia" w:ascii="仿宋_GB2312" w:hAnsi="宋体" w:eastAsia="仿宋_GB2312"/>
          <w:sz w:val="32"/>
          <w:szCs w:val="32"/>
          <w:lang w:val="zh-CN"/>
        </w:rPr>
        <w:t>。</w:t>
      </w:r>
    </w:p>
    <w:p>
      <w:pPr>
        <w:keepNext/>
        <w:keepLines/>
        <w:spacing w:line="353" w:lineRule="auto"/>
        <w:ind w:firstLine="640" w:firstLineChars="200"/>
        <w:jc w:val="both"/>
        <w:rPr>
          <w:rFonts w:ascii="黑体" w:hAnsi="Cambria" w:eastAsia="黑体" w:cs="黑体"/>
          <w:kern w:val="2"/>
          <w:sz w:val="32"/>
          <w:szCs w:val="32"/>
        </w:rPr>
      </w:pPr>
      <w:r>
        <w:rPr>
          <w:rFonts w:hint="eastAsia" w:ascii="黑体" w:hAnsi="Cambria" w:eastAsia="黑体" w:cs="黑体"/>
          <w:kern w:val="2"/>
          <w:sz w:val="32"/>
          <w:szCs w:val="32"/>
        </w:rPr>
        <w:t>三、项目实施及管理情况</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结合项目组织实施管理办法，重点围绕以下内容进行分析评价，并对自评中发现的问题分析说明。</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（一）项目组织架构及实施流程。</w:t>
      </w:r>
    </w:p>
    <w:p>
      <w:pPr>
        <w:pStyle w:val="10"/>
        <w:keepNext/>
        <w:widowControl w:val="0"/>
        <w:shd w:val="clear" w:color="auto" w:fill="FFFFFF"/>
        <w:spacing w:before="0" w:beforeAutospacing="0" w:after="0" w:afterAutospacing="0" w:line="353" w:lineRule="auto"/>
        <w:ind w:firstLine="641"/>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1.区财政根据预算项目批复，下达项目经费，预算单位进行项目实施计划。</w:t>
      </w:r>
    </w:p>
    <w:p>
      <w:pPr>
        <w:pStyle w:val="10"/>
        <w:keepNext/>
        <w:widowControl w:val="0"/>
        <w:shd w:val="clear" w:color="auto" w:fill="FFFFFF"/>
        <w:spacing w:before="0" w:beforeAutospacing="0" w:after="0" w:afterAutospacing="0" w:line="353" w:lineRule="auto"/>
        <w:ind w:firstLine="641"/>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2.资金支付时根据实际情况，报分管领导审批同意，呈报主要负责人审核并批复同意支付。</w:t>
      </w:r>
    </w:p>
    <w:p>
      <w:pPr>
        <w:pStyle w:val="10"/>
        <w:keepNext/>
        <w:widowControl w:val="0"/>
        <w:shd w:val="clear" w:color="auto" w:fill="FFFFFF"/>
        <w:spacing w:before="0" w:beforeAutospacing="0" w:after="0" w:afterAutospacing="0" w:line="353" w:lineRule="auto"/>
        <w:ind w:firstLine="641"/>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（二）项目管理情况。</w:t>
      </w:r>
    </w:p>
    <w:p>
      <w:pPr>
        <w:pStyle w:val="10"/>
        <w:keepNext/>
        <w:widowControl w:val="0"/>
        <w:shd w:val="clear" w:color="auto" w:fill="FFFFFF"/>
        <w:spacing w:before="0" w:beforeAutospacing="0" w:after="0" w:afterAutospacing="0" w:line="353" w:lineRule="auto"/>
        <w:ind w:firstLine="641"/>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项目是区财政纳入年度预算，我局严格安照项目要求及财经法律法规等要求落实的。</w:t>
      </w:r>
    </w:p>
    <w:p>
      <w:pPr>
        <w:keepNext/>
        <w:spacing w:line="353" w:lineRule="auto"/>
        <w:jc w:val="both"/>
        <w:rPr>
          <w:rFonts w:ascii="楷体_GB2312" w:hAnsi="Cambria" w:eastAsia="楷体_GB2312" w:cs="楷体_GB2312"/>
          <w:b/>
          <w:bCs/>
          <w:kern w:val="2"/>
          <w:sz w:val="32"/>
          <w:szCs w:val="32"/>
          <w:lang w:val="zh-CN"/>
        </w:rPr>
      </w:pPr>
      <w:r>
        <w:rPr>
          <w:rFonts w:hint="eastAsia" w:ascii="仿宋_GB2312" w:hAnsi="宋体" w:eastAsia="仿宋_GB2312" w:cs="Times New Roman"/>
          <w:kern w:val="2"/>
          <w:sz w:val="32"/>
          <w:szCs w:val="32"/>
          <w:lang w:val="zh-CN"/>
        </w:rPr>
        <w:t xml:space="preserve">    </w:t>
      </w:r>
      <w:r>
        <w:rPr>
          <w:rFonts w:hint="eastAsia" w:ascii="楷体_GB2312" w:hAnsi="Cambria" w:eastAsia="楷体_GB2312" w:cs="楷体_GB2312"/>
          <w:b/>
          <w:bCs/>
          <w:kern w:val="2"/>
          <w:sz w:val="32"/>
          <w:szCs w:val="32"/>
          <w:lang w:val="zh-CN"/>
        </w:rPr>
        <w:t>（三）项目监管情况。</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项目完成情况每年都要向财政部门填写相关的绩效分析评价，并上报相关对口管理部门检查。</w:t>
      </w:r>
    </w:p>
    <w:p>
      <w:pPr>
        <w:keepNext/>
        <w:spacing w:line="353" w:lineRule="auto"/>
        <w:ind w:firstLine="720"/>
        <w:jc w:val="both"/>
        <w:rPr>
          <w:rFonts w:ascii="仿宋_GB2312" w:hAnsi="Cambria" w:eastAsia="仿宋_GB2312" w:cs="仿宋_GB2312"/>
          <w:kern w:val="2"/>
          <w:sz w:val="32"/>
          <w:szCs w:val="32"/>
          <w:lang w:val="zh-CN"/>
        </w:rPr>
      </w:pPr>
      <w:r>
        <w:rPr>
          <w:rFonts w:hint="eastAsia" w:ascii="黑体" w:hAnsi="Cambria" w:eastAsia="黑体" w:cs="黑体"/>
          <w:kern w:val="2"/>
          <w:sz w:val="32"/>
          <w:szCs w:val="32"/>
        </w:rPr>
        <w:t>四、项目绩效情况</w:t>
      </w:r>
      <w:r>
        <w:rPr>
          <w:rFonts w:ascii="宋体" w:hAnsi="Cambria" w:eastAsia="宋体" w:cs="宋体"/>
          <w:kern w:val="2"/>
          <w:sz w:val="32"/>
          <w:szCs w:val="32"/>
          <w:lang w:val="zh-CN"/>
        </w:rPr>
        <w:tab/>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（一）项目完成情况。</w:t>
      </w:r>
    </w:p>
    <w:p>
      <w:pPr>
        <w:keepNext/>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1.数量指标：61人*22天*10元*12月=16.1万元。</w:t>
      </w:r>
    </w:p>
    <w:p>
      <w:pPr>
        <w:keepNext/>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2.质量指标：</w:t>
      </w:r>
      <w:r>
        <w:rPr>
          <w:rFonts w:ascii="仿宋_GB2312" w:eastAsia="仿宋_GB2312" w:cs="Times New Roman"/>
          <w:kern w:val="2"/>
          <w:sz w:val="32"/>
          <w:szCs w:val="32"/>
          <w:lang w:val="zh-CN"/>
        </w:rPr>
        <w:t>为执法人员做好后勤保障，</w:t>
      </w:r>
      <w:r>
        <w:rPr>
          <w:rFonts w:hint="eastAsia" w:ascii="仿宋_GB2312" w:eastAsia="仿宋_GB2312" w:cs="Times New Roman"/>
          <w:kern w:val="2"/>
          <w:sz w:val="32"/>
          <w:szCs w:val="32"/>
          <w:lang w:val="zh-CN"/>
        </w:rPr>
        <w:t>提高业务水平。</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3.时效指标：项目实施时间为2022年1月至12月。</w:t>
      </w:r>
    </w:p>
    <w:p>
      <w:pPr>
        <w:keepNext/>
        <w:spacing w:line="353" w:lineRule="auto"/>
        <w:ind w:firstLine="720"/>
        <w:jc w:val="both"/>
        <w:rPr>
          <w:rFonts w:ascii="仿宋_GB2312" w:hAnsi="Cambria" w:eastAsia="仿宋_GB2312" w:cs="仿宋_GB2312"/>
          <w:sz w:val="32"/>
          <w:szCs w:val="32"/>
          <w:lang w:val="zh-CN"/>
        </w:rPr>
      </w:pPr>
      <w:r>
        <w:rPr>
          <w:rFonts w:hint="eastAsia" w:ascii="仿宋_GB2312" w:eastAsia="仿宋_GB2312" w:cs="Times New Roman"/>
          <w:kern w:val="2"/>
          <w:sz w:val="32"/>
          <w:szCs w:val="32"/>
          <w:lang w:val="zh-CN"/>
        </w:rPr>
        <w:t>4.成本指标：16.1万元。</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（二）项目效益情况。</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1.可持续影响指标：</w:t>
      </w:r>
      <w:r>
        <w:rPr>
          <w:rFonts w:ascii="仿宋_GB2312" w:eastAsia="仿宋_GB2312" w:cs="Times New Roman"/>
          <w:kern w:val="2"/>
          <w:sz w:val="32"/>
          <w:szCs w:val="32"/>
          <w:lang w:val="zh-CN"/>
        </w:rPr>
        <w:t>解决后勤保障，</w:t>
      </w:r>
      <w:r>
        <w:rPr>
          <w:rFonts w:hint="eastAsia" w:ascii="仿宋_GB2312" w:eastAsia="仿宋_GB2312" w:cs="Times New Roman"/>
          <w:kern w:val="2"/>
          <w:sz w:val="32"/>
          <w:szCs w:val="32"/>
          <w:lang w:val="zh-CN"/>
        </w:rPr>
        <w:t>提高素质。</w:t>
      </w:r>
    </w:p>
    <w:p>
      <w:pPr>
        <w:keepNext/>
        <w:spacing w:line="353" w:lineRule="auto"/>
        <w:ind w:firstLine="720"/>
        <w:jc w:val="both"/>
        <w:rPr>
          <w:rFonts w:ascii="仿宋_GB2312" w:hAnsi="宋体" w:eastAsia="仿宋_GB2312"/>
          <w:sz w:val="32"/>
          <w:szCs w:val="32"/>
          <w:lang w:val="zh-CN"/>
        </w:rPr>
      </w:pPr>
      <w:r>
        <w:rPr>
          <w:rFonts w:hint="eastAsia" w:ascii="仿宋_GB2312" w:hAnsi="宋体" w:eastAsia="仿宋_GB2312"/>
          <w:sz w:val="32"/>
          <w:szCs w:val="32"/>
          <w:lang w:val="zh-CN"/>
        </w:rPr>
        <w:t>2.服务对象满意度指标：服务对象和主管部门满意度大于90%。</w:t>
      </w:r>
    </w:p>
    <w:p>
      <w:pPr>
        <w:keepNext/>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五、评价结论及建议</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（一）评价结论。</w:t>
      </w:r>
    </w:p>
    <w:p>
      <w:pPr>
        <w:keepNext/>
        <w:spacing w:line="353" w:lineRule="auto"/>
        <w:ind w:firstLine="641"/>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2022年攀枝花市东区综合行政执法局自我绩效评价为：优秀。评价得分：通用指标36分，共性指标20分，特性指标29分，个性指标9分，扣分项0分，合计94分。</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（二）存在的问题。</w:t>
      </w:r>
    </w:p>
    <w:p>
      <w:pPr>
        <w:keepNext/>
        <w:spacing w:line="353" w:lineRule="auto"/>
        <w:ind w:firstLine="720"/>
        <w:jc w:val="both"/>
        <w:rPr>
          <w:rFonts w:ascii="仿宋_GB2312" w:hAnsi="宋体" w:eastAsia="仿宋_GB2312"/>
          <w:sz w:val="32"/>
          <w:szCs w:val="32"/>
          <w:lang w:val="zh-CN"/>
        </w:rPr>
      </w:pPr>
      <w:r>
        <w:rPr>
          <w:rFonts w:ascii="仿宋_GB2312" w:hAnsi="宋体" w:eastAsia="仿宋_GB2312"/>
          <w:sz w:val="32"/>
          <w:szCs w:val="32"/>
          <w:lang w:val="zh-CN"/>
        </w:rPr>
        <w:t>后勤保障还需进一点改善。</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（三）相关建议。</w:t>
      </w:r>
    </w:p>
    <w:p>
      <w:pPr>
        <w:keepNext/>
        <w:snapToGrid w:val="0"/>
        <w:spacing w:line="353" w:lineRule="auto"/>
        <w:ind w:firstLine="720"/>
        <w:rPr>
          <w:rFonts w:ascii="仿宋_GB2312" w:hAnsi="宋体" w:eastAsia="仿宋_GB2312"/>
          <w:sz w:val="32"/>
          <w:szCs w:val="32"/>
          <w:lang w:val="zh-CN"/>
        </w:rPr>
      </w:pPr>
      <w:r>
        <w:rPr>
          <w:rFonts w:hint="eastAsia" w:ascii="仿宋_GB2312" w:hAnsi="宋体" w:eastAsia="仿宋_GB2312"/>
          <w:sz w:val="32"/>
          <w:szCs w:val="32"/>
          <w:lang w:val="zh-CN"/>
        </w:rPr>
        <w:t>加强资金监管，制定相应的资金使用计划，使之形成常态机制，加快资金使用进度</w:t>
      </w:r>
      <w:r>
        <w:rPr>
          <w:rFonts w:ascii="仿宋_GB2312" w:hAnsi="宋体" w:eastAsia="仿宋_GB2312"/>
          <w:sz w:val="32"/>
          <w:szCs w:val="32"/>
          <w:lang w:val="zh-CN"/>
        </w:rPr>
        <w:t>。</w:t>
      </w:r>
    </w:p>
    <w:p>
      <w:pPr>
        <w:keepNext/>
        <w:snapToGrid w:val="0"/>
        <w:spacing w:line="353" w:lineRule="auto"/>
        <w:ind w:firstLine="720"/>
        <w:rPr>
          <w:rFonts w:ascii="仿宋_GB2312" w:hAnsi="宋体" w:eastAsia="仿宋_GB2312"/>
          <w:sz w:val="32"/>
          <w:szCs w:val="32"/>
          <w:lang w:val="zh-CN"/>
        </w:rPr>
      </w:pPr>
    </w:p>
    <w:p>
      <w:pPr>
        <w:keepNext/>
        <w:snapToGrid w:val="0"/>
        <w:spacing w:line="353" w:lineRule="auto"/>
        <w:ind w:firstLine="720"/>
        <w:rPr>
          <w:rFonts w:ascii="仿宋_GB2312" w:hAnsi="宋体" w:eastAsia="仿宋_GB2312"/>
          <w:sz w:val="32"/>
          <w:szCs w:val="32"/>
          <w:lang w:val="zh-CN"/>
        </w:rPr>
      </w:pPr>
    </w:p>
    <w:p>
      <w:pPr>
        <w:keepNext/>
        <w:snapToGrid w:val="0"/>
        <w:spacing w:line="353" w:lineRule="auto"/>
        <w:ind w:firstLine="720"/>
        <w:rPr>
          <w:rFonts w:ascii="仿宋_GB2312" w:hAnsi="宋体" w:eastAsia="仿宋_GB2312"/>
          <w:sz w:val="32"/>
          <w:szCs w:val="32"/>
          <w:lang w:val="zh-CN"/>
        </w:rPr>
      </w:pPr>
    </w:p>
    <w:p>
      <w:pPr>
        <w:keepNext/>
        <w:snapToGrid w:val="0"/>
        <w:spacing w:line="353" w:lineRule="auto"/>
        <w:ind w:firstLine="720"/>
        <w:rPr>
          <w:rFonts w:ascii="仿宋_GB2312" w:hAnsi="宋体" w:eastAsia="仿宋_GB2312"/>
          <w:sz w:val="32"/>
          <w:szCs w:val="32"/>
          <w:lang w:val="zh-CN"/>
        </w:rPr>
      </w:pPr>
    </w:p>
    <w:p>
      <w:pPr>
        <w:keepNext/>
        <w:snapToGrid w:val="0"/>
        <w:spacing w:line="353" w:lineRule="auto"/>
        <w:ind w:firstLine="720"/>
        <w:rPr>
          <w:rFonts w:ascii="仿宋_GB2312" w:hAnsi="宋体" w:eastAsia="仿宋_GB2312"/>
          <w:sz w:val="32"/>
          <w:szCs w:val="32"/>
          <w:lang w:val="zh-CN"/>
        </w:rPr>
      </w:pPr>
    </w:p>
    <w:p>
      <w:pPr>
        <w:keepNext/>
        <w:snapToGrid w:val="0"/>
        <w:spacing w:line="353" w:lineRule="auto"/>
        <w:ind w:firstLine="720"/>
        <w:rPr>
          <w:rFonts w:ascii="仿宋_GB2312" w:hAnsi="宋体" w:eastAsia="仿宋_GB2312"/>
          <w:sz w:val="32"/>
          <w:szCs w:val="32"/>
          <w:lang w:val="zh-CN"/>
        </w:rPr>
      </w:pPr>
    </w:p>
    <w:p>
      <w:pPr>
        <w:keepNext/>
        <w:snapToGrid w:val="0"/>
        <w:spacing w:line="353" w:lineRule="auto"/>
        <w:ind w:firstLine="720"/>
        <w:rPr>
          <w:rFonts w:ascii="仿宋_GB2312" w:hAnsi="宋体" w:eastAsia="仿宋_GB2312"/>
          <w:sz w:val="32"/>
          <w:szCs w:val="32"/>
          <w:lang w:val="zh-CN"/>
        </w:rPr>
      </w:pPr>
    </w:p>
    <w:p>
      <w:pPr>
        <w:keepNext/>
        <w:snapToGrid w:val="0"/>
        <w:spacing w:line="353" w:lineRule="auto"/>
        <w:ind w:firstLine="720"/>
        <w:rPr>
          <w:rFonts w:ascii="仿宋_GB2312" w:hAnsi="宋体" w:eastAsia="仿宋_GB2312"/>
          <w:sz w:val="32"/>
          <w:szCs w:val="32"/>
          <w:lang w:val="zh-CN"/>
        </w:rPr>
      </w:pPr>
    </w:p>
    <w:p>
      <w:pPr>
        <w:keepNext/>
        <w:snapToGrid w:val="0"/>
        <w:spacing w:line="353" w:lineRule="auto"/>
        <w:ind w:firstLine="720"/>
        <w:rPr>
          <w:rFonts w:ascii="仿宋_GB2312" w:hAnsi="宋体" w:eastAsia="仿宋_GB2312"/>
          <w:sz w:val="32"/>
          <w:szCs w:val="32"/>
          <w:lang w:val="zh-CN"/>
        </w:rPr>
      </w:pPr>
    </w:p>
    <w:p>
      <w:pPr>
        <w:keepNext/>
        <w:snapToGrid w:val="0"/>
        <w:spacing w:line="353" w:lineRule="auto"/>
        <w:ind w:firstLine="720"/>
        <w:rPr>
          <w:rFonts w:ascii="仿宋_GB2312" w:hAnsi="宋体" w:eastAsia="仿宋_GB2312"/>
          <w:sz w:val="32"/>
          <w:szCs w:val="32"/>
          <w:lang w:val="zh-CN"/>
        </w:rPr>
      </w:pPr>
    </w:p>
    <w:p>
      <w:pPr>
        <w:keepNext/>
        <w:snapToGrid w:val="0"/>
        <w:spacing w:line="353" w:lineRule="auto"/>
        <w:rPr>
          <w:rFonts w:ascii="仿宋_GB2312" w:hAnsi="宋体" w:eastAsia="仿宋_GB2312"/>
          <w:sz w:val="32"/>
          <w:szCs w:val="32"/>
          <w:lang w:val="zh-CN"/>
        </w:rPr>
      </w:pPr>
    </w:p>
    <w:p>
      <w:pPr>
        <w:keepNext/>
        <w:keepLines/>
        <w:spacing w:line="353" w:lineRule="auto"/>
        <w:rPr>
          <w:rFonts w:ascii="仿宋_GB2312" w:hAnsi="Cambria" w:eastAsia="仿宋_GB2312" w:cs="仿宋_GB2312"/>
          <w:sz w:val="32"/>
          <w:szCs w:val="32"/>
        </w:rPr>
      </w:pPr>
      <w:r>
        <w:rPr>
          <w:rFonts w:hint="eastAsia" w:ascii="仿宋_GB2312" w:hAnsi="Cambria" w:eastAsia="仿宋_GB2312" w:cs="仿宋_GB2312"/>
          <w:sz w:val="32"/>
          <w:szCs w:val="32"/>
          <w:lang w:val="zh-CN"/>
        </w:rPr>
        <w:t>附件</w:t>
      </w:r>
      <w:r>
        <w:rPr>
          <w:rFonts w:ascii="仿宋_GB2312" w:hAnsi="Cambria" w:eastAsia="仿宋_GB2312" w:cs="仿宋_GB2312"/>
          <w:sz w:val="32"/>
          <w:szCs w:val="32"/>
        </w:rPr>
        <w:t>2</w:t>
      </w:r>
    </w:p>
    <w:p>
      <w:pPr>
        <w:keepNext/>
        <w:keepLines/>
        <w:spacing w:line="353" w:lineRule="auto"/>
        <w:jc w:val="center"/>
        <w:rPr>
          <w:rFonts w:hAnsi="Cambria" w:cs="方正小标宋简体"/>
          <w:kern w:val="2"/>
          <w:sz w:val="44"/>
          <w:szCs w:val="44"/>
        </w:rPr>
      </w:pPr>
      <w:r>
        <w:rPr>
          <w:rFonts w:hAnsi="Cambria" w:cs="方正小标宋简体"/>
          <w:kern w:val="2"/>
          <w:sz w:val="44"/>
          <w:szCs w:val="44"/>
        </w:rPr>
        <w:t>2022年预算项目绩效自评报告</w:t>
      </w:r>
    </w:p>
    <w:p>
      <w:pPr>
        <w:keepNext/>
        <w:keepLines/>
        <w:spacing w:line="353" w:lineRule="auto"/>
        <w:jc w:val="center"/>
        <w:rPr>
          <w:rFonts w:hAnsi="Cambria" w:cs="方正小标宋简体"/>
          <w:kern w:val="2"/>
          <w:sz w:val="32"/>
          <w:szCs w:val="32"/>
        </w:rPr>
      </w:pPr>
      <w:r>
        <w:rPr>
          <w:rFonts w:hint="eastAsia" w:ascii="仿宋_GB2312" w:hAnsi="宋体" w:eastAsia="仿宋_GB2312"/>
          <w:sz w:val="32"/>
          <w:szCs w:val="32"/>
          <w:lang w:val="zh-CN"/>
        </w:rPr>
        <w:t>（数字化城管运转经费）</w:t>
      </w:r>
    </w:p>
    <w:p>
      <w:pPr>
        <w:keepNext/>
        <w:keepLines/>
        <w:spacing w:line="353" w:lineRule="auto"/>
        <w:ind w:firstLine="640"/>
        <w:jc w:val="center"/>
        <w:rPr>
          <w:rFonts w:ascii="Times New Roman" w:hAnsi="Times New Roman" w:eastAsia="宋体" w:cs="Times New Roman"/>
          <w:kern w:val="2"/>
          <w:sz w:val="32"/>
          <w:szCs w:val="32"/>
          <w:lang w:val="zh-CN"/>
        </w:rPr>
      </w:pPr>
    </w:p>
    <w:p>
      <w:pPr>
        <w:keepNext/>
        <w:spacing w:line="353" w:lineRule="auto"/>
        <w:ind w:firstLine="640" w:firstLineChars="200"/>
        <w:jc w:val="both"/>
        <w:rPr>
          <w:rFonts w:ascii="Times New Roman" w:hAnsi="Times New Roman" w:eastAsia="黑体" w:cs="Times New Roman"/>
          <w:kern w:val="2"/>
          <w:sz w:val="32"/>
          <w:szCs w:val="32"/>
          <w:lang w:val="zh-CN"/>
        </w:rPr>
      </w:pPr>
      <w:r>
        <w:rPr>
          <w:rFonts w:ascii="Times New Roman" w:hAnsi="Times New Roman" w:eastAsia="黑体" w:cs="Times New Roman"/>
          <w:kern w:val="2"/>
          <w:sz w:val="32"/>
          <w:szCs w:val="32"/>
        </w:rPr>
        <w:t>一、</w:t>
      </w:r>
      <w:r>
        <w:rPr>
          <w:rFonts w:ascii="Times New Roman" w:hAnsi="Times New Roman" w:eastAsia="黑体" w:cs="Times New Roman"/>
          <w:kern w:val="2"/>
          <w:sz w:val="32"/>
          <w:szCs w:val="32"/>
          <w:lang w:val="zh-CN"/>
        </w:rPr>
        <w:t>项目概况</w:t>
      </w:r>
    </w:p>
    <w:p>
      <w:pPr>
        <w:keepNext/>
        <w:spacing w:line="353" w:lineRule="auto"/>
        <w:ind w:firstLine="643" w:firstLineChars="200"/>
        <w:jc w:val="both"/>
        <w:rPr>
          <w:rFonts w:ascii="Times New Roman" w:hAnsi="Times New Roman" w:eastAsia="楷体_GB2312" w:cs="Times New Roman"/>
          <w:b/>
          <w:bCs/>
          <w:kern w:val="2"/>
          <w:sz w:val="32"/>
          <w:szCs w:val="32"/>
          <w:lang w:val="zh-CN"/>
        </w:rPr>
      </w:pPr>
      <w:r>
        <w:rPr>
          <w:rFonts w:ascii="Times New Roman" w:hAnsi="Times New Roman" w:eastAsia="楷体_GB2312" w:cs="Times New Roman"/>
          <w:b/>
          <w:bCs/>
          <w:kern w:val="2"/>
          <w:sz w:val="32"/>
          <w:szCs w:val="32"/>
          <w:lang w:val="zh-CN"/>
        </w:rPr>
        <w:t>（一）项目基本情况。</w:t>
      </w:r>
    </w:p>
    <w:p>
      <w:pPr>
        <w:keepNext/>
        <w:spacing w:line="353" w:lineRule="auto"/>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1．攀枝花市东区综合行政执法局是该项目的实施主体。</w:t>
      </w:r>
    </w:p>
    <w:p>
      <w:pPr>
        <w:keepNext/>
        <w:spacing w:line="353" w:lineRule="auto"/>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2．项目立项、资金申报的依据：攀枝花市城市管理行政执法局、攀枝花市财政局《关于划拨2022年攀枝花市数字化城市管理信息系统项目运行经费的通知》（攀城管</w:t>
      </w:r>
      <w:r>
        <w:rPr>
          <w:rFonts w:ascii="Times New Roman" w:hAnsi="Times New Roman" w:eastAsia="仿宋_GB2312" w:cs="Times New Roman"/>
          <w:sz w:val="32"/>
          <w:szCs w:val="32"/>
        </w:rPr>
        <w:t>执</w:t>
      </w:r>
      <w:r>
        <w:rPr>
          <w:rFonts w:ascii="Times New Roman" w:hAnsi="Times New Roman" w:eastAsia="仿宋_GB2312" w:cs="Times New Roman"/>
          <w:sz w:val="32"/>
          <w:szCs w:val="32"/>
          <w:lang w:val="zh-CN"/>
        </w:rPr>
        <w:t>〔202</w:t>
      </w:r>
      <w:r>
        <w:rPr>
          <w:rFonts w:ascii="Times New Roman" w:hAnsi="Times New Roman" w:eastAsia="仿宋_GB2312" w:cs="Times New Roman"/>
          <w:sz w:val="32"/>
          <w:szCs w:val="32"/>
        </w:rPr>
        <w:t>1</w:t>
      </w:r>
      <w:r>
        <w:rPr>
          <w:rFonts w:ascii="Times New Roman" w:hAnsi="Times New Roman" w:eastAsia="仿宋_GB2312" w:cs="Times New Roman"/>
          <w:sz w:val="32"/>
          <w:szCs w:val="32"/>
          <w:lang w:val="zh-CN"/>
        </w:rPr>
        <w:t>〕</w:t>
      </w:r>
      <w:r>
        <w:rPr>
          <w:rFonts w:ascii="Times New Roman" w:hAnsi="Times New Roman" w:eastAsia="仿宋_GB2312" w:cs="Times New Roman"/>
          <w:sz w:val="32"/>
          <w:szCs w:val="32"/>
        </w:rPr>
        <w:t>161</w:t>
      </w:r>
      <w:r>
        <w:rPr>
          <w:rFonts w:ascii="Times New Roman" w:hAnsi="Times New Roman" w:eastAsia="仿宋_GB2312" w:cs="Times New Roman"/>
          <w:sz w:val="32"/>
          <w:szCs w:val="32"/>
          <w:lang w:val="zh-CN"/>
        </w:rPr>
        <w:t>号）。</w:t>
      </w:r>
    </w:p>
    <w:p>
      <w:pPr>
        <w:keepNext/>
        <w:spacing w:line="353"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3．资金</w:t>
      </w:r>
      <w:r>
        <w:rPr>
          <w:rFonts w:ascii="Times New Roman" w:hAnsi="Times New Roman" w:eastAsia="仿宋_GB2312" w:cs="Times New Roman"/>
          <w:sz w:val="32"/>
          <w:szCs w:val="32"/>
        </w:rPr>
        <w:t>或项目</w:t>
      </w:r>
      <w:r>
        <w:rPr>
          <w:rFonts w:ascii="Times New Roman" w:hAnsi="Times New Roman" w:eastAsia="仿宋_GB2312" w:cs="Times New Roman"/>
          <w:sz w:val="32"/>
          <w:szCs w:val="32"/>
          <w:lang w:val="zh-CN"/>
        </w:rPr>
        <w:t>管理办法制定情况，资金支持具体项目的条件、范围与支持方式概况：202</w:t>
      </w:r>
      <w:r>
        <w:rPr>
          <w:rFonts w:ascii="Times New Roman" w:hAnsi="Times New Roman" w:eastAsia="仿宋_GB2312" w:cs="Times New Roman"/>
          <w:sz w:val="32"/>
          <w:szCs w:val="32"/>
        </w:rPr>
        <w:t>2</w:t>
      </w:r>
      <w:r>
        <w:rPr>
          <w:rFonts w:ascii="Times New Roman" w:hAnsi="Times New Roman" w:eastAsia="仿宋_GB2312" w:cs="Times New Roman"/>
          <w:sz w:val="32"/>
          <w:szCs w:val="32"/>
          <w:lang w:val="zh-CN"/>
        </w:rPr>
        <w:t>年我市数字化城市</w:t>
      </w:r>
      <w:r>
        <w:rPr>
          <w:rFonts w:ascii="Times New Roman" w:hAnsi="Times New Roman" w:eastAsia="仿宋_GB2312" w:cs="Times New Roman"/>
          <w:sz w:val="32"/>
          <w:szCs w:val="32"/>
        </w:rPr>
        <w:t>管理信息系统项目</w:t>
      </w:r>
      <w:r>
        <w:rPr>
          <w:rFonts w:ascii="Times New Roman" w:hAnsi="Times New Roman" w:eastAsia="仿宋_GB2312" w:cs="Times New Roman"/>
          <w:sz w:val="32"/>
          <w:szCs w:val="32"/>
          <w:lang w:val="zh-CN"/>
        </w:rPr>
        <w:t>运行经费为</w:t>
      </w:r>
      <w:r>
        <w:rPr>
          <w:rFonts w:ascii="Times New Roman" w:hAnsi="Times New Roman" w:eastAsia="仿宋_GB2312" w:cs="Times New Roman"/>
          <w:sz w:val="32"/>
          <w:szCs w:val="32"/>
        </w:rPr>
        <w:t>890.8</w:t>
      </w:r>
      <w:r>
        <w:rPr>
          <w:rFonts w:ascii="Times New Roman" w:hAnsi="Times New Roman" w:eastAsia="仿宋_GB2312" w:cs="Times New Roman"/>
          <w:sz w:val="32"/>
          <w:szCs w:val="32"/>
          <w:lang w:val="zh-CN"/>
        </w:rPr>
        <w:t>万元，其中东区需承担15%，即为13</w:t>
      </w:r>
      <w:r>
        <w:rPr>
          <w:rFonts w:ascii="Times New Roman" w:hAnsi="Times New Roman" w:eastAsia="仿宋_GB2312" w:cs="Times New Roman"/>
          <w:sz w:val="32"/>
          <w:szCs w:val="32"/>
        </w:rPr>
        <w:t>3.512</w:t>
      </w:r>
      <w:r>
        <w:rPr>
          <w:rFonts w:ascii="Times New Roman" w:hAnsi="Times New Roman" w:eastAsia="仿宋_GB2312" w:cs="Times New Roman"/>
          <w:sz w:val="32"/>
          <w:szCs w:val="32"/>
          <w:lang w:val="zh-CN"/>
        </w:rPr>
        <w:t>万元；同时根据东区数字化城管工作的需要，</w:t>
      </w:r>
      <w:r>
        <w:rPr>
          <w:rFonts w:ascii="Times New Roman" w:hAnsi="Times New Roman" w:eastAsia="仿宋_GB2312" w:cs="Times New Roman"/>
          <w:sz w:val="32"/>
          <w:szCs w:val="32"/>
        </w:rPr>
        <w:t>安排</w:t>
      </w:r>
      <w:r>
        <w:rPr>
          <w:rFonts w:ascii="Times New Roman" w:hAnsi="Times New Roman" w:eastAsia="仿宋_GB2312" w:cs="Times New Roman"/>
          <w:sz w:val="32"/>
          <w:szCs w:val="32"/>
          <w:lang w:val="zh-CN"/>
        </w:rPr>
        <w:t>区数字化城管指挥中心运转经费，</w:t>
      </w:r>
      <w:r>
        <w:rPr>
          <w:rFonts w:ascii="Times New Roman" w:hAnsi="Times New Roman" w:eastAsia="仿宋_GB2312" w:cs="Times New Roman"/>
          <w:sz w:val="32"/>
          <w:szCs w:val="32"/>
        </w:rPr>
        <w:t>统筹安排143万元。</w:t>
      </w:r>
    </w:p>
    <w:p>
      <w:pPr>
        <w:keepNext/>
        <w:spacing w:line="353" w:lineRule="auto"/>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4．资金分配的原则及考虑因素：</w:t>
      </w:r>
      <w:r>
        <w:rPr>
          <w:rFonts w:ascii="Times New Roman" w:hAnsi="Times New Roman" w:eastAsia="仿宋_GB2312" w:cs="Times New Roman"/>
          <w:sz w:val="32"/>
          <w:szCs w:val="32"/>
        </w:rPr>
        <w:t>智慧城管中心正常运转</w:t>
      </w:r>
      <w:r>
        <w:rPr>
          <w:rFonts w:ascii="Times New Roman" w:hAnsi="Times New Roman" w:eastAsia="仿宋_GB2312" w:cs="Times New Roman"/>
          <w:sz w:val="32"/>
          <w:szCs w:val="32"/>
          <w:lang w:val="zh-CN"/>
        </w:rPr>
        <w:t>。</w:t>
      </w:r>
    </w:p>
    <w:p>
      <w:pPr>
        <w:keepNext/>
        <w:spacing w:line="353" w:lineRule="auto"/>
        <w:ind w:firstLine="643" w:firstLineChars="200"/>
        <w:jc w:val="both"/>
        <w:rPr>
          <w:rFonts w:ascii="Times New Roman" w:hAnsi="Times New Roman" w:eastAsia="楷体_GB2312" w:cs="Times New Roman"/>
          <w:b/>
          <w:bCs/>
          <w:kern w:val="2"/>
          <w:sz w:val="32"/>
          <w:szCs w:val="32"/>
          <w:lang w:val="zh-CN"/>
        </w:rPr>
      </w:pPr>
      <w:r>
        <w:rPr>
          <w:rFonts w:ascii="Times New Roman" w:hAnsi="Times New Roman" w:eastAsia="楷体_GB2312" w:cs="Times New Roman"/>
          <w:b/>
          <w:bCs/>
          <w:kern w:val="2"/>
          <w:sz w:val="32"/>
          <w:szCs w:val="32"/>
          <w:lang w:val="zh-CN"/>
        </w:rPr>
        <w:t>（二）项目绩效目标。</w:t>
      </w:r>
    </w:p>
    <w:p>
      <w:pPr>
        <w:keepNext/>
        <w:spacing w:line="353" w:lineRule="auto"/>
        <w:ind w:firstLine="640" w:firstLineChars="200"/>
        <w:jc w:val="both"/>
        <w:rPr>
          <w:rFonts w:ascii="Times New Roman" w:hAnsi="Times New Roman" w:eastAsia="仿宋_GB2312" w:cs="Times New Roman"/>
          <w:kern w:val="2"/>
          <w:sz w:val="32"/>
          <w:szCs w:val="32"/>
          <w:lang w:val="zh-CN"/>
        </w:rPr>
      </w:pPr>
      <w:r>
        <w:rPr>
          <w:rFonts w:ascii="Times New Roman" w:hAnsi="Times New Roman" w:eastAsia="仿宋_GB2312" w:cs="Times New Roman"/>
          <w:kern w:val="2"/>
          <w:sz w:val="32"/>
          <w:szCs w:val="32"/>
          <w:lang w:val="zh-CN"/>
        </w:rPr>
        <w:t>1．项目主要内容：</w:t>
      </w:r>
      <w:r>
        <w:rPr>
          <w:rFonts w:ascii="Times New Roman" w:hAnsi="Times New Roman" w:eastAsia="仿宋_GB2312" w:cs="Times New Roman"/>
          <w:kern w:val="2"/>
          <w:sz w:val="32"/>
          <w:szCs w:val="32"/>
        </w:rPr>
        <w:t>根据</w:t>
      </w:r>
      <w:r>
        <w:rPr>
          <w:rFonts w:ascii="Times New Roman" w:hAnsi="Times New Roman" w:eastAsia="仿宋_GB2312" w:cs="Times New Roman"/>
          <w:kern w:val="2"/>
          <w:sz w:val="32"/>
          <w:szCs w:val="32"/>
          <w:lang w:val="zh-CN"/>
        </w:rPr>
        <w:t>攀枝花市城市管理行政执法局、攀枝花市财政局《关于划拨2022年攀枝花市数字化城市管理信息系统项目运行经费的通知》（攀城管</w:t>
      </w:r>
      <w:r>
        <w:rPr>
          <w:rFonts w:ascii="Times New Roman" w:hAnsi="Times New Roman" w:eastAsia="仿宋_GB2312" w:cs="Times New Roman"/>
          <w:kern w:val="2"/>
          <w:sz w:val="32"/>
          <w:szCs w:val="32"/>
        </w:rPr>
        <w:t>执</w:t>
      </w:r>
      <w:r>
        <w:rPr>
          <w:rFonts w:ascii="Times New Roman" w:hAnsi="Times New Roman" w:eastAsia="仿宋_GB2312" w:cs="Times New Roman"/>
          <w:kern w:val="2"/>
          <w:sz w:val="32"/>
          <w:szCs w:val="32"/>
          <w:lang w:val="zh-CN"/>
        </w:rPr>
        <w:t>〔202</w:t>
      </w:r>
      <w:r>
        <w:rPr>
          <w:rFonts w:ascii="Times New Roman" w:hAnsi="Times New Roman" w:eastAsia="仿宋_GB2312" w:cs="Times New Roman"/>
          <w:kern w:val="2"/>
          <w:sz w:val="32"/>
          <w:szCs w:val="32"/>
        </w:rPr>
        <w:t>1</w:t>
      </w:r>
      <w:r>
        <w:rPr>
          <w:rFonts w:ascii="Times New Roman" w:hAnsi="Times New Roman" w:eastAsia="仿宋_GB2312" w:cs="Times New Roman"/>
          <w:kern w:val="2"/>
          <w:sz w:val="32"/>
          <w:szCs w:val="32"/>
          <w:lang w:val="zh-CN"/>
        </w:rPr>
        <w:t>〕</w:t>
      </w:r>
      <w:r>
        <w:rPr>
          <w:rFonts w:ascii="Times New Roman" w:hAnsi="Times New Roman" w:eastAsia="仿宋_GB2312" w:cs="Times New Roman"/>
          <w:kern w:val="2"/>
          <w:sz w:val="32"/>
          <w:szCs w:val="32"/>
        </w:rPr>
        <w:t>161</w:t>
      </w:r>
      <w:r>
        <w:rPr>
          <w:rFonts w:ascii="Times New Roman" w:hAnsi="Times New Roman" w:eastAsia="仿宋_GB2312" w:cs="Times New Roman"/>
          <w:kern w:val="2"/>
          <w:sz w:val="32"/>
          <w:szCs w:val="32"/>
          <w:lang w:val="zh-CN"/>
        </w:rPr>
        <w:t>号），2022年我市数字化城市管理信息系统项目运行经费为890.8万元，其中东区需承担15%，即为133.512万元；同时根据东区数字化城管工作的需要，安排区数字化城管指挥中心运转经费、智慧城管和市民政务服务热线工作平台建设经费，统筹安排143万元。</w:t>
      </w:r>
    </w:p>
    <w:p>
      <w:pPr>
        <w:keepNext/>
        <w:spacing w:line="353" w:lineRule="auto"/>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2．项目应实现的具体绩效目标</w:t>
      </w:r>
      <w:r>
        <w:rPr>
          <w:rFonts w:ascii="Times New Roman" w:hAnsi="Times New Roman" w:eastAsia="宋体" w:cs="Times New Roman"/>
          <w:sz w:val="32"/>
          <w:szCs w:val="32"/>
        </w:rPr>
        <w:t>：</w:t>
      </w:r>
      <w:r>
        <w:rPr>
          <w:rFonts w:ascii="Times New Roman" w:hAnsi="Times New Roman" w:eastAsia="仿宋_GB2312" w:cs="Times New Roman"/>
          <w:sz w:val="32"/>
          <w:szCs w:val="32"/>
        </w:rPr>
        <w:t>智慧城管中心正常运转</w:t>
      </w:r>
      <w:r>
        <w:rPr>
          <w:rFonts w:ascii="Times New Roman" w:hAnsi="Times New Roman" w:eastAsia="仿宋_GB2312" w:cs="Times New Roman"/>
          <w:sz w:val="32"/>
          <w:szCs w:val="32"/>
          <w:lang w:val="zh-CN"/>
        </w:rPr>
        <w:t>。</w:t>
      </w:r>
    </w:p>
    <w:p>
      <w:pPr>
        <w:keepNext/>
        <w:spacing w:line="353" w:lineRule="auto"/>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3．分析评价申报内容是否与实际相符，申报目标是否合理可行：通过自评，申报内容与实际相符，申报目标合理可行。</w:t>
      </w:r>
    </w:p>
    <w:p>
      <w:pPr>
        <w:keepNext/>
        <w:spacing w:line="353" w:lineRule="auto"/>
        <w:ind w:firstLine="643" w:firstLineChars="200"/>
        <w:jc w:val="both"/>
        <w:rPr>
          <w:rFonts w:ascii="Times New Roman" w:hAnsi="Times New Roman" w:eastAsia="楷体_GB2312" w:cs="Times New Roman"/>
          <w:b/>
          <w:bCs/>
          <w:kern w:val="2"/>
          <w:sz w:val="32"/>
          <w:szCs w:val="32"/>
          <w:lang w:val="zh-CN"/>
        </w:rPr>
      </w:pPr>
      <w:r>
        <w:rPr>
          <w:rFonts w:ascii="Times New Roman" w:hAnsi="Times New Roman" w:eastAsia="楷体_GB2312" w:cs="Times New Roman"/>
          <w:b/>
          <w:bCs/>
          <w:kern w:val="2"/>
          <w:sz w:val="32"/>
          <w:szCs w:val="32"/>
          <w:lang w:val="zh-CN"/>
        </w:rPr>
        <w:t>（三）项目自评步骤及方法。</w:t>
      </w:r>
    </w:p>
    <w:p>
      <w:pPr>
        <w:keepNext/>
        <w:spacing w:line="353" w:lineRule="auto"/>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kern w:val="2"/>
          <w:sz w:val="32"/>
          <w:szCs w:val="32"/>
          <w:lang w:val="zh-CN"/>
        </w:rPr>
        <w:t>按照区财政下达的项目支出绩效评价指标体系，针对申报内容、实施情况、资金兑现、财务管理、社会效益等做出自我评价。</w:t>
      </w:r>
    </w:p>
    <w:p>
      <w:pPr>
        <w:keepNext/>
        <w:spacing w:line="353" w:lineRule="auto"/>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二、项目资金申报及使用情况</w:t>
      </w:r>
    </w:p>
    <w:p>
      <w:pPr>
        <w:keepNext/>
        <w:spacing w:line="353" w:lineRule="auto"/>
        <w:ind w:firstLine="643" w:firstLineChars="200"/>
        <w:jc w:val="both"/>
        <w:rPr>
          <w:rFonts w:ascii="Times New Roman" w:hAnsi="Times New Roman" w:eastAsia="楷体_GB2312" w:cs="Times New Roman"/>
          <w:b/>
          <w:bCs/>
          <w:kern w:val="2"/>
          <w:sz w:val="32"/>
          <w:szCs w:val="32"/>
          <w:lang w:val="zh-CN"/>
        </w:rPr>
      </w:pPr>
      <w:r>
        <w:rPr>
          <w:rFonts w:ascii="Times New Roman" w:hAnsi="Times New Roman" w:eastAsia="楷体_GB2312" w:cs="Times New Roman"/>
          <w:b/>
          <w:bCs/>
          <w:kern w:val="2"/>
          <w:sz w:val="32"/>
          <w:szCs w:val="32"/>
          <w:lang w:val="zh-CN"/>
        </w:rPr>
        <w:t>（一）项目资金申报及批复情况。</w:t>
      </w:r>
    </w:p>
    <w:p>
      <w:pPr>
        <w:keepNext/>
        <w:spacing w:line="353" w:lineRule="auto"/>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该项目在上年末进行预算工作时申报，年初区财政下达批复及拨付经费。</w:t>
      </w:r>
    </w:p>
    <w:p>
      <w:pPr>
        <w:keepNext/>
        <w:spacing w:line="353" w:lineRule="auto"/>
        <w:ind w:firstLine="643" w:firstLineChars="200"/>
        <w:jc w:val="both"/>
        <w:rPr>
          <w:rFonts w:ascii="Times New Roman" w:hAnsi="Times New Roman" w:eastAsia="仿宋_GB2312" w:cs="Times New Roman"/>
          <w:kern w:val="2"/>
          <w:sz w:val="32"/>
          <w:szCs w:val="32"/>
          <w:lang w:val="zh-CN"/>
        </w:rPr>
      </w:pPr>
      <w:r>
        <w:rPr>
          <w:rFonts w:ascii="Times New Roman" w:hAnsi="Times New Roman" w:eastAsia="楷体_GB2312" w:cs="Times New Roman"/>
          <w:b/>
          <w:bCs/>
          <w:kern w:val="2"/>
          <w:sz w:val="32"/>
          <w:szCs w:val="32"/>
          <w:lang w:val="zh-CN"/>
        </w:rPr>
        <w:t>（二）资金计划、到位及使用情况（可用表格形式反映）。</w:t>
      </w:r>
    </w:p>
    <w:p>
      <w:pPr>
        <w:keepNext/>
        <w:spacing w:line="353" w:lineRule="auto"/>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1．资金计划。</w:t>
      </w:r>
    </w:p>
    <w:p>
      <w:pPr>
        <w:keepNext/>
        <w:spacing w:line="353" w:lineRule="auto"/>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kern w:val="2"/>
          <w:sz w:val="32"/>
          <w:szCs w:val="32"/>
          <w:lang w:val="zh-CN"/>
        </w:rPr>
        <w:t>该项目属区级预算项目经费。</w:t>
      </w:r>
    </w:p>
    <w:p>
      <w:pPr>
        <w:keepNext/>
        <w:spacing w:line="353" w:lineRule="auto"/>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2．资金到位。</w:t>
      </w:r>
    </w:p>
    <w:p>
      <w:pPr>
        <w:keepNext/>
        <w:spacing w:line="353" w:lineRule="auto"/>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已到位。</w:t>
      </w:r>
    </w:p>
    <w:p>
      <w:pPr>
        <w:keepNext/>
        <w:spacing w:line="353" w:lineRule="auto"/>
        <w:ind w:firstLine="640" w:firstLineChars="200"/>
        <w:jc w:val="both"/>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3．资金使用。</w:t>
      </w:r>
    </w:p>
    <w:p>
      <w:pPr>
        <w:keepNext/>
        <w:spacing w:line="353" w:lineRule="auto"/>
        <w:ind w:firstLine="640" w:firstLineChars="200"/>
        <w:jc w:val="both"/>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该项目资金在202</w:t>
      </w:r>
      <w:r>
        <w:rPr>
          <w:rFonts w:ascii="Times New Roman" w:hAnsi="Times New Roman" w:eastAsia="仿宋_GB2312" w:cs="Times New Roman"/>
          <w:sz w:val="32"/>
          <w:szCs w:val="32"/>
        </w:rPr>
        <w:t>2</w:t>
      </w:r>
      <w:r>
        <w:rPr>
          <w:rFonts w:ascii="Times New Roman" w:hAnsi="Times New Roman" w:eastAsia="仿宋_GB2312" w:cs="Times New Roman"/>
          <w:sz w:val="32"/>
          <w:szCs w:val="32"/>
          <w:lang w:val="zh-CN"/>
        </w:rPr>
        <w:t>年内按相关规定</w:t>
      </w:r>
      <w:r>
        <w:rPr>
          <w:rFonts w:ascii="Times New Roman" w:hAnsi="Times New Roman" w:eastAsia="仿宋_GB2312" w:cs="Times New Roman"/>
          <w:sz w:val="32"/>
          <w:szCs w:val="32"/>
        </w:rPr>
        <w:t>使用134.652万元（其中53.512万元从2023年数字化城管运转经费中列支）</w:t>
      </w:r>
      <w:r>
        <w:rPr>
          <w:rFonts w:ascii="Times New Roman" w:hAnsi="Times New Roman" w:eastAsia="仿宋_GB2312" w:cs="Times New Roman"/>
          <w:sz w:val="32"/>
          <w:szCs w:val="32"/>
          <w:lang w:val="zh-CN"/>
        </w:rPr>
        <w:t>。</w:t>
      </w:r>
      <w:r>
        <w:rPr>
          <w:rFonts w:ascii="Times New Roman" w:hAnsi="Times New Roman" w:eastAsia="仿宋_GB2312" w:cs="Times New Roman"/>
          <w:sz w:val="32"/>
          <w:szCs w:val="32"/>
        </w:rPr>
        <w:t>由于2022年预算申报根据市城管局、市财政局《关于缴纳2021年攀枝花市数字化城市管理信息系统项目运行经费的通知》（攀城管〔2020〕219号），参照2021年</w:t>
      </w:r>
      <w:r>
        <w:rPr>
          <w:rFonts w:ascii="Times New Roman" w:hAnsi="Times New Roman" w:eastAsia="仿宋_GB2312" w:cs="Times New Roman"/>
          <w:sz w:val="32"/>
          <w:szCs w:val="32"/>
          <w:lang w:val="zh-CN"/>
        </w:rPr>
        <w:t>东区承担的市数字化城市联动指挥中心系统运行经费</w:t>
      </w:r>
      <w:r>
        <w:rPr>
          <w:rFonts w:ascii="Times New Roman" w:hAnsi="Times New Roman" w:eastAsia="仿宋_GB2312" w:cs="Times New Roman"/>
          <w:sz w:val="32"/>
          <w:szCs w:val="32"/>
        </w:rPr>
        <w:t>进行申报，且</w:t>
      </w:r>
      <w:r>
        <w:rPr>
          <w:rFonts w:ascii="Times New Roman" w:hAnsi="Times New Roman" w:eastAsia="仿宋_GB2312" w:cs="Times New Roman"/>
          <w:kern w:val="2"/>
          <w:sz w:val="32"/>
          <w:szCs w:val="32"/>
          <w:lang w:val="zh-CN"/>
        </w:rPr>
        <w:t>区数字化城管指挥中心运转、智慧城管和市民政务服务热线工作平台建设</w:t>
      </w:r>
      <w:r>
        <w:rPr>
          <w:rFonts w:ascii="Times New Roman" w:hAnsi="Times New Roman" w:eastAsia="仿宋_GB2312" w:cs="Times New Roman"/>
          <w:kern w:val="2"/>
          <w:sz w:val="32"/>
          <w:szCs w:val="32"/>
        </w:rPr>
        <w:t>工作计划变更，资金使用较统筹安排的143万元节省8.348万元。</w:t>
      </w:r>
      <w:r>
        <w:rPr>
          <w:rFonts w:ascii="Times New Roman" w:hAnsi="Times New Roman" w:eastAsia="仿宋_GB2312" w:cs="Times New Roman"/>
          <w:sz w:val="32"/>
          <w:szCs w:val="32"/>
          <w:lang w:val="zh-CN"/>
        </w:rPr>
        <w:t>资金的支付范围、支付标准、支付依据合法合规。</w:t>
      </w:r>
    </w:p>
    <w:p>
      <w:pPr>
        <w:keepNext/>
        <w:spacing w:line="353" w:lineRule="auto"/>
        <w:ind w:firstLine="643" w:firstLineChars="200"/>
        <w:jc w:val="both"/>
        <w:rPr>
          <w:rFonts w:ascii="Times New Roman" w:hAnsi="Times New Roman" w:eastAsia="楷体_GB2312" w:cs="Times New Roman"/>
          <w:b/>
          <w:bCs/>
          <w:kern w:val="2"/>
          <w:sz w:val="32"/>
          <w:szCs w:val="32"/>
          <w:lang w:val="zh-CN"/>
        </w:rPr>
      </w:pPr>
      <w:r>
        <w:rPr>
          <w:rFonts w:ascii="Times New Roman" w:hAnsi="Times New Roman" w:eastAsia="楷体_GB2312" w:cs="Times New Roman"/>
          <w:b/>
          <w:bCs/>
          <w:kern w:val="2"/>
          <w:sz w:val="32"/>
          <w:szCs w:val="32"/>
          <w:lang w:val="zh-CN"/>
        </w:rPr>
        <w:t>（三）项目财务管理情况。</w:t>
      </w:r>
    </w:p>
    <w:p>
      <w:pPr>
        <w:keepNext/>
        <w:spacing w:line="353" w:lineRule="auto"/>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财务管理制度健全，严格执行财务管理制度，账务处理及时，会计核算规范。</w:t>
      </w:r>
    </w:p>
    <w:p>
      <w:pPr>
        <w:keepNext/>
        <w:spacing w:line="353" w:lineRule="auto"/>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三、项目实施及管理情况</w:t>
      </w:r>
    </w:p>
    <w:p>
      <w:pPr>
        <w:keepNext/>
        <w:spacing w:line="353" w:lineRule="auto"/>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结合项目组织实施管理办法，重点围绕以下内容进行分析评价，并对自评中发现的问题分析说明。</w:t>
      </w:r>
    </w:p>
    <w:p>
      <w:pPr>
        <w:keepNext/>
        <w:spacing w:line="353" w:lineRule="auto"/>
        <w:ind w:firstLine="643" w:firstLineChars="200"/>
        <w:jc w:val="both"/>
        <w:rPr>
          <w:rFonts w:ascii="Times New Roman" w:hAnsi="Times New Roman" w:eastAsia="楷体_GB2312" w:cs="Times New Roman"/>
          <w:b/>
          <w:bCs/>
          <w:kern w:val="2"/>
          <w:sz w:val="32"/>
          <w:szCs w:val="32"/>
          <w:lang w:val="zh-CN"/>
        </w:rPr>
      </w:pPr>
      <w:r>
        <w:rPr>
          <w:rFonts w:hint="eastAsia" w:ascii="Times New Roman" w:hAnsi="Times New Roman" w:eastAsia="楷体_GB2312" w:cs="Times New Roman"/>
          <w:b/>
          <w:bCs/>
          <w:kern w:val="2"/>
          <w:sz w:val="32"/>
          <w:szCs w:val="32"/>
          <w:lang w:val="zh-CN"/>
        </w:rPr>
        <w:t>（一）</w:t>
      </w:r>
      <w:r>
        <w:rPr>
          <w:rFonts w:ascii="Times New Roman" w:hAnsi="Times New Roman" w:eastAsia="楷体_GB2312" w:cs="Times New Roman"/>
          <w:b/>
          <w:bCs/>
          <w:kern w:val="2"/>
          <w:sz w:val="32"/>
          <w:szCs w:val="32"/>
          <w:lang w:val="zh-CN"/>
        </w:rPr>
        <w:t>项目组织架构及实施流程。</w:t>
      </w:r>
    </w:p>
    <w:p>
      <w:pPr>
        <w:keepNext/>
        <w:spacing w:line="353" w:lineRule="auto"/>
        <w:ind w:firstLine="640" w:firstLineChars="200"/>
        <w:jc w:val="both"/>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1.区财政根据预算项目批复，下达项目经费，预算单位进行项目实施计划。</w:t>
      </w:r>
    </w:p>
    <w:p>
      <w:pPr>
        <w:keepNext/>
        <w:spacing w:line="353" w:lineRule="auto"/>
        <w:ind w:firstLine="640" w:firstLineChars="200"/>
        <w:jc w:val="both"/>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2.资金支付时根据实际情况，报分管领导审批同意，呈报主要负责人审核并批复同意支付。</w:t>
      </w:r>
    </w:p>
    <w:p>
      <w:pPr>
        <w:keepNext/>
        <w:spacing w:line="353" w:lineRule="auto"/>
        <w:ind w:firstLine="643" w:firstLineChars="200"/>
        <w:jc w:val="both"/>
        <w:rPr>
          <w:rFonts w:ascii="Times New Roman" w:hAnsi="Times New Roman" w:eastAsia="楷体_GB2312" w:cs="Times New Roman"/>
          <w:b/>
          <w:bCs/>
          <w:kern w:val="2"/>
          <w:sz w:val="32"/>
          <w:szCs w:val="32"/>
          <w:lang w:val="zh-CN"/>
        </w:rPr>
      </w:pPr>
      <w:r>
        <w:rPr>
          <w:rFonts w:ascii="Times New Roman" w:hAnsi="Times New Roman" w:eastAsia="楷体_GB2312" w:cs="Times New Roman"/>
          <w:b/>
          <w:bCs/>
          <w:kern w:val="2"/>
          <w:sz w:val="32"/>
          <w:szCs w:val="32"/>
          <w:lang w:val="zh-CN"/>
        </w:rPr>
        <w:t>（二）项目管理情况。</w:t>
      </w:r>
    </w:p>
    <w:p>
      <w:pPr>
        <w:keepNext/>
        <w:spacing w:line="353" w:lineRule="auto"/>
        <w:ind w:firstLine="640" w:firstLineChars="200"/>
        <w:jc w:val="both"/>
        <w:rPr>
          <w:rFonts w:ascii="Times New Roman" w:hAnsi="Times New Roman" w:eastAsia="仿宋_GB2312" w:cs="Times New Roman"/>
          <w:sz w:val="32"/>
          <w:szCs w:val="32"/>
          <w:lang w:val="zh-CN"/>
        </w:rPr>
      </w:pPr>
      <w:r>
        <w:rPr>
          <w:rFonts w:ascii="Times New Roman" w:hAnsi="Times New Roman" w:eastAsia="仿宋_GB2312" w:cs="Times New Roman"/>
          <w:kern w:val="2"/>
          <w:sz w:val="32"/>
          <w:szCs w:val="32"/>
          <w:lang w:val="zh-CN"/>
        </w:rPr>
        <w:t>项目是区财政纳入年度预算，我局严格安照项目要求及财经法律法规等要求落实的。</w:t>
      </w:r>
    </w:p>
    <w:p>
      <w:pPr>
        <w:keepNext/>
        <w:spacing w:line="353" w:lineRule="auto"/>
        <w:ind w:firstLine="643" w:firstLineChars="200"/>
        <w:jc w:val="both"/>
        <w:rPr>
          <w:rFonts w:ascii="Times New Roman" w:hAnsi="Times New Roman" w:eastAsia="楷体_GB2312" w:cs="Times New Roman"/>
          <w:b/>
          <w:bCs/>
          <w:kern w:val="2"/>
          <w:sz w:val="32"/>
          <w:szCs w:val="32"/>
          <w:lang w:val="zh-CN"/>
        </w:rPr>
      </w:pPr>
      <w:r>
        <w:rPr>
          <w:rFonts w:hint="eastAsia" w:ascii="Times New Roman" w:hAnsi="Times New Roman" w:eastAsia="楷体_GB2312" w:cs="Times New Roman"/>
          <w:b/>
          <w:bCs/>
          <w:kern w:val="2"/>
          <w:sz w:val="32"/>
          <w:szCs w:val="32"/>
          <w:lang w:val="zh-CN"/>
        </w:rPr>
        <w:t>（三）</w:t>
      </w:r>
      <w:r>
        <w:rPr>
          <w:rFonts w:ascii="Times New Roman" w:hAnsi="Times New Roman" w:eastAsia="楷体_GB2312" w:cs="Times New Roman"/>
          <w:b/>
          <w:bCs/>
          <w:kern w:val="2"/>
          <w:sz w:val="32"/>
          <w:szCs w:val="32"/>
          <w:lang w:val="zh-CN"/>
        </w:rPr>
        <w:t>项目监管情况。</w:t>
      </w:r>
    </w:p>
    <w:p>
      <w:pPr>
        <w:keepNext/>
        <w:spacing w:line="353" w:lineRule="auto"/>
        <w:ind w:firstLine="640" w:firstLineChars="200"/>
        <w:jc w:val="both"/>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项目完成情况每年都要向财政部门填写相关的绩效分析评价，并上报相关对口管理部门检查。</w:t>
      </w:r>
    </w:p>
    <w:p>
      <w:pPr>
        <w:keepNext/>
        <w:spacing w:line="353" w:lineRule="auto"/>
        <w:ind w:firstLine="640" w:firstLineChars="200"/>
        <w:jc w:val="both"/>
        <w:rPr>
          <w:rFonts w:ascii="Times New Roman" w:hAnsi="Times New Roman" w:eastAsia="仿宋_GB2312" w:cs="Times New Roman"/>
          <w:kern w:val="2"/>
          <w:sz w:val="32"/>
          <w:szCs w:val="32"/>
          <w:lang w:val="zh-CN"/>
        </w:rPr>
      </w:pPr>
      <w:r>
        <w:rPr>
          <w:rFonts w:ascii="Times New Roman" w:hAnsi="Times New Roman" w:eastAsia="黑体" w:cs="Times New Roman"/>
          <w:kern w:val="2"/>
          <w:sz w:val="32"/>
          <w:szCs w:val="32"/>
        </w:rPr>
        <w:t>四、项目绩效情况</w:t>
      </w:r>
      <w:r>
        <w:rPr>
          <w:rFonts w:ascii="Times New Roman" w:hAnsi="Times New Roman" w:eastAsia="宋体" w:cs="Times New Roman"/>
          <w:kern w:val="2"/>
          <w:sz w:val="32"/>
          <w:szCs w:val="32"/>
          <w:lang w:val="zh-CN"/>
        </w:rPr>
        <w:tab/>
      </w:r>
    </w:p>
    <w:p>
      <w:pPr>
        <w:keepNext/>
        <w:spacing w:line="353" w:lineRule="auto"/>
        <w:ind w:firstLine="643" w:firstLineChars="200"/>
        <w:jc w:val="both"/>
        <w:rPr>
          <w:rFonts w:ascii="Times New Roman" w:hAnsi="Times New Roman" w:eastAsia="楷体_GB2312" w:cs="Times New Roman"/>
          <w:b/>
          <w:bCs/>
          <w:kern w:val="2"/>
          <w:sz w:val="32"/>
          <w:szCs w:val="32"/>
          <w:lang w:val="zh-CN"/>
        </w:rPr>
      </w:pPr>
      <w:r>
        <w:rPr>
          <w:rFonts w:ascii="Times New Roman" w:hAnsi="Times New Roman" w:eastAsia="楷体_GB2312" w:cs="Times New Roman"/>
          <w:b/>
          <w:bCs/>
          <w:kern w:val="2"/>
          <w:sz w:val="32"/>
          <w:szCs w:val="32"/>
          <w:lang w:val="zh-CN"/>
        </w:rPr>
        <w:t>（一）项目完成情况。</w:t>
      </w:r>
    </w:p>
    <w:p>
      <w:pPr>
        <w:keepNext/>
        <w:spacing w:line="353" w:lineRule="auto"/>
        <w:ind w:firstLine="640" w:firstLineChars="200"/>
        <w:jc w:val="both"/>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1</w:t>
      </w:r>
      <w:r>
        <w:rPr>
          <w:rFonts w:ascii="Times New Roman" w:hAnsi="Times New Roman" w:eastAsia="仿宋_GB2312" w:cs="Times New Roman"/>
          <w:sz w:val="32"/>
          <w:szCs w:val="32"/>
          <w:lang w:val="zh-CN"/>
        </w:rPr>
        <w:t>．数量指标：处置</w:t>
      </w:r>
      <w:r>
        <w:rPr>
          <w:rFonts w:ascii="Times New Roman" w:hAnsi="Times New Roman" w:eastAsia="仿宋_GB2312" w:cs="Times New Roman"/>
          <w:sz w:val="32"/>
          <w:szCs w:val="32"/>
        </w:rPr>
        <w:t>市下派</w:t>
      </w:r>
      <w:r>
        <w:rPr>
          <w:rFonts w:ascii="Times New Roman" w:hAnsi="Times New Roman" w:eastAsia="仿宋_GB2312" w:cs="Times New Roman"/>
          <w:sz w:val="32"/>
          <w:szCs w:val="32"/>
          <w:lang w:val="zh-CN"/>
        </w:rPr>
        <w:t>数字化</w:t>
      </w:r>
      <w:r>
        <w:rPr>
          <w:rFonts w:ascii="Times New Roman" w:hAnsi="Times New Roman" w:eastAsia="仿宋_GB2312" w:cs="Times New Roman"/>
          <w:sz w:val="32"/>
          <w:szCs w:val="32"/>
        </w:rPr>
        <w:t>城管</w:t>
      </w:r>
      <w:r>
        <w:rPr>
          <w:rFonts w:ascii="Times New Roman" w:hAnsi="Times New Roman" w:eastAsia="仿宋_GB2312" w:cs="Times New Roman"/>
          <w:sz w:val="32"/>
          <w:szCs w:val="32"/>
          <w:lang w:val="zh-CN"/>
        </w:rPr>
        <w:t>案件达到86%以上；协助市城市综合管理服务平台建设工作。</w:t>
      </w:r>
    </w:p>
    <w:p>
      <w:pPr>
        <w:keepNext/>
        <w:spacing w:line="353"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zh-CN"/>
        </w:rPr>
        <w:t>2</w:t>
      </w:r>
      <w:r>
        <w:rPr>
          <w:rFonts w:ascii="Times New Roman" w:hAnsi="Times New Roman" w:eastAsia="仿宋_GB2312" w:cs="Times New Roman"/>
          <w:sz w:val="32"/>
          <w:szCs w:val="32"/>
          <w:lang w:val="zh-CN"/>
        </w:rPr>
        <w:t>．质量指标：返工率低于8%；</w:t>
      </w:r>
      <w:r>
        <w:rPr>
          <w:rFonts w:ascii="Times New Roman" w:hAnsi="Times New Roman" w:eastAsia="仿宋_GB2312" w:cs="Times New Roman"/>
          <w:sz w:val="32"/>
          <w:szCs w:val="32"/>
        </w:rPr>
        <w:t>助力市数字化城管平台正常运行。</w:t>
      </w:r>
    </w:p>
    <w:p>
      <w:pPr>
        <w:keepNext/>
        <w:spacing w:line="353" w:lineRule="auto"/>
        <w:ind w:firstLine="640" w:firstLineChars="200"/>
        <w:jc w:val="both"/>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3</w:t>
      </w:r>
      <w:r>
        <w:rPr>
          <w:rFonts w:ascii="Times New Roman" w:hAnsi="Times New Roman" w:eastAsia="仿宋_GB2312" w:cs="Times New Roman"/>
          <w:sz w:val="32"/>
          <w:szCs w:val="32"/>
          <w:lang w:val="zh-CN"/>
        </w:rPr>
        <w:t>．时效指标：项目实施时间为202</w:t>
      </w:r>
      <w:r>
        <w:rPr>
          <w:rFonts w:ascii="Times New Roman" w:hAnsi="Times New Roman" w:eastAsia="仿宋_GB2312" w:cs="Times New Roman"/>
          <w:sz w:val="32"/>
          <w:szCs w:val="32"/>
        </w:rPr>
        <w:t>2</w:t>
      </w:r>
      <w:r>
        <w:rPr>
          <w:rFonts w:ascii="Times New Roman" w:hAnsi="Times New Roman" w:eastAsia="仿宋_GB2312" w:cs="Times New Roman"/>
          <w:sz w:val="32"/>
          <w:szCs w:val="32"/>
          <w:lang w:val="zh-CN"/>
        </w:rPr>
        <w:t>年全年。</w:t>
      </w:r>
    </w:p>
    <w:p>
      <w:pPr>
        <w:keepNext/>
        <w:spacing w:line="353" w:lineRule="auto"/>
        <w:ind w:firstLine="640" w:firstLineChars="200"/>
        <w:jc w:val="both"/>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4</w:t>
      </w:r>
      <w:r>
        <w:rPr>
          <w:rFonts w:ascii="Times New Roman" w:hAnsi="Times New Roman" w:eastAsia="仿宋_GB2312" w:cs="Times New Roman"/>
          <w:sz w:val="32"/>
          <w:szCs w:val="32"/>
          <w:lang w:val="zh-CN"/>
        </w:rPr>
        <w:t>．成本指标：市系统运转经费1</w:t>
      </w:r>
      <w:r>
        <w:rPr>
          <w:rFonts w:ascii="Times New Roman" w:hAnsi="Times New Roman" w:eastAsia="仿宋_GB2312" w:cs="Times New Roman"/>
          <w:sz w:val="32"/>
          <w:szCs w:val="32"/>
        </w:rPr>
        <w:t>33.512</w:t>
      </w:r>
      <w:r>
        <w:rPr>
          <w:rFonts w:ascii="Times New Roman" w:hAnsi="Times New Roman" w:eastAsia="仿宋_GB2312" w:cs="Times New Roman"/>
          <w:sz w:val="32"/>
          <w:szCs w:val="32"/>
          <w:lang w:val="zh-CN"/>
        </w:rPr>
        <w:t>万元，区</w:t>
      </w:r>
      <w:r>
        <w:rPr>
          <w:rFonts w:ascii="Times New Roman" w:hAnsi="Times New Roman" w:eastAsia="仿宋_GB2312" w:cs="Times New Roman"/>
          <w:sz w:val="32"/>
          <w:szCs w:val="32"/>
        </w:rPr>
        <w:t>数字化城管专线</w:t>
      </w:r>
      <w:r>
        <w:rPr>
          <w:rFonts w:ascii="Times New Roman" w:hAnsi="Times New Roman" w:eastAsia="仿宋_GB2312" w:cs="Times New Roman"/>
          <w:sz w:val="32"/>
          <w:szCs w:val="32"/>
          <w:lang w:val="zh-CN"/>
        </w:rPr>
        <w:t>经费</w:t>
      </w:r>
      <w:r>
        <w:rPr>
          <w:rFonts w:ascii="Times New Roman" w:hAnsi="Times New Roman" w:eastAsia="仿宋_GB2312" w:cs="Times New Roman"/>
          <w:sz w:val="32"/>
          <w:szCs w:val="32"/>
        </w:rPr>
        <w:t>1.1</w:t>
      </w:r>
      <w:r>
        <w:rPr>
          <w:rFonts w:ascii="Times New Roman" w:hAnsi="Times New Roman" w:eastAsia="仿宋_GB2312" w:cs="Times New Roman"/>
          <w:sz w:val="32"/>
          <w:szCs w:val="32"/>
          <w:lang w:val="zh-CN"/>
        </w:rPr>
        <w:t>4万元。</w:t>
      </w:r>
    </w:p>
    <w:p>
      <w:pPr>
        <w:keepNext/>
        <w:spacing w:line="353" w:lineRule="auto"/>
        <w:ind w:firstLine="643" w:firstLineChars="200"/>
        <w:jc w:val="both"/>
        <w:rPr>
          <w:rFonts w:ascii="Times New Roman" w:hAnsi="Times New Roman" w:eastAsia="楷体_GB2312" w:cs="Times New Roman"/>
          <w:b/>
          <w:bCs/>
          <w:kern w:val="2"/>
          <w:sz w:val="32"/>
          <w:szCs w:val="32"/>
          <w:lang w:val="zh-CN"/>
        </w:rPr>
      </w:pPr>
      <w:r>
        <w:rPr>
          <w:rFonts w:ascii="Times New Roman" w:hAnsi="Times New Roman" w:eastAsia="楷体_GB2312" w:cs="Times New Roman"/>
          <w:b/>
          <w:bCs/>
          <w:kern w:val="2"/>
          <w:sz w:val="32"/>
          <w:szCs w:val="32"/>
          <w:lang w:val="zh-CN"/>
        </w:rPr>
        <w:t>（二）项目效益情况。</w:t>
      </w:r>
    </w:p>
    <w:p>
      <w:pPr>
        <w:keepNext/>
        <w:spacing w:line="353"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1．</w:t>
      </w:r>
      <w:r>
        <w:rPr>
          <w:rFonts w:ascii="Times New Roman" w:hAnsi="Times New Roman" w:eastAsia="仿宋_GB2312" w:cs="Times New Roman"/>
          <w:sz w:val="32"/>
          <w:szCs w:val="32"/>
        </w:rPr>
        <w:t>经济效益指标：节约工作成本；简化工作开展流程，便于提高工作效率。</w:t>
      </w:r>
    </w:p>
    <w:p>
      <w:pPr>
        <w:keepNext/>
        <w:spacing w:line="353" w:lineRule="auto"/>
        <w:ind w:firstLine="640" w:firstLineChars="200"/>
        <w:jc w:val="both"/>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2．</w:t>
      </w:r>
      <w:r>
        <w:rPr>
          <w:rFonts w:ascii="Times New Roman" w:hAnsi="Times New Roman" w:eastAsia="仿宋_GB2312" w:cs="Times New Roman"/>
          <w:sz w:val="32"/>
          <w:szCs w:val="32"/>
          <w:lang w:val="zh-CN"/>
        </w:rPr>
        <w:t>社会效益指标：改善城市环境，提升城市管理水平。</w:t>
      </w:r>
    </w:p>
    <w:p>
      <w:pPr>
        <w:keepNext/>
        <w:spacing w:line="353" w:lineRule="auto"/>
        <w:ind w:firstLine="640" w:firstLineChars="200"/>
        <w:jc w:val="both"/>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3</w:t>
      </w:r>
      <w:r>
        <w:rPr>
          <w:rFonts w:ascii="Times New Roman" w:hAnsi="Times New Roman" w:eastAsia="仿宋_GB2312" w:cs="Times New Roman"/>
          <w:sz w:val="32"/>
          <w:szCs w:val="32"/>
          <w:lang w:val="zh-CN"/>
        </w:rPr>
        <w:t>．生态效益指标：改善辖区生态环境。</w:t>
      </w:r>
    </w:p>
    <w:p>
      <w:pPr>
        <w:keepNext/>
        <w:spacing w:line="353" w:lineRule="auto"/>
        <w:ind w:firstLine="640" w:firstLineChars="200"/>
        <w:jc w:val="both"/>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4</w:t>
      </w:r>
      <w:r>
        <w:rPr>
          <w:rFonts w:ascii="Times New Roman" w:hAnsi="Times New Roman" w:eastAsia="仿宋_GB2312" w:cs="Times New Roman"/>
          <w:sz w:val="32"/>
          <w:szCs w:val="32"/>
          <w:lang w:val="zh-CN"/>
        </w:rPr>
        <w:t>．可持续影响指标：使城市可持续发展。</w:t>
      </w:r>
    </w:p>
    <w:p>
      <w:pPr>
        <w:keepNext/>
        <w:spacing w:line="353" w:lineRule="auto"/>
        <w:ind w:firstLine="640" w:firstLineChars="200"/>
        <w:jc w:val="both"/>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5</w:t>
      </w:r>
      <w:r>
        <w:rPr>
          <w:rFonts w:ascii="Times New Roman" w:hAnsi="Times New Roman" w:eastAsia="仿宋_GB2312" w:cs="Times New Roman"/>
          <w:sz w:val="32"/>
          <w:szCs w:val="32"/>
          <w:lang w:val="zh-CN"/>
        </w:rPr>
        <w:t>．满意度指标：</w:t>
      </w:r>
      <w:r>
        <w:rPr>
          <w:rFonts w:ascii="Times New Roman" w:hAnsi="Times New Roman" w:eastAsia="仿宋_GB2312" w:cs="Times New Roman"/>
          <w:sz w:val="32"/>
          <w:szCs w:val="32"/>
        </w:rPr>
        <w:t>基本满意。</w:t>
      </w:r>
    </w:p>
    <w:p>
      <w:pPr>
        <w:keepNext/>
        <w:spacing w:line="353" w:lineRule="auto"/>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五、评价结论及建议</w:t>
      </w:r>
    </w:p>
    <w:p>
      <w:pPr>
        <w:keepNext/>
        <w:spacing w:line="353" w:lineRule="auto"/>
        <w:ind w:firstLine="643" w:firstLineChars="200"/>
        <w:jc w:val="both"/>
        <w:rPr>
          <w:rFonts w:ascii="Times New Roman" w:hAnsi="Times New Roman" w:eastAsia="楷体_GB2312" w:cs="Times New Roman"/>
          <w:b/>
          <w:bCs/>
          <w:kern w:val="2"/>
          <w:sz w:val="32"/>
          <w:szCs w:val="32"/>
          <w:lang w:val="zh-CN"/>
        </w:rPr>
      </w:pPr>
      <w:r>
        <w:rPr>
          <w:rFonts w:ascii="Times New Roman" w:hAnsi="Times New Roman" w:eastAsia="楷体_GB2312" w:cs="Times New Roman"/>
          <w:b/>
          <w:bCs/>
          <w:kern w:val="2"/>
          <w:sz w:val="32"/>
          <w:szCs w:val="32"/>
          <w:lang w:val="zh-CN"/>
        </w:rPr>
        <w:t>（一）评价结论。</w:t>
      </w:r>
    </w:p>
    <w:p>
      <w:pPr>
        <w:keepNext/>
        <w:spacing w:line="353" w:lineRule="auto"/>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2022年攀枝花市东区综合行政执法局自我绩效评价为：优秀。评价得分：</w:t>
      </w:r>
      <w:r>
        <w:rPr>
          <w:rFonts w:hint="eastAsia" w:ascii="Times New Roman" w:hAnsi="Times New Roman" w:eastAsia="仿宋_GB2312" w:cs="Times New Roman"/>
          <w:sz w:val="32"/>
          <w:szCs w:val="32"/>
        </w:rPr>
        <w:t>通用指标33分，共性指标20分，特性指标30分，个性指标10分，扣分项0分，合计93分。</w:t>
      </w:r>
    </w:p>
    <w:p>
      <w:pPr>
        <w:keepNext/>
        <w:spacing w:line="353" w:lineRule="auto"/>
        <w:ind w:firstLine="643" w:firstLineChars="200"/>
        <w:jc w:val="both"/>
        <w:rPr>
          <w:rFonts w:ascii="Times New Roman" w:hAnsi="Times New Roman" w:eastAsia="楷体_GB2312" w:cs="Times New Roman"/>
          <w:b/>
          <w:bCs/>
          <w:kern w:val="2"/>
          <w:sz w:val="32"/>
          <w:szCs w:val="32"/>
          <w:lang w:val="zh-CN"/>
        </w:rPr>
      </w:pPr>
      <w:r>
        <w:rPr>
          <w:rFonts w:ascii="Times New Roman" w:hAnsi="Times New Roman" w:eastAsia="楷体_GB2312" w:cs="Times New Roman"/>
          <w:b/>
          <w:bCs/>
          <w:kern w:val="2"/>
          <w:sz w:val="32"/>
          <w:szCs w:val="32"/>
          <w:lang w:val="zh-CN"/>
        </w:rPr>
        <w:t>（二）存在的问题。</w:t>
      </w:r>
    </w:p>
    <w:p>
      <w:pPr>
        <w:keepNext/>
        <w:spacing w:line="353" w:lineRule="auto"/>
        <w:ind w:firstLine="640" w:firstLineChars="200"/>
        <w:rPr>
          <w:rFonts w:ascii="Times New Roman" w:hAnsi="Times New Roman" w:eastAsia="仿宋_GB2312" w:cs="Times New Roman"/>
          <w:sz w:val="32"/>
          <w:szCs w:val="32"/>
        </w:rPr>
      </w:pPr>
      <w:r>
        <w:rPr>
          <w:rFonts w:hint="eastAsia" w:ascii="仿宋_GB2312" w:hAnsi="宋体" w:eastAsia="仿宋_GB2312"/>
          <w:sz w:val="32"/>
          <w:szCs w:val="32"/>
          <w:lang w:val="zh-CN"/>
        </w:rPr>
        <w:t>进一步</w:t>
      </w:r>
      <w:r>
        <w:rPr>
          <w:rFonts w:hint="eastAsia" w:ascii="仿宋_GB2312" w:hAnsi="宋体" w:eastAsia="仿宋_GB2312"/>
          <w:sz w:val="32"/>
          <w:szCs w:val="32"/>
        </w:rPr>
        <w:t>提升城市管理问题发现主动性</w:t>
      </w:r>
      <w:r>
        <w:rPr>
          <w:rFonts w:hint="eastAsia" w:ascii="仿宋_GB2312" w:hAnsi="宋体" w:eastAsia="仿宋_GB2312"/>
          <w:sz w:val="32"/>
          <w:szCs w:val="32"/>
          <w:lang w:val="zh-CN"/>
        </w:rPr>
        <w:t>。</w:t>
      </w:r>
    </w:p>
    <w:p>
      <w:pPr>
        <w:keepNext/>
        <w:spacing w:line="353" w:lineRule="auto"/>
        <w:ind w:firstLine="643" w:firstLineChars="200"/>
        <w:jc w:val="both"/>
        <w:rPr>
          <w:rFonts w:ascii="Times New Roman" w:hAnsi="Times New Roman" w:eastAsia="楷体_GB2312" w:cs="Times New Roman"/>
          <w:b/>
          <w:bCs/>
          <w:kern w:val="2"/>
          <w:sz w:val="32"/>
          <w:szCs w:val="32"/>
          <w:lang w:val="zh-CN"/>
        </w:rPr>
      </w:pPr>
      <w:r>
        <w:rPr>
          <w:rFonts w:ascii="Times New Roman" w:hAnsi="Times New Roman" w:eastAsia="楷体_GB2312" w:cs="Times New Roman"/>
          <w:b/>
          <w:bCs/>
          <w:kern w:val="2"/>
          <w:sz w:val="32"/>
          <w:szCs w:val="32"/>
          <w:lang w:val="zh-CN"/>
        </w:rPr>
        <w:t>（三）相关建议。</w:t>
      </w:r>
    </w:p>
    <w:p>
      <w:pPr>
        <w:keepNext/>
        <w:spacing w:line="353" w:lineRule="auto"/>
        <w:ind w:firstLine="640" w:firstLineChars="200"/>
        <w:rPr>
          <w:rFonts w:ascii="仿宋_GB2312" w:hAnsi="宋体" w:eastAsia="仿宋_GB2312"/>
          <w:sz w:val="32"/>
          <w:szCs w:val="32"/>
        </w:rPr>
      </w:pPr>
      <w:r>
        <w:rPr>
          <w:rFonts w:ascii="仿宋_GB2312" w:hAnsi="宋体" w:eastAsia="仿宋_GB2312"/>
          <w:sz w:val="32"/>
          <w:szCs w:val="32"/>
        </w:rPr>
        <w:t>按市</w:t>
      </w:r>
      <w:r>
        <w:rPr>
          <w:rFonts w:hint="eastAsia" w:ascii="仿宋_GB2312" w:hAnsi="宋体" w:eastAsia="仿宋_GB2312"/>
          <w:sz w:val="32"/>
          <w:szCs w:val="32"/>
        </w:rPr>
        <w:t>、区</w:t>
      </w:r>
      <w:r>
        <w:rPr>
          <w:rFonts w:ascii="仿宋_GB2312" w:hAnsi="宋体" w:eastAsia="仿宋_GB2312"/>
          <w:sz w:val="32"/>
          <w:szCs w:val="32"/>
        </w:rPr>
        <w:t>文件要求</w:t>
      </w:r>
      <w:r>
        <w:rPr>
          <w:rFonts w:hint="eastAsia" w:ascii="仿宋_GB2312" w:hAnsi="宋体" w:eastAsia="仿宋_GB2312"/>
          <w:sz w:val="32"/>
          <w:szCs w:val="32"/>
        </w:rPr>
        <w:t>做好</w:t>
      </w:r>
      <w:r>
        <w:rPr>
          <w:rFonts w:ascii="仿宋_GB2312" w:hAnsi="宋体" w:eastAsia="仿宋_GB2312"/>
          <w:sz w:val="32"/>
          <w:szCs w:val="32"/>
        </w:rPr>
        <w:t>预算</w:t>
      </w:r>
      <w:r>
        <w:rPr>
          <w:rFonts w:hint="eastAsia" w:ascii="仿宋_GB2312" w:hAnsi="宋体" w:eastAsia="仿宋_GB2312"/>
          <w:sz w:val="32"/>
          <w:szCs w:val="32"/>
        </w:rPr>
        <w:t>申报</w:t>
      </w:r>
      <w:r>
        <w:rPr>
          <w:rFonts w:ascii="仿宋_GB2312" w:hAnsi="宋体" w:eastAsia="仿宋_GB2312"/>
          <w:sz w:val="32"/>
          <w:szCs w:val="32"/>
        </w:rPr>
        <w:t>和拨付</w:t>
      </w:r>
      <w:r>
        <w:rPr>
          <w:rFonts w:hint="eastAsia" w:ascii="仿宋_GB2312" w:hAnsi="宋体" w:eastAsia="仿宋_GB2312"/>
          <w:sz w:val="32"/>
          <w:szCs w:val="32"/>
        </w:rPr>
        <w:t>工作</w:t>
      </w:r>
      <w:r>
        <w:rPr>
          <w:rFonts w:ascii="仿宋_GB2312" w:hAnsi="宋体" w:eastAsia="仿宋_GB2312"/>
          <w:sz w:val="32"/>
          <w:szCs w:val="32"/>
        </w:rPr>
        <w:t>。</w:t>
      </w:r>
    </w:p>
    <w:p>
      <w:pPr>
        <w:keepNext/>
        <w:keepLines/>
        <w:spacing w:line="353" w:lineRule="auto"/>
        <w:rPr>
          <w:rFonts w:ascii="仿宋_GB2312" w:hAnsi="Cambria" w:eastAsia="仿宋_GB2312" w:cs="仿宋_GB2312"/>
          <w:sz w:val="32"/>
          <w:szCs w:val="32"/>
        </w:rPr>
      </w:pPr>
    </w:p>
    <w:p>
      <w:pPr>
        <w:keepNext/>
        <w:keepLines/>
        <w:spacing w:line="353" w:lineRule="auto"/>
        <w:rPr>
          <w:rFonts w:ascii="仿宋_GB2312" w:hAnsi="Cambria" w:eastAsia="仿宋_GB2312" w:cs="仿宋_GB2312"/>
          <w:sz w:val="32"/>
          <w:szCs w:val="32"/>
        </w:rPr>
      </w:pPr>
    </w:p>
    <w:p>
      <w:pPr>
        <w:keepNext/>
        <w:keepLines/>
        <w:spacing w:line="353" w:lineRule="auto"/>
        <w:rPr>
          <w:rFonts w:ascii="仿宋_GB2312" w:hAnsi="Cambria" w:eastAsia="仿宋_GB2312" w:cs="仿宋_GB2312"/>
          <w:sz w:val="32"/>
          <w:szCs w:val="32"/>
        </w:rPr>
      </w:pPr>
    </w:p>
    <w:p>
      <w:pPr>
        <w:keepNext/>
        <w:keepLines/>
        <w:spacing w:line="353" w:lineRule="auto"/>
        <w:rPr>
          <w:rFonts w:ascii="仿宋_GB2312" w:hAnsi="Cambria" w:eastAsia="仿宋_GB2312" w:cs="仿宋_GB2312"/>
          <w:sz w:val="32"/>
          <w:szCs w:val="32"/>
        </w:rPr>
      </w:pPr>
    </w:p>
    <w:p>
      <w:pPr>
        <w:keepNext/>
        <w:keepLines/>
        <w:spacing w:line="353" w:lineRule="auto"/>
        <w:rPr>
          <w:rFonts w:ascii="仿宋_GB2312" w:hAnsi="Cambria" w:eastAsia="仿宋_GB2312" w:cs="仿宋_GB2312"/>
          <w:sz w:val="32"/>
          <w:szCs w:val="32"/>
        </w:rPr>
      </w:pPr>
    </w:p>
    <w:p>
      <w:pPr>
        <w:keepNext/>
        <w:keepLines/>
        <w:spacing w:line="353" w:lineRule="auto"/>
        <w:rPr>
          <w:rFonts w:ascii="仿宋_GB2312" w:hAnsi="Cambria" w:eastAsia="仿宋_GB2312" w:cs="仿宋_GB2312"/>
          <w:sz w:val="32"/>
          <w:szCs w:val="32"/>
        </w:rPr>
      </w:pPr>
    </w:p>
    <w:p>
      <w:pPr>
        <w:keepNext/>
        <w:keepLines/>
        <w:spacing w:line="353" w:lineRule="auto"/>
        <w:rPr>
          <w:rFonts w:ascii="仿宋_GB2312" w:hAnsi="Cambria" w:eastAsia="仿宋_GB2312" w:cs="仿宋_GB2312"/>
          <w:sz w:val="32"/>
          <w:szCs w:val="32"/>
        </w:rPr>
      </w:pPr>
    </w:p>
    <w:p>
      <w:pPr>
        <w:keepNext/>
        <w:keepLines/>
        <w:spacing w:line="353" w:lineRule="auto"/>
        <w:rPr>
          <w:rFonts w:ascii="仿宋_GB2312" w:hAnsi="Cambria" w:eastAsia="仿宋_GB2312" w:cs="仿宋_GB2312"/>
          <w:sz w:val="32"/>
          <w:szCs w:val="32"/>
        </w:rPr>
      </w:pPr>
    </w:p>
    <w:p>
      <w:pPr>
        <w:keepNext/>
        <w:keepLines/>
        <w:spacing w:line="353" w:lineRule="auto"/>
        <w:rPr>
          <w:rFonts w:ascii="仿宋_GB2312" w:hAnsi="Cambria" w:eastAsia="仿宋_GB2312" w:cs="仿宋_GB2312"/>
          <w:sz w:val="32"/>
          <w:szCs w:val="32"/>
        </w:rPr>
      </w:pPr>
    </w:p>
    <w:p>
      <w:pPr>
        <w:keepNext/>
        <w:keepLines/>
        <w:spacing w:line="353" w:lineRule="auto"/>
        <w:rPr>
          <w:rFonts w:ascii="仿宋_GB2312" w:hAnsi="Cambria" w:eastAsia="仿宋_GB2312" w:cs="仿宋_GB2312"/>
          <w:sz w:val="32"/>
          <w:szCs w:val="32"/>
        </w:rPr>
      </w:pPr>
    </w:p>
    <w:p>
      <w:pPr>
        <w:keepNext/>
        <w:keepLines/>
        <w:spacing w:line="353" w:lineRule="auto"/>
        <w:rPr>
          <w:rFonts w:ascii="仿宋_GB2312" w:hAnsi="Cambria" w:eastAsia="仿宋_GB2312" w:cs="仿宋_GB2312"/>
          <w:sz w:val="32"/>
          <w:szCs w:val="32"/>
        </w:rPr>
      </w:pPr>
    </w:p>
    <w:p>
      <w:pPr>
        <w:keepNext/>
        <w:keepLines/>
        <w:spacing w:line="353" w:lineRule="auto"/>
        <w:rPr>
          <w:rFonts w:ascii="仿宋_GB2312" w:hAnsi="Cambria" w:eastAsia="仿宋_GB2312" w:cs="仿宋_GB2312"/>
          <w:sz w:val="32"/>
          <w:szCs w:val="32"/>
        </w:rPr>
      </w:pPr>
      <w:r>
        <w:rPr>
          <w:rFonts w:hint="eastAsia" w:ascii="仿宋_GB2312" w:hAnsi="Cambria" w:eastAsia="仿宋_GB2312" w:cs="仿宋_GB2312"/>
          <w:sz w:val="32"/>
          <w:szCs w:val="32"/>
          <w:lang w:val="zh-CN"/>
        </w:rPr>
        <w:t>附件</w:t>
      </w:r>
      <w:r>
        <w:rPr>
          <w:rFonts w:ascii="仿宋_GB2312" w:hAnsi="Cambria" w:eastAsia="仿宋_GB2312" w:cs="仿宋_GB2312"/>
          <w:sz w:val="32"/>
          <w:szCs w:val="32"/>
        </w:rPr>
        <w:t>2</w:t>
      </w:r>
    </w:p>
    <w:p>
      <w:pPr>
        <w:keepNext/>
        <w:keepLines/>
        <w:spacing w:line="353" w:lineRule="auto"/>
        <w:jc w:val="center"/>
        <w:rPr>
          <w:rFonts w:hAnsi="Cambria" w:cs="方正小标宋简体"/>
          <w:kern w:val="2"/>
          <w:sz w:val="44"/>
          <w:szCs w:val="44"/>
        </w:rPr>
      </w:pPr>
      <w:r>
        <w:rPr>
          <w:rFonts w:hAnsi="Cambria" w:cs="方正小标宋简体"/>
          <w:kern w:val="2"/>
          <w:sz w:val="44"/>
          <w:szCs w:val="44"/>
        </w:rPr>
        <w:t>2022年预算项目绩效自评报告</w:t>
      </w:r>
    </w:p>
    <w:p>
      <w:pPr>
        <w:keepNext/>
        <w:keepLines/>
        <w:spacing w:line="353" w:lineRule="auto"/>
        <w:ind w:firstLine="640"/>
        <w:jc w:val="center"/>
        <w:rPr>
          <w:rFonts w:ascii="仿宋_GB2312" w:eastAsia="仿宋_GB2312"/>
          <w:sz w:val="32"/>
          <w:szCs w:val="32"/>
          <w:lang w:val="zh-CN"/>
        </w:rPr>
      </w:pPr>
      <w:r>
        <w:rPr>
          <w:rFonts w:hint="eastAsia" w:ascii="仿宋_GB2312" w:eastAsia="仿宋_GB2312"/>
          <w:sz w:val="32"/>
          <w:szCs w:val="32"/>
          <w:lang w:val="zh-CN"/>
        </w:rPr>
        <w:t>（市容秩序治理经费）</w:t>
      </w:r>
    </w:p>
    <w:p>
      <w:pPr>
        <w:keepNext/>
        <w:keepLines/>
        <w:spacing w:line="353" w:lineRule="auto"/>
        <w:ind w:firstLine="720"/>
        <w:jc w:val="both"/>
        <w:rPr>
          <w:rFonts w:ascii="黑体" w:hAnsi="Cambria" w:eastAsia="黑体" w:cs="黑体"/>
          <w:kern w:val="2"/>
          <w:sz w:val="32"/>
          <w:szCs w:val="32"/>
          <w:lang w:val="zh-CN"/>
        </w:rPr>
      </w:pPr>
      <w:r>
        <w:rPr>
          <w:rFonts w:hint="eastAsia" w:ascii="黑体" w:hAnsi="Cambria" w:eastAsia="黑体" w:cs="黑体"/>
          <w:kern w:val="2"/>
          <w:sz w:val="32"/>
          <w:szCs w:val="32"/>
        </w:rPr>
        <w:t>一、</w:t>
      </w:r>
      <w:r>
        <w:rPr>
          <w:rFonts w:hint="eastAsia" w:ascii="黑体" w:hAnsi="Cambria" w:eastAsia="黑体" w:cs="黑体"/>
          <w:kern w:val="2"/>
          <w:sz w:val="32"/>
          <w:szCs w:val="32"/>
          <w:lang w:val="zh-CN"/>
        </w:rPr>
        <w:t>项目概况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（一）项目基本情况。</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w:t>
      </w:r>
      <w:r>
        <w:rPr>
          <w:rFonts w:hint="eastAsia" w:ascii="仿宋_GB2312" w:hAnsi="宋体" w:eastAsia="仿宋_GB2312"/>
          <w:sz w:val="32"/>
          <w:szCs w:val="32"/>
          <w:lang w:val="zh-CN"/>
        </w:rPr>
        <w:t>攀枝花市东区</w:t>
      </w:r>
      <w:r>
        <w:rPr>
          <w:rFonts w:hint="eastAsia" w:ascii="仿宋_GB2312" w:eastAsia="仿宋_GB2312"/>
          <w:sz w:val="32"/>
          <w:szCs w:val="32"/>
          <w:lang w:val="zh-CN"/>
        </w:rPr>
        <w:t>综合行政执法局</w:t>
      </w:r>
      <w:r>
        <w:rPr>
          <w:rFonts w:hint="eastAsia" w:ascii="仿宋_GB2312" w:hAnsi="宋体" w:eastAsia="仿宋_GB2312"/>
          <w:sz w:val="32"/>
          <w:szCs w:val="32"/>
          <w:lang w:val="zh-CN"/>
        </w:rPr>
        <w:t>是该项目的具体实施主体。</w:t>
      </w:r>
    </w:p>
    <w:p>
      <w:pPr>
        <w:keepNext/>
        <w:spacing w:line="353" w:lineRule="auto"/>
        <w:ind w:firstLine="640"/>
        <w:rPr>
          <w:rFonts w:ascii="仿宋_GB2312" w:hAnsi="Cambria" w:eastAsia="仿宋_GB2312" w:cs="仿宋_GB2312"/>
          <w:sz w:val="32"/>
          <w:szCs w:val="32"/>
        </w:rPr>
      </w:pPr>
      <w:r>
        <w:rPr>
          <w:rFonts w:ascii="仿宋_GB2312" w:hAnsi="Cambria" w:eastAsia="仿宋_GB2312" w:cs="仿宋_GB2312"/>
          <w:sz w:val="32"/>
          <w:szCs w:val="32"/>
          <w:lang w:val="zh-CN"/>
        </w:rPr>
        <w:t>2</w:t>
      </w:r>
      <w:r>
        <w:rPr>
          <w:rFonts w:hint="eastAsia" w:ascii="仿宋_GB2312" w:hAnsi="Cambria" w:eastAsia="仿宋_GB2312" w:cs="仿宋_GB2312"/>
          <w:sz w:val="32"/>
          <w:szCs w:val="32"/>
          <w:lang w:val="zh-CN"/>
        </w:rPr>
        <w:t>．项目立项、资金申报的依据</w:t>
      </w:r>
      <w:r>
        <w:rPr>
          <w:rFonts w:hint="eastAsia" w:ascii="宋体" w:hAnsi="Cambria" w:eastAsia="宋体" w:cs="宋体"/>
          <w:sz w:val="32"/>
          <w:szCs w:val="32"/>
        </w:rPr>
        <w:t>：一是</w:t>
      </w:r>
      <w:r>
        <w:rPr>
          <w:rFonts w:hint="eastAsia" w:ascii="仿宋_GB2312" w:hAnsi="Cambria" w:eastAsia="仿宋_GB2312" w:cs="仿宋_GB2312"/>
          <w:sz w:val="32"/>
          <w:szCs w:val="32"/>
        </w:rPr>
        <w:t>东区辖区市容市貌管理、重大活动及节假日前后市容秩序集中整治，统筹安排100万元；二是文明城市创建工作经费10万元；三是迎接国家卫生城市复审工作经费12万元；四是对全区1500余家餐饮店油烟排放检查、整治相关工作经费，及油烟排放检测费30万元；五是“门前五包”责任书制作经费0.9万元；六是课题费2万元。</w:t>
      </w:r>
    </w:p>
    <w:p>
      <w:pPr>
        <w:keepNext/>
        <w:spacing w:line="353" w:lineRule="auto"/>
        <w:ind w:firstLine="640"/>
        <w:rPr>
          <w:rFonts w:ascii="仿宋_GB2312" w:hAnsi="Cambria" w:eastAsia="仿宋_GB2312" w:cs="仿宋_GB2312"/>
          <w:sz w:val="32"/>
          <w:szCs w:val="32"/>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．资金</w:t>
      </w:r>
      <w:r>
        <w:rPr>
          <w:rFonts w:hint="eastAsia" w:ascii="仿宋_GB2312" w:hAnsi="Cambria" w:eastAsia="仿宋_GB2312" w:cs="仿宋_GB2312"/>
          <w:sz w:val="32"/>
          <w:szCs w:val="32"/>
        </w:rPr>
        <w:t>或项目</w:t>
      </w:r>
      <w:r>
        <w:rPr>
          <w:rFonts w:hint="eastAsia" w:ascii="仿宋_GB2312" w:hAnsi="Cambria" w:eastAsia="仿宋_GB2312" w:cs="仿宋_GB2312"/>
          <w:sz w:val="32"/>
          <w:szCs w:val="32"/>
          <w:lang w:val="zh-CN"/>
        </w:rPr>
        <w:t>管理办法制定情况，资金支持具体项目的条件、范围与支持方式概况：</w:t>
      </w:r>
      <w:r>
        <w:rPr>
          <w:rFonts w:ascii="仿宋_GB2312" w:hAnsi="Cambria" w:eastAsia="仿宋_GB2312" w:cs="仿宋_GB2312"/>
          <w:bCs/>
          <w:sz w:val="32"/>
          <w:szCs w:val="32"/>
        </w:rPr>
        <w:t>流动摊贩治理及临时便民服务点工作；餐饮油烟整治工作；生态环境保护工作；户外广告、店招整治工作；食品安全工作；私设地桩、地锁整治及</w:t>
      </w:r>
      <w:r>
        <w:rPr>
          <w:rFonts w:hint="eastAsia" w:ascii="仿宋_GB2312" w:hAnsi="Cambria" w:eastAsia="仿宋_GB2312" w:cs="仿宋_GB2312"/>
          <w:bCs/>
          <w:sz w:val="32"/>
          <w:szCs w:val="32"/>
        </w:rPr>
        <w:t>“</w:t>
      </w:r>
      <w:r>
        <w:rPr>
          <w:rFonts w:ascii="仿宋_GB2312" w:hAnsi="Cambria" w:eastAsia="仿宋_GB2312" w:cs="仿宋_GB2312"/>
          <w:bCs/>
          <w:sz w:val="32"/>
          <w:szCs w:val="32"/>
        </w:rPr>
        <w:t>僵尸车</w:t>
      </w:r>
      <w:r>
        <w:rPr>
          <w:rFonts w:hint="eastAsia" w:ascii="仿宋_GB2312" w:hAnsi="Cambria" w:eastAsia="仿宋_GB2312" w:cs="仿宋_GB2312"/>
          <w:bCs/>
          <w:sz w:val="32"/>
          <w:szCs w:val="32"/>
        </w:rPr>
        <w:t>”</w:t>
      </w:r>
      <w:r>
        <w:rPr>
          <w:rFonts w:ascii="仿宋_GB2312" w:hAnsi="Cambria" w:eastAsia="仿宋_GB2312" w:cs="仿宋_GB2312"/>
          <w:bCs/>
          <w:sz w:val="32"/>
          <w:szCs w:val="32"/>
        </w:rPr>
        <w:t>清理工作；</w:t>
      </w:r>
      <w:r>
        <w:rPr>
          <w:rFonts w:hint="eastAsia" w:ascii="仿宋_GB2312" w:hAnsi="Cambria" w:eastAsia="仿宋_GB2312" w:cs="仿宋_GB2312"/>
          <w:bCs/>
          <w:sz w:val="32"/>
          <w:szCs w:val="32"/>
        </w:rPr>
        <w:t>全国文明城市创建工作；学习、宣传新修订的《攀枝花市城市市容和环境卫生管理条例》；邮政报刊报亭治理。</w:t>
      </w:r>
    </w:p>
    <w:p>
      <w:pPr>
        <w:keepNext/>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4</w:t>
      </w:r>
      <w:r>
        <w:rPr>
          <w:rFonts w:hint="eastAsia" w:ascii="仿宋_GB2312" w:hAnsi="Cambria" w:eastAsia="仿宋_GB2312" w:cs="仿宋_GB2312"/>
          <w:sz w:val="32"/>
          <w:szCs w:val="32"/>
          <w:lang w:val="zh-CN"/>
        </w:rPr>
        <w:t>．资金分配的原则及考虑因素：</w:t>
      </w:r>
      <w:r>
        <w:rPr>
          <w:rFonts w:hint="eastAsia" w:ascii="仿宋_GB2312" w:hAnsi="宋体" w:eastAsia="仿宋_GB2312"/>
          <w:sz w:val="32"/>
          <w:szCs w:val="32"/>
          <w:lang w:val="zh-CN"/>
        </w:rPr>
        <w:t>扎实开展市容秩序治理工作；开展餐饮油烟整治工作；开展户外广告、店招专项整治工作。</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（二）项目绩效目标。</w:t>
      </w:r>
    </w:p>
    <w:p>
      <w:pPr>
        <w:keepNext/>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．项目主要内容：</w:t>
      </w:r>
      <w:r>
        <w:rPr>
          <w:rFonts w:hint="eastAsia" w:ascii="仿宋_GB2312" w:hAnsi="Cambria" w:eastAsia="仿宋_GB2312" w:cs="仿宋_GB2312"/>
          <w:sz w:val="32"/>
          <w:szCs w:val="32"/>
        </w:rPr>
        <w:t>市容秩序治理经费70万元。主要用于：1.东区辖区市容市貌管理、重大活动及节假日前后市容秩序集中整治，统筹安排100万元；2.文明城市创建工作经费10万元；3.迎接国家卫生城市复审工作经费12万元；4.对全区1500余家餐饮店油烟排放检查、整治相关工作经费，及油烟排放检测费30万元；5.“门前五包”责任书制作经费0.9万元；6.课题费2万元。统筹安排70万元。（纳入基金预算“国有土地出让金-城市管理经费”安排）</w:t>
      </w:r>
    </w:p>
    <w:p>
      <w:pPr>
        <w:keepNext/>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2</w:t>
      </w:r>
      <w:r>
        <w:rPr>
          <w:rFonts w:hint="eastAsia" w:ascii="仿宋_GB2312" w:hAnsi="Cambria" w:eastAsia="仿宋_GB2312" w:cs="仿宋_GB2312"/>
          <w:sz w:val="32"/>
          <w:szCs w:val="32"/>
          <w:lang w:val="zh-CN"/>
        </w:rPr>
        <w:t>．项目应实现的具体绩效目标：</w:t>
      </w:r>
      <w:r>
        <w:rPr>
          <w:rFonts w:hint="eastAsia" w:ascii="仿宋_GB2312" w:hAnsi="Cambria" w:eastAsia="仿宋_GB2312" w:cs="仿宋_GB2312"/>
          <w:sz w:val="32"/>
          <w:szCs w:val="32"/>
        </w:rPr>
        <w:t>市容秩序治理。</w:t>
      </w:r>
    </w:p>
    <w:p>
      <w:pPr>
        <w:keepNext/>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．分析评价申报内容是否与实际相符，申报目标是否合理可行。通过自评，申报内容与实际相符，申报目标合理可行。</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（三）项目自评步骤及方法。</w:t>
      </w:r>
    </w:p>
    <w:p>
      <w:pPr>
        <w:keepNext/>
        <w:spacing w:line="353" w:lineRule="auto"/>
        <w:ind w:firstLine="720"/>
        <w:jc w:val="both"/>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按照区财政下达的项目支出绩效评价指标体系，针对申报内容、实施情况、资金兑现、财务管理、社会效益等做出自我评价。</w:t>
      </w:r>
    </w:p>
    <w:p>
      <w:pPr>
        <w:keepNext/>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二、项目资金申报及使用情况</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（一）项目资金申报及批复情况。</w:t>
      </w:r>
    </w:p>
    <w:p>
      <w:pPr>
        <w:keepNext/>
        <w:spacing w:line="353" w:lineRule="auto"/>
        <w:ind w:firstLine="640"/>
        <w:rPr>
          <w:rFonts w:ascii="仿宋_GB2312" w:hAnsi="Cambria" w:eastAsia="仿宋_GB2312" w:cs="仿宋_GB2312"/>
          <w:b/>
          <w:bCs/>
          <w:sz w:val="32"/>
          <w:szCs w:val="32"/>
          <w:lang w:val="zh-CN"/>
        </w:rPr>
      </w:pPr>
      <w:r>
        <w:rPr>
          <w:rFonts w:hint="eastAsia" w:ascii="仿宋_GB2312" w:hAnsi="Cambria" w:eastAsia="仿宋_GB2312" w:cs="仿宋_GB2312"/>
          <w:sz w:val="32"/>
          <w:szCs w:val="32"/>
          <w:lang w:val="zh-CN"/>
        </w:rPr>
        <w:t>该项目在上年末进行预算工作时申报，年初区财政下达批复及拨付经费。</w:t>
      </w:r>
    </w:p>
    <w:p>
      <w:pPr>
        <w:keepNext/>
        <w:spacing w:line="353" w:lineRule="auto"/>
        <w:ind w:firstLine="720"/>
        <w:jc w:val="both"/>
        <w:rPr>
          <w:rFonts w:ascii="仿宋_GB2312" w:hAnsi="Cambria" w:eastAsia="仿宋_GB2312" w:cs="仿宋_GB2312"/>
          <w:kern w:val="2"/>
          <w:sz w:val="32"/>
          <w:szCs w:val="32"/>
          <w:lang w:val="zh-CN"/>
        </w:rPr>
      </w:pPr>
      <w:r>
        <w:rPr>
          <w:rFonts w:hint="eastAsia" w:ascii="楷体_GB2312" w:hAnsi="Cambria" w:eastAsia="楷体_GB2312" w:cs="楷体_GB2312"/>
          <w:b/>
          <w:bCs/>
          <w:kern w:val="2"/>
          <w:sz w:val="32"/>
          <w:szCs w:val="32"/>
          <w:lang w:val="zh-CN"/>
        </w:rPr>
        <w:t>（二）资金计划、到位及使用情况（可用表格形式反映）。</w:t>
      </w:r>
    </w:p>
    <w:p>
      <w:pPr>
        <w:keepNext/>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1．资金计划。</w:t>
      </w:r>
    </w:p>
    <w:p>
      <w:pPr>
        <w:keepNext/>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该项目属区级预算项目经费。</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2．资金到位。</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已全部到位。</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3．资金使用。</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该项目资金已在2022年内按相关规定全部使用，资金的支付范围、支付标准、支付依据合法合规与预算相符。</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（三）项目财务管理情况。</w:t>
      </w:r>
    </w:p>
    <w:p>
      <w:pPr>
        <w:keepNext/>
        <w:keepLines/>
        <w:spacing w:line="353" w:lineRule="auto"/>
        <w:ind w:firstLine="720"/>
        <w:jc w:val="both"/>
        <w:rPr>
          <w:rFonts w:ascii="仿宋_GB2312" w:hAnsi="Cambria" w:eastAsia="仿宋_GB2312" w:cs="仿宋_GB2312"/>
          <w:sz w:val="32"/>
          <w:szCs w:val="32"/>
          <w:lang w:val="zh-CN"/>
        </w:rPr>
      </w:pPr>
      <w:r>
        <w:rPr>
          <w:rFonts w:ascii="仿宋_GB2312" w:hAnsi="Cambria" w:eastAsia="仿宋_GB2312" w:cs="仿宋_GB2312"/>
          <w:sz w:val="32"/>
          <w:szCs w:val="32"/>
          <w:lang w:val="zh-CN"/>
        </w:rPr>
        <w:t>财务管理制度健全，严格执行财务管理制度，账务处理及时，会计核算规范</w:t>
      </w:r>
      <w:r>
        <w:rPr>
          <w:rFonts w:hint="eastAsia" w:ascii="仿宋_GB2312" w:hAnsi="Cambria" w:eastAsia="仿宋_GB2312" w:cs="仿宋_GB2312"/>
          <w:sz w:val="32"/>
          <w:szCs w:val="32"/>
          <w:lang w:val="zh-CN"/>
        </w:rPr>
        <w:t>。</w:t>
      </w:r>
    </w:p>
    <w:p>
      <w:pPr>
        <w:keepNext/>
        <w:keepLines/>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三、项目实施及管理情况</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结合项目组织实施管理办法，重点围绕以下内容进行分析评价，并对自评中发现的问题分析说明。</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（一）项目组织架构及实施流程。</w:t>
      </w:r>
    </w:p>
    <w:p>
      <w:pPr>
        <w:keepNext/>
        <w:keepLines/>
        <w:spacing w:line="353" w:lineRule="auto"/>
        <w:ind w:firstLine="720"/>
        <w:jc w:val="both"/>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1．区财政根据预算项目批复，下达项目经费，预算单位进行项目实施计划。</w:t>
      </w:r>
    </w:p>
    <w:p>
      <w:pPr>
        <w:keepNext/>
        <w:keepLines/>
        <w:spacing w:line="353" w:lineRule="auto"/>
        <w:ind w:firstLine="720"/>
        <w:jc w:val="both"/>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2．资金支付时根据实际情况，报分管领导审批同意，呈报主要负责人审核并批复同意支付。</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（二）项目管理情况。</w:t>
      </w:r>
    </w:p>
    <w:p>
      <w:pPr>
        <w:keepNext/>
        <w:spacing w:line="353" w:lineRule="auto"/>
        <w:ind w:firstLine="720"/>
        <w:jc w:val="both"/>
        <w:rPr>
          <w:rFonts w:ascii="仿宋_GB2312" w:hAnsi="Cambria" w:eastAsia="仿宋_GB2312" w:cs="仿宋_GB2312"/>
          <w:b/>
          <w:bCs/>
          <w:sz w:val="32"/>
          <w:szCs w:val="32"/>
          <w:lang w:val="zh-CN"/>
        </w:rPr>
      </w:pPr>
      <w:r>
        <w:rPr>
          <w:rFonts w:hint="eastAsia" w:ascii="仿宋_GB2312" w:hAnsi="Cambria" w:eastAsia="仿宋_GB2312" w:cs="仿宋_GB2312"/>
          <w:sz w:val="32"/>
          <w:szCs w:val="32"/>
          <w:lang w:val="zh-CN"/>
        </w:rPr>
        <w:t>项目是区财政纳入年度预算，我局严格安照项目要求及财经法律法规等要求落实的。</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（三）项目监管情况。</w:t>
      </w:r>
    </w:p>
    <w:p>
      <w:pPr>
        <w:keepNext/>
        <w:spacing w:line="353" w:lineRule="auto"/>
        <w:ind w:firstLine="720"/>
        <w:jc w:val="both"/>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项目完成情况每年都要向财政部门填写相关的绩效分析评价，并上报相关对口管理部门检查。</w:t>
      </w:r>
    </w:p>
    <w:p>
      <w:pPr>
        <w:keepNext/>
        <w:spacing w:line="353" w:lineRule="auto"/>
        <w:ind w:firstLine="720"/>
        <w:jc w:val="both"/>
        <w:rPr>
          <w:rFonts w:ascii="仿宋_GB2312" w:hAnsi="Cambria" w:eastAsia="仿宋_GB2312" w:cs="仿宋_GB2312"/>
          <w:kern w:val="2"/>
          <w:sz w:val="32"/>
          <w:szCs w:val="32"/>
          <w:lang w:val="zh-CN"/>
        </w:rPr>
      </w:pPr>
      <w:r>
        <w:rPr>
          <w:rFonts w:hint="eastAsia" w:ascii="黑体" w:hAnsi="Cambria" w:eastAsia="黑体" w:cs="黑体"/>
          <w:kern w:val="2"/>
          <w:sz w:val="32"/>
          <w:szCs w:val="32"/>
        </w:rPr>
        <w:t>四、项目绩效情况</w:t>
      </w:r>
      <w:r>
        <w:rPr>
          <w:rFonts w:ascii="宋体" w:hAnsi="Cambria" w:eastAsia="宋体" w:cs="宋体"/>
          <w:kern w:val="2"/>
          <w:sz w:val="32"/>
          <w:szCs w:val="32"/>
          <w:lang w:val="zh-CN"/>
        </w:rPr>
        <w:tab/>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（一）项目完成情况。</w:t>
      </w:r>
    </w:p>
    <w:p>
      <w:pPr>
        <w:keepNext/>
        <w:spacing w:line="353" w:lineRule="auto"/>
        <w:ind w:firstLine="720"/>
        <w:jc w:val="both"/>
        <w:rPr>
          <w:rFonts w:ascii="仿宋_GB2312" w:eastAsia="仿宋_GB2312"/>
          <w:bCs/>
          <w:sz w:val="32"/>
          <w:szCs w:val="32"/>
        </w:rPr>
      </w:pPr>
      <w:r>
        <w:rPr>
          <w:rFonts w:hint="eastAsia" w:ascii="仿宋_GB2312" w:eastAsia="仿宋_GB2312"/>
          <w:color w:val="000000"/>
          <w:sz w:val="32"/>
          <w:szCs w:val="32"/>
        </w:rPr>
        <w:t>1．数量指标：</w:t>
      </w:r>
      <w:r>
        <w:rPr>
          <w:rFonts w:hint="eastAsia" w:ascii="仿宋_GB2312" w:eastAsia="仿宋_GB2312"/>
          <w:bCs/>
          <w:sz w:val="32"/>
          <w:szCs w:val="32"/>
        </w:rPr>
        <w:t>80</w:t>
      </w:r>
      <w:r>
        <w:rPr>
          <w:rFonts w:eastAsia="仿宋_GB2312"/>
          <w:bCs/>
          <w:sz w:val="32"/>
          <w:szCs w:val="32"/>
        </w:rPr>
        <w:t>余</w:t>
      </w:r>
      <w:r>
        <w:rPr>
          <w:rFonts w:eastAsia="仿宋_GB2312"/>
          <w:sz w:val="32"/>
          <w:szCs w:val="32"/>
        </w:rPr>
        <w:t>次专项整治行动，</w:t>
      </w:r>
      <w:r>
        <w:rPr>
          <w:rFonts w:ascii="仿宋_GB2312" w:eastAsia="仿宋_GB2312"/>
          <w:bCs/>
          <w:sz w:val="32"/>
          <w:szCs w:val="32"/>
        </w:rPr>
        <w:t>共出动执法车辆1</w:t>
      </w:r>
      <w:r>
        <w:rPr>
          <w:rFonts w:hint="eastAsia" w:ascii="仿宋_GB2312" w:eastAsia="仿宋_GB2312"/>
          <w:bCs/>
          <w:sz w:val="32"/>
          <w:szCs w:val="32"/>
        </w:rPr>
        <w:t>6</w:t>
      </w:r>
      <w:r>
        <w:rPr>
          <w:rFonts w:ascii="仿宋_GB2312" w:eastAsia="仿宋_GB2312"/>
          <w:bCs/>
          <w:sz w:val="32"/>
          <w:szCs w:val="32"/>
        </w:rPr>
        <w:t>00余台次，执法人员</w:t>
      </w:r>
      <w:r>
        <w:rPr>
          <w:rFonts w:hint="eastAsia" w:ascii="仿宋_GB2312" w:eastAsia="仿宋_GB2312"/>
          <w:bCs/>
          <w:sz w:val="32"/>
          <w:szCs w:val="32"/>
        </w:rPr>
        <w:t>6000</w:t>
      </w:r>
      <w:r>
        <w:rPr>
          <w:rFonts w:ascii="仿宋_GB2312" w:eastAsia="仿宋_GB2312"/>
          <w:bCs/>
          <w:sz w:val="32"/>
          <w:szCs w:val="32"/>
        </w:rPr>
        <w:t>余人次。</w:t>
      </w:r>
    </w:p>
    <w:p>
      <w:pPr>
        <w:keepNext/>
        <w:spacing w:line="353" w:lineRule="auto"/>
        <w:ind w:firstLine="720"/>
        <w:jc w:val="both"/>
        <w:rPr>
          <w:rFonts w:ascii="仿宋_GB2312" w:eastAsia="仿宋_GB2312"/>
          <w:bCs/>
          <w:sz w:val="32"/>
          <w:szCs w:val="32"/>
        </w:rPr>
      </w:pPr>
      <w:r>
        <w:rPr>
          <w:rFonts w:hint="eastAsia" w:ascii="仿宋_GB2312" w:eastAsia="仿宋_GB2312"/>
          <w:color w:val="000000"/>
          <w:sz w:val="32"/>
          <w:szCs w:val="32"/>
        </w:rPr>
        <w:t>2．质量指标：</w:t>
      </w:r>
      <w:r>
        <w:rPr>
          <w:rFonts w:hint="eastAsia" w:ascii="仿宋_GB2312" w:eastAsia="仿宋_GB2312"/>
          <w:sz w:val="32"/>
          <w:szCs w:val="32"/>
        </w:rPr>
        <w:t>加强市容秩序整治，做好精细化管理工作，进一步规范行政执法，提升城市形象。</w:t>
      </w:r>
      <w:r>
        <w:rPr>
          <w:rFonts w:ascii="仿宋_GB2312" w:eastAsia="仿宋_GB2312"/>
          <w:bCs/>
          <w:sz w:val="32"/>
          <w:szCs w:val="32"/>
        </w:rPr>
        <w:t>。</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cs="宋体"/>
          <w:sz w:val="32"/>
          <w:szCs w:val="32"/>
        </w:rPr>
        <w:t>3．时效指标：项目实施时间为20</w:t>
      </w:r>
      <w:r>
        <w:rPr>
          <w:rFonts w:ascii="仿宋_GB2312" w:hAnsi="宋体" w:eastAsia="仿宋_GB2312" w:cs="宋体"/>
          <w:sz w:val="32"/>
          <w:szCs w:val="32"/>
        </w:rPr>
        <w:t>2</w:t>
      </w:r>
      <w:r>
        <w:rPr>
          <w:rFonts w:hint="eastAsia" w:ascii="仿宋_GB2312" w:hAnsi="宋体" w:eastAsia="仿宋_GB2312" w:cs="宋体"/>
          <w:sz w:val="32"/>
          <w:szCs w:val="32"/>
        </w:rPr>
        <w:t>2年1月至12月。</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cs="宋体"/>
          <w:sz w:val="32"/>
          <w:szCs w:val="32"/>
        </w:rPr>
        <w:t>4．成本指标：</w:t>
      </w:r>
      <w:r>
        <w:rPr>
          <w:rFonts w:hint="eastAsia" w:ascii="仿宋_GB2312" w:hAnsi="Cambria" w:eastAsia="仿宋_GB2312" w:cs="仿宋_GB2312"/>
          <w:sz w:val="32"/>
          <w:szCs w:val="32"/>
        </w:rPr>
        <w:t>市容秩序治理经费支付70万元。</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（二）项目效益情况。</w:t>
      </w:r>
    </w:p>
    <w:p>
      <w:pPr>
        <w:keepNext/>
        <w:spacing w:line="353" w:lineRule="auto"/>
        <w:ind w:firstLine="720"/>
        <w:jc w:val="both"/>
        <w:rPr>
          <w:rFonts w:ascii="仿宋_GB2312" w:hAnsi="Cambria" w:eastAsia="仿宋_GB2312" w:cs="仿宋_GB2312"/>
          <w:sz w:val="32"/>
          <w:szCs w:val="32"/>
        </w:rPr>
      </w:pPr>
      <w:r>
        <w:rPr>
          <w:rFonts w:hint="eastAsia" w:ascii="仿宋_GB2312" w:hAnsi="Cambria" w:eastAsia="仿宋_GB2312" w:cs="仿宋_GB2312"/>
          <w:sz w:val="32"/>
          <w:szCs w:val="32"/>
        </w:rPr>
        <w:t>１．社会效益指标：规范管理市容秩序，提升城市精细化管理水平。</w:t>
      </w:r>
    </w:p>
    <w:p>
      <w:pPr>
        <w:keepNext/>
        <w:spacing w:line="353" w:lineRule="auto"/>
        <w:ind w:firstLine="720"/>
        <w:jc w:val="both"/>
        <w:rPr>
          <w:rFonts w:ascii="仿宋_GB2312" w:hAnsi="Cambria" w:eastAsia="仿宋_GB2312" w:cs="仿宋_GB2312"/>
          <w:sz w:val="32"/>
          <w:szCs w:val="32"/>
        </w:rPr>
      </w:pPr>
      <w:r>
        <w:rPr>
          <w:rFonts w:hint="eastAsia" w:ascii="仿宋_GB2312" w:hAnsi="Cambria" w:eastAsia="仿宋_GB2312" w:cs="仿宋_GB2312"/>
          <w:sz w:val="32"/>
          <w:szCs w:val="32"/>
        </w:rPr>
        <w:t>２．</w:t>
      </w:r>
      <w:r>
        <w:rPr>
          <w:rFonts w:ascii="仿宋_GB2312" w:hAnsi="Cambria" w:eastAsia="仿宋_GB2312" w:cs="仿宋_GB2312"/>
          <w:sz w:val="32"/>
          <w:szCs w:val="32"/>
        </w:rPr>
        <w:t>可持续</w:t>
      </w:r>
      <w:r>
        <w:rPr>
          <w:rFonts w:hint="eastAsia" w:ascii="仿宋_GB2312" w:hAnsi="Cambria" w:eastAsia="仿宋_GB2312" w:cs="仿宋_GB2312"/>
          <w:sz w:val="32"/>
          <w:szCs w:val="32"/>
        </w:rPr>
        <w:t>影响指标：加强精细化管理，营造良好的城市环境。</w:t>
      </w:r>
    </w:p>
    <w:p>
      <w:pPr>
        <w:keepNext/>
        <w:spacing w:line="353" w:lineRule="auto"/>
        <w:ind w:firstLine="720"/>
        <w:jc w:val="both"/>
        <w:rPr>
          <w:rFonts w:ascii="仿宋_GB2312" w:hAnsi="Cambria" w:eastAsia="仿宋_GB2312" w:cs="仿宋_GB2312"/>
          <w:sz w:val="32"/>
          <w:szCs w:val="32"/>
        </w:rPr>
      </w:pPr>
      <w:r>
        <w:rPr>
          <w:rFonts w:hint="eastAsia" w:ascii="仿宋_GB2312" w:hAnsi="Cambria" w:eastAsia="仿宋_GB2312" w:cs="仿宋_GB2312"/>
          <w:sz w:val="32"/>
          <w:szCs w:val="32"/>
        </w:rPr>
        <w:t>３．服务对象满意度指标：服务对象和主管部门满意度大于95%。</w:t>
      </w:r>
    </w:p>
    <w:p>
      <w:pPr>
        <w:keepNext/>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五、评价结论及建议</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（一）评价结论。</w:t>
      </w:r>
    </w:p>
    <w:p>
      <w:pPr>
        <w:keepNext/>
        <w:spacing w:line="353" w:lineRule="auto"/>
        <w:ind w:firstLine="720"/>
        <w:jc w:val="both"/>
        <w:rPr>
          <w:rFonts w:ascii="仿宋_GB2312" w:hAnsi="Cambria" w:eastAsia="仿宋_GB2312" w:cs="仿宋_GB2312"/>
          <w:sz w:val="32"/>
          <w:szCs w:val="32"/>
        </w:rPr>
      </w:pPr>
      <w:r>
        <w:rPr>
          <w:rFonts w:hint="eastAsia" w:ascii="仿宋_GB2312" w:hAnsi="Cambria" w:eastAsia="仿宋_GB2312" w:cs="仿宋_GB2312"/>
          <w:sz w:val="32"/>
          <w:szCs w:val="32"/>
          <w:lang w:val="zh-CN"/>
        </w:rPr>
        <w:t>2022年攀枝花市东区综合行政执法局自我绩效评价为：优秀。评价得分：通用指标36分，共性指标20分，特性指标29分，个性指标9分，扣分项0分，合计94分。</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（二）存在的问题。</w:t>
      </w:r>
    </w:p>
    <w:p>
      <w:pPr>
        <w:keepNext/>
        <w:spacing w:line="353" w:lineRule="auto"/>
        <w:ind w:firstLine="720"/>
        <w:jc w:val="both"/>
        <w:rPr>
          <w:rFonts w:ascii="仿宋_GB2312" w:hAnsi="Cambria" w:eastAsia="仿宋_GB2312" w:cs="仿宋_GB2312"/>
          <w:sz w:val="32"/>
          <w:szCs w:val="32"/>
        </w:rPr>
      </w:pPr>
      <w:r>
        <w:rPr>
          <w:rFonts w:hint="eastAsia" w:ascii="仿宋_GB2312" w:hAnsi="Cambria" w:eastAsia="仿宋_GB2312" w:cs="仿宋_GB2312"/>
          <w:sz w:val="32"/>
          <w:szCs w:val="32"/>
        </w:rPr>
        <w:t>继续加强市容秩序整治，做好精细化管理工作，进一步规范行政执法，提升城市形象。</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（三）相关建议。</w:t>
      </w:r>
    </w:p>
    <w:p>
      <w:pPr>
        <w:keepNext/>
        <w:spacing w:line="353" w:lineRule="auto"/>
        <w:ind w:firstLine="640" w:firstLineChars="200"/>
        <w:jc w:val="both"/>
        <w:rPr>
          <w:rFonts w:ascii="仿宋_GB2312" w:hAnsi="Cambria" w:eastAsia="仿宋_GB2312" w:cs="仿宋_GB2312"/>
          <w:sz w:val="32"/>
          <w:szCs w:val="32"/>
        </w:rPr>
      </w:pPr>
      <w:r>
        <w:rPr>
          <w:rFonts w:hint="eastAsia" w:ascii="仿宋_GB2312" w:hAnsi="Cambria" w:eastAsia="仿宋_GB2312" w:cs="仿宋_GB2312"/>
          <w:sz w:val="32"/>
          <w:szCs w:val="32"/>
        </w:rPr>
        <w:t>加强资金监管，制定相应的资金使用计划，使之形成常态机制，加快资金使用进度。</w:t>
      </w:r>
    </w:p>
    <w:p>
      <w:pPr>
        <w:spacing w:line="353" w:lineRule="auto"/>
        <w:ind w:firstLine="643" w:firstLineChars="200"/>
        <w:jc w:val="both"/>
        <w:rPr>
          <w:rFonts w:ascii="仿宋_GB2312" w:hAnsi="Cambria" w:eastAsia="仿宋_GB2312" w:cs="仿宋_GB2312"/>
          <w:b/>
          <w:bCs/>
          <w:sz w:val="32"/>
          <w:szCs w:val="32"/>
          <w:lang w:val="zh-CN"/>
        </w:rPr>
      </w:pPr>
    </w:p>
    <w:p>
      <w:pPr>
        <w:spacing w:line="353" w:lineRule="auto"/>
        <w:ind w:firstLine="643" w:firstLineChars="200"/>
        <w:jc w:val="both"/>
        <w:rPr>
          <w:rFonts w:ascii="仿宋_GB2312" w:hAnsi="Cambria" w:eastAsia="仿宋_GB2312" w:cs="仿宋_GB2312"/>
          <w:b/>
          <w:bCs/>
          <w:sz w:val="32"/>
          <w:szCs w:val="32"/>
          <w:lang w:val="zh-CN"/>
        </w:rPr>
      </w:pPr>
    </w:p>
    <w:p>
      <w:pPr>
        <w:keepNext/>
        <w:keepLines/>
        <w:spacing w:line="353" w:lineRule="auto"/>
        <w:rPr>
          <w:rFonts w:ascii="仿宋_GB2312" w:hAnsi="Cambria" w:eastAsia="仿宋_GB2312" w:cs="仿宋_GB2312"/>
          <w:sz w:val="32"/>
          <w:szCs w:val="32"/>
        </w:rPr>
      </w:pPr>
      <w:r>
        <w:rPr>
          <w:rFonts w:hint="eastAsia" w:ascii="仿宋_GB2312" w:hAnsi="Cambria" w:eastAsia="仿宋_GB2312" w:cs="仿宋_GB2312"/>
          <w:sz w:val="32"/>
          <w:szCs w:val="32"/>
          <w:lang w:val="zh-CN"/>
        </w:rPr>
        <w:t>附件</w:t>
      </w:r>
      <w:r>
        <w:rPr>
          <w:rFonts w:ascii="仿宋_GB2312" w:hAnsi="Cambria" w:eastAsia="仿宋_GB2312" w:cs="仿宋_GB2312"/>
          <w:sz w:val="32"/>
          <w:szCs w:val="32"/>
        </w:rPr>
        <w:t>2</w:t>
      </w:r>
    </w:p>
    <w:p>
      <w:pPr>
        <w:keepNext/>
        <w:keepLines/>
        <w:spacing w:line="353" w:lineRule="auto"/>
        <w:jc w:val="center"/>
        <w:rPr>
          <w:rFonts w:hAnsi="Cambria" w:cs="方正小标宋简体"/>
          <w:kern w:val="2"/>
          <w:sz w:val="44"/>
          <w:szCs w:val="44"/>
        </w:rPr>
      </w:pPr>
      <w:r>
        <w:rPr>
          <w:rFonts w:hAnsi="Cambria" w:cs="方正小标宋简体"/>
          <w:kern w:val="2"/>
          <w:sz w:val="44"/>
          <w:szCs w:val="44"/>
        </w:rPr>
        <w:t>2022年预算项目绩效自评报告</w:t>
      </w:r>
    </w:p>
    <w:p>
      <w:pPr>
        <w:keepNext/>
        <w:keepLines/>
        <w:spacing w:line="353" w:lineRule="auto"/>
        <w:ind w:firstLine="640"/>
        <w:jc w:val="center"/>
        <w:rPr>
          <w:rFonts w:ascii="宋体" w:hAnsi="Cambria" w:eastAsia="宋体" w:cs="宋体"/>
          <w:kern w:val="2"/>
          <w:sz w:val="32"/>
          <w:szCs w:val="32"/>
          <w:lang w:val="zh-CN"/>
        </w:rPr>
      </w:pPr>
      <w:r>
        <w:rPr>
          <w:rFonts w:ascii="宋体" w:hAnsi="Cambria" w:eastAsia="宋体" w:cs="宋体"/>
          <w:kern w:val="2"/>
          <w:sz w:val="32"/>
          <w:szCs w:val="32"/>
          <w:lang w:val="zh-CN"/>
        </w:rPr>
        <w:t>（</w:t>
      </w:r>
      <w:r>
        <w:rPr>
          <w:rFonts w:hint="eastAsia" w:ascii="仿宋_GB2312" w:hAnsi="宋体" w:eastAsia="仿宋_GB2312"/>
          <w:color w:val="000000" w:themeColor="text1"/>
          <w:sz w:val="32"/>
          <w:szCs w:val="32"/>
          <w:lang w:val="zh-CN"/>
        </w:rPr>
        <w:t>节日环境整治经费</w:t>
      </w:r>
      <w:r>
        <w:rPr>
          <w:rFonts w:ascii="宋体" w:hAnsi="Cambria" w:eastAsia="宋体" w:cs="宋体"/>
          <w:kern w:val="2"/>
          <w:sz w:val="32"/>
          <w:szCs w:val="32"/>
          <w:lang w:val="zh-CN"/>
        </w:rPr>
        <w:t>）</w:t>
      </w:r>
    </w:p>
    <w:p>
      <w:pPr>
        <w:keepNext/>
        <w:keepLines/>
        <w:spacing w:line="353" w:lineRule="auto"/>
        <w:ind w:firstLine="720"/>
        <w:jc w:val="both"/>
        <w:rPr>
          <w:rFonts w:ascii="黑体" w:hAnsi="Cambria" w:eastAsia="黑体" w:cs="黑体"/>
          <w:kern w:val="2"/>
          <w:sz w:val="32"/>
          <w:szCs w:val="32"/>
          <w:lang w:val="zh-CN"/>
        </w:rPr>
      </w:pPr>
      <w:r>
        <w:rPr>
          <w:rFonts w:hint="eastAsia" w:ascii="黑体" w:hAnsi="Cambria" w:eastAsia="黑体" w:cs="黑体"/>
          <w:kern w:val="2"/>
          <w:sz w:val="32"/>
          <w:szCs w:val="32"/>
        </w:rPr>
        <w:t>一、</w:t>
      </w:r>
      <w:r>
        <w:rPr>
          <w:rFonts w:hint="eastAsia" w:ascii="黑体" w:hAnsi="Cambria" w:eastAsia="黑体" w:cs="黑体"/>
          <w:kern w:val="2"/>
          <w:sz w:val="32"/>
          <w:szCs w:val="32"/>
          <w:lang w:val="zh-CN"/>
        </w:rPr>
        <w:t>项目概况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（一）项目基本情况。</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w:t>
      </w:r>
      <w:r>
        <w:rPr>
          <w:rFonts w:hint="eastAsia" w:ascii="仿宋_GB2312" w:hAnsi="宋体" w:eastAsia="仿宋_GB2312"/>
          <w:sz w:val="32"/>
          <w:szCs w:val="32"/>
          <w:lang w:val="zh-CN"/>
        </w:rPr>
        <w:t>攀枝花市东区</w:t>
      </w:r>
      <w:r>
        <w:rPr>
          <w:rFonts w:hint="eastAsia" w:ascii="仿宋_GB2312" w:eastAsia="仿宋_GB2312"/>
          <w:sz w:val="32"/>
          <w:szCs w:val="32"/>
          <w:lang w:val="zh-CN"/>
        </w:rPr>
        <w:t>综合行政执法局</w:t>
      </w:r>
      <w:r>
        <w:rPr>
          <w:rFonts w:hint="eastAsia" w:ascii="仿宋_GB2312" w:hAnsi="宋体" w:eastAsia="仿宋_GB2312"/>
          <w:sz w:val="32"/>
          <w:szCs w:val="32"/>
          <w:lang w:val="zh-CN"/>
        </w:rPr>
        <w:t>是该项目的具体实施主体。</w:t>
      </w:r>
    </w:p>
    <w:p>
      <w:pPr>
        <w:keepNext/>
        <w:keepLines/>
        <w:spacing w:line="353" w:lineRule="auto"/>
        <w:ind w:firstLine="640"/>
        <w:rPr>
          <w:rFonts w:ascii="仿宋_GB2312" w:hAnsi="Cambria" w:eastAsia="仿宋_GB2312" w:cs="仿宋_GB2312"/>
          <w:color w:val="000000" w:themeColor="text1"/>
          <w:sz w:val="32"/>
          <w:szCs w:val="32"/>
          <w:lang w:val="zh-CN"/>
        </w:rPr>
      </w:pPr>
      <w:r>
        <w:rPr>
          <w:rFonts w:ascii="仿宋_GB2312" w:hAnsi="Cambria" w:eastAsia="仿宋_GB2312" w:cs="仿宋_GB2312"/>
          <w:sz w:val="32"/>
          <w:szCs w:val="32"/>
          <w:lang w:val="zh-CN"/>
        </w:rPr>
        <w:t>2</w:t>
      </w:r>
      <w:r>
        <w:rPr>
          <w:rFonts w:hint="eastAsia" w:ascii="仿宋_GB2312" w:hAnsi="Cambria" w:eastAsia="仿宋_GB2312" w:cs="仿宋_GB2312"/>
          <w:sz w:val="32"/>
          <w:szCs w:val="32"/>
          <w:lang w:val="zh-CN"/>
        </w:rPr>
        <w:t>．项目立项、资金申报的依据</w:t>
      </w:r>
      <w:r>
        <w:rPr>
          <w:rFonts w:hint="eastAsia" w:ascii="宋体" w:hAnsi="Cambria" w:eastAsia="宋体" w:cs="宋体"/>
          <w:sz w:val="32"/>
          <w:szCs w:val="32"/>
        </w:rPr>
        <w:t>：</w:t>
      </w:r>
      <w:r>
        <w:rPr>
          <w:rFonts w:hint="eastAsia" w:ascii="仿宋_GB2312" w:eastAsia="仿宋_GB2312"/>
          <w:color w:val="000000" w:themeColor="text1"/>
          <w:sz w:val="32"/>
          <w:szCs w:val="32"/>
          <w:lang w:val="zh-CN"/>
        </w:rPr>
        <w:t>2021年，按照区委、区政府工作安排，由我局牵头</w:t>
      </w:r>
      <w:r>
        <w:rPr>
          <w:rFonts w:hint="eastAsia" w:ascii="Times New Roman" w:hAnsi="Times New Roman" w:eastAsia="仿宋_GB2312" w:cs="Times New Roman"/>
          <w:color w:val="000000" w:themeColor="text1"/>
          <w:sz w:val="32"/>
          <w:szCs w:val="32"/>
        </w:rPr>
        <w:t>对中心广场、必胜客旁小广场、人大转盘、台联转盘、攀大东门、金海广场、独松梁子隧道口绿地、瓜子坪高速路出口等13个节点；独松梁子隧道口至机场路口至中心广场、百盛，东区政府至五十四、人大转盘至保险公司（电影院线路）、台联转盘至报社、人才公寓至炳三区北京华联路口、P线、新福路（北京华联至开元酒店）、等7条线路进行春节环境综合整治。主要在节点摆放“迎春”造型，对2882棵行道树安装灯带、满天星，悬挂灯笼、树球灯等装饰。</w:t>
      </w:r>
    </w:p>
    <w:p>
      <w:pPr>
        <w:keepNext/>
        <w:keepLines/>
        <w:spacing w:line="353" w:lineRule="auto"/>
        <w:ind w:firstLine="640"/>
        <w:rPr>
          <w:rFonts w:ascii="仿宋_GB2312" w:hAnsi="Cambria" w:eastAsia="仿宋_GB2312" w:cs="仿宋_GB2312"/>
          <w:color w:val="000000" w:themeColor="text1"/>
          <w:sz w:val="32"/>
          <w:szCs w:val="32"/>
          <w:lang w:val="zh-CN"/>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．资金</w:t>
      </w:r>
      <w:r>
        <w:rPr>
          <w:rFonts w:hint="eastAsia" w:ascii="仿宋_GB2312" w:hAnsi="Cambria" w:eastAsia="仿宋_GB2312" w:cs="仿宋_GB2312"/>
          <w:sz w:val="32"/>
          <w:szCs w:val="32"/>
        </w:rPr>
        <w:t>或项目</w:t>
      </w:r>
      <w:r>
        <w:rPr>
          <w:rFonts w:hint="eastAsia" w:ascii="仿宋_GB2312" w:hAnsi="Cambria" w:eastAsia="仿宋_GB2312" w:cs="仿宋_GB2312"/>
          <w:sz w:val="32"/>
          <w:szCs w:val="32"/>
          <w:lang w:val="zh-CN"/>
        </w:rPr>
        <w:t>管理办法制定情况，资金支持具体项目的条件、范围与支持方式概况：</w:t>
      </w:r>
      <w:r>
        <w:rPr>
          <w:rFonts w:hint="eastAsia" w:ascii="仿宋_GB2312" w:eastAsia="仿宋_GB2312" w:cs="Times New Roman"/>
          <w:color w:val="000000" w:themeColor="text1"/>
          <w:kern w:val="2"/>
          <w:sz w:val="32"/>
          <w:szCs w:val="32"/>
          <w:lang w:val="zh-CN"/>
        </w:rPr>
        <w:t>此项目资金只能用于开展2022年春节环境整治。</w:t>
      </w:r>
    </w:p>
    <w:p>
      <w:pPr>
        <w:keepNext/>
        <w:keepLines/>
        <w:spacing w:line="353" w:lineRule="auto"/>
        <w:ind w:firstLine="640"/>
        <w:rPr>
          <w:rFonts w:ascii="仿宋_GB2312" w:hAnsi="Cambria" w:eastAsia="仿宋_GB2312" w:cs="仿宋_GB2312"/>
          <w:color w:val="000000" w:themeColor="text1"/>
          <w:sz w:val="32"/>
          <w:szCs w:val="32"/>
          <w:lang w:val="zh-CN"/>
        </w:rPr>
      </w:pPr>
      <w:r>
        <w:rPr>
          <w:rFonts w:ascii="仿宋_GB2312" w:hAnsi="Cambria" w:eastAsia="仿宋_GB2312" w:cs="仿宋_GB2312"/>
          <w:sz w:val="32"/>
          <w:szCs w:val="32"/>
          <w:lang w:val="zh-CN"/>
        </w:rPr>
        <w:t>4</w:t>
      </w:r>
      <w:r>
        <w:rPr>
          <w:rFonts w:hint="eastAsia" w:ascii="仿宋_GB2312" w:hAnsi="Cambria" w:eastAsia="仿宋_GB2312" w:cs="仿宋_GB2312"/>
          <w:sz w:val="32"/>
          <w:szCs w:val="32"/>
          <w:lang w:val="zh-CN"/>
        </w:rPr>
        <w:t>．资金分配的原则及考虑因素：</w:t>
      </w:r>
      <w:r>
        <w:rPr>
          <w:rFonts w:hint="eastAsia" w:ascii="仿宋_GB2312" w:hAnsi="宋体" w:eastAsia="仿宋_GB2312"/>
          <w:color w:val="000000" w:themeColor="text1"/>
          <w:sz w:val="32"/>
          <w:szCs w:val="32"/>
          <w:lang w:val="zh-CN"/>
        </w:rPr>
        <w:t>2022年春节环境整治。</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（二）项目绩效目标。</w:t>
      </w:r>
    </w:p>
    <w:p>
      <w:pPr>
        <w:keepNext/>
        <w:spacing w:line="353" w:lineRule="auto"/>
        <w:ind w:firstLine="641"/>
        <w:rPr>
          <w:rFonts w:ascii="仿宋_GB2312" w:hAnsi="Cambria" w:eastAsia="仿宋_GB2312" w:cs="仿宋_GB2312"/>
          <w:color w:val="000000" w:themeColor="text1"/>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．项目主要内容：</w:t>
      </w:r>
      <w:r>
        <w:rPr>
          <w:rFonts w:hint="eastAsia" w:eastAsia="仿宋_GB2312"/>
          <w:color w:val="000000" w:themeColor="text1"/>
          <w:sz w:val="32"/>
          <w:szCs w:val="32"/>
        </w:rPr>
        <w:t>对中心广场、必胜客旁小广场、人大转盘、台联转盘、攀大东门、金海广场、独松梁子隧道口绿地、瓜子坪高速路出口</w:t>
      </w:r>
      <w:r>
        <w:rPr>
          <w:rFonts w:hint="eastAsia" w:ascii="仿宋_GB2312" w:hAnsi="Cambria" w:eastAsia="仿宋_GB2312" w:cs="仿宋_GB2312"/>
          <w:sz w:val="32"/>
          <w:szCs w:val="32"/>
          <w:lang w:val="zh-CN"/>
        </w:rPr>
        <w:t>等13个节点；独松梁子隧道口至机场路口至中心广场、百盛，东区政府至五十四、人大转盘至保险公司（电影院线路）、台联转盘至报社、人才公寓至炳三区北京华联路口、P线、新福路（北京华联至开元酒店）等7条线路进行春节环境综合整</w:t>
      </w:r>
      <w:r>
        <w:rPr>
          <w:rFonts w:hint="eastAsia" w:eastAsia="仿宋_GB2312"/>
          <w:color w:val="000000" w:themeColor="text1"/>
          <w:sz w:val="32"/>
          <w:szCs w:val="32"/>
        </w:rPr>
        <w:t>治。</w:t>
      </w:r>
    </w:p>
    <w:p>
      <w:pPr>
        <w:keepNext/>
        <w:keepLines/>
        <w:spacing w:line="353" w:lineRule="auto"/>
        <w:ind w:firstLine="640"/>
        <w:rPr>
          <w:rFonts w:ascii="仿宋_GB2312" w:hAnsi="Cambria" w:eastAsia="仿宋_GB2312" w:cs="仿宋_GB2312"/>
          <w:color w:val="000000" w:themeColor="text1"/>
          <w:sz w:val="32"/>
          <w:szCs w:val="32"/>
        </w:rPr>
      </w:pPr>
      <w:r>
        <w:rPr>
          <w:rFonts w:ascii="仿宋_GB2312" w:hAnsi="Cambria" w:eastAsia="仿宋_GB2312" w:cs="仿宋_GB2312"/>
          <w:color w:val="000000" w:themeColor="text1"/>
          <w:sz w:val="32"/>
          <w:szCs w:val="32"/>
          <w:lang w:val="zh-CN"/>
        </w:rPr>
        <w:t>2</w:t>
      </w:r>
      <w:r>
        <w:rPr>
          <w:rFonts w:hint="eastAsia" w:ascii="仿宋_GB2312" w:hAnsi="Cambria" w:eastAsia="仿宋_GB2312" w:cs="仿宋_GB2312"/>
          <w:color w:val="000000" w:themeColor="text1"/>
          <w:sz w:val="32"/>
          <w:szCs w:val="32"/>
          <w:lang w:val="zh-CN"/>
        </w:rPr>
        <w:t>．项目应实现的具体绩效目标：</w:t>
      </w:r>
      <w:r>
        <w:rPr>
          <w:rFonts w:ascii="仿宋_GB2312" w:hAnsi="宋体" w:eastAsia="仿宋_GB2312"/>
          <w:sz w:val="32"/>
          <w:szCs w:val="32"/>
          <w:lang w:val="zh-CN"/>
        </w:rPr>
        <w:t>该工作主要提升城市形象。</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w:t>
      </w:r>
      <w:r>
        <w:rPr>
          <w:rFonts w:hint="eastAsia" w:ascii="仿宋_GB2312" w:hAnsi="宋体" w:eastAsia="仿宋_GB2312"/>
          <w:sz w:val="32"/>
          <w:szCs w:val="32"/>
          <w:lang w:val="zh-CN"/>
        </w:rPr>
        <w:t>分析评价申报内容是否与实际相符，申报目标是否合理可行。通过自评，申报内容与实际相符，申报目标合理可行。</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（三）项目自评步骤及方法。</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按照区财政下达的项目支出绩效评价指标体系，针对申报内容、实施情况、资金兑现、财务管理、社会效益等做出自我评价。</w:t>
      </w:r>
    </w:p>
    <w:p>
      <w:pPr>
        <w:keepNext/>
        <w:keepLines/>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二、项目资金申报及使用情况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（一）项目资金申报及批复情况。</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宋体" w:eastAsia="仿宋_GB2312"/>
          <w:sz w:val="32"/>
          <w:szCs w:val="32"/>
          <w:lang w:val="zh-CN"/>
        </w:rPr>
        <w:t>该项目在上年末进行预算工作时申报，年初区财政下达批复及拨付经费。</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（二）资金计划、到位及使用情况（可用表格形式反映）。</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1．资金计划。</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该项目属区级预算项目经费。</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2．资金到位。</w:t>
      </w:r>
    </w:p>
    <w:p>
      <w:pPr>
        <w:keepNext/>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已全部到位。</w:t>
      </w:r>
    </w:p>
    <w:p>
      <w:pPr>
        <w:keepNext/>
        <w:spacing w:line="353" w:lineRule="auto"/>
        <w:ind w:firstLine="720"/>
        <w:jc w:val="both"/>
        <w:rPr>
          <w:rFonts w:ascii="仿宋_GB2312" w:hAnsi="Cambria" w:eastAsia="仿宋_GB2312" w:cs="仿宋_GB2312"/>
          <w:kern w:val="2"/>
          <w:sz w:val="32"/>
          <w:szCs w:val="32"/>
          <w:lang w:val="zh-CN"/>
        </w:rPr>
      </w:pPr>
      <w:r>
        <w:rPr>
          <w:rFonts w:hint="eastAsia" w:ascii="仿宋_GB2312" w:eastAsia="仿宋_GB2312" w:cs="Times New Roman"/>
          <w:kern w:val="2"/>
          <w:sz w:val="32"/>
          <w:szCs w:val="32"/>
          <w:lang w:val="zh-CN"/>
        </w:rPr>
        <w:t>3．资金使用。</w:t>
      </w:r>
    </w:p>
    <w:p>
      <w:pPr>
        <w:keepNext/>
        <w:spacing w:line="353" w:lineRule="auto"/>
        <w:ind w:firstLine="640"/>
        <w:rPr>
          <w:rFonts w:ascii="仿宋_GB2312" w:hAnsi="Cambria" w:eastAsia="仿宋_GB2312" w:cs="仿宋_GB2312"/>
          <w:sz w:val="32"/>
          <w:szCs w:val="32"/>
          <w:lang w:val="zh-CN"/>
        </w:rPr>
      </w:pPr>
      <w:r>
        <w:rPr>
          <w:rFonts w:hint="eastAsia" w:ascii="仿宋_GB2312" w:eastAsia="仿宋_GB2312" w:cs="Times New Roman"/>
          <w:kern w:val="2"/>
          <w:sz w:val="32"/>
          <w:szCs w:val="32"/>
          <w:lang w:val="zh-CN"/>
        </w:rPr>
        <w:t>该项目资金已在202２年内按相关规定全部使用，资金的支付范围、支付标准、支付依据合法合规与预算相符</w:t>
      </w:r>
      <w:r>
        <w:rPr>
          <w:rFonts w:hint="eastAsia" w:ascii="仿宋_GB2312" w:hAnsi="Cambria" w:eastAsia="仿宋_GB2312" w:cs="仿宋_GB2312"/>
          <w:sz w:val="32"/>
          <w:szCs w:val="32"/>
          <w:lang w:val="zh-CN"/>
        </w:rPr>
        <w:t>。</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（三）项目财务管理情况。</w:t>
      </w:r>
    </w:p>
    <w:p>
      <w:pPr>
        <w:keepNext/>
        <w:keepLines/>
        <w:spacing w:line="353" w:lineRule="auto"/>
        <w:ind w:firstLine="720"/>
        <w:jc w:val="both"/>
        <w:rPr>
          <w:rFonts w:ascii="楷体_GB2312" w:hAnsi="Cambria" w:eastAsia="楷体_GB2312" w:cs="楷体_GB2312"/>
          <w:b/>
          <w:bCs/>
          <w:kern w:val="2"/>
          <w:sz w:val="32"/>
          <w:szCs w:val="32"/>
          <w:lang w:val="zh-CN"/>
        </w:rPr>
      </w:pPr>
      <w:r>
        <w:rPr>
          <w:rFonts w:ascii="仿宋_GB2312" w:hAnsi="宋体" w:eastAsia="仿宋_GB2312"/>
          <w:sz w:val="32"/>
          <w:szCs w:val="32"/>
          <w:lang w:val="zh-CN"/>
        </w:rPr>
        <w:t>财务管理制度健全，严格执行财务管理制度，账务处理及时，会计核算规范</w:t>
      </w:r>
      <w:r>
        <w:rPr>
          <w:rFonts w:hint="eastAsia" w:ascii="仿宋_GB2312" w:hAnsi="宋体" w:eastAsia="仿宋_GB2312"/>
          <w:sz w:val="32"/>
          <w:szCs w:val="32"/>
          <w:lang w:val="zh-CN"/>
        </w:rPr>
        <w:t>。</w:t>
      </w:r>
    </w:p>
    <w:p>
      <w:pPr>
        <w:keepNext/>
        <w:keepLines/>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三、项目实施及管理情况</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结合项目组织实施管理办法，重点围绕以下内容进行分析评价，并对自评中发现的问题分析说明。</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（一）项目组织架构及实施流程。</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1．区财政根据预算项目批复，下达项目经费，预算单位进行项目实施计划。</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2．资金支付时根据实际情况，报分管领导审批同意，呈报主要负责人审核并批复同意支付。</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（二）项目管理情况。</w:t>
      </w:r>
    </w:p>
    <w:p>
      <w:pPr>
        <w:keepNext/>
        <w:keepLines/>
        <w:spacing w:line="353" w:lineRule="auto"/>
        <w:ind w:firstLine="720"/>
        <w:jc w:val="both"/>
        <w:rPr>
          <w:rFonts w:ascii="仿宋_GB2312" w:hAnsi="Cambria" w:eastAsia="仿宋_GB2312" w:cs="仿宋_GB2312"/>
          <w:sz w:val="32"/>
          <w:szCs w:val="32"/>
          <w:lang w:val="zh-CN"/>
        </w:rPr>
      </w:pPr>
      <w:r>
        <w:rPr>
          <w:rFonts w:hint="eastAsia" w:ascii="仿宋_GB2312" w:eastAsia="仿宋_GB2312" w:cs="Times New Roman"/>
          <w:kern w:val="2"/>
          <w:sz w:val="32"/>
          <w:szCs w:val="32"/>
          <w:lang w:val="zh-CN"/>
        </w:rPr>
        <w:t>项目是区财政纳入年度预算，我局严格安照项目要求及财经法律法规等要求落实的。</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（三）项目监管情况。</w:t>
      </w:r>
    </w:p>
    <w:p>
      <w:pPr>
        <w:keepNext/>
        <w:spacing w:line="353" w:lineRule="auto"/>
        <w:ind w:firstLine="720"/>
        <w:jc w:val="both"/>
        <w:rPr>
          <w:rFonts w:ascii="仿宋_GB2312" w:hAnsi="Cambria" w:eastAsia="仿宋_GB2312" w:cs="仿宋_GB2312"/>
          <w:sz w:val="32"/>
          <w:szCs w:val="32"/>
          <w:lang w:val="zh-CN"/>
        </w:rPr>
      </w:pPr>
      <w:r>
        <w:rPr>
          <w:rFonts w:hint="eastAsia" w:ascii="仿宋_GB2312" w:eastAsia="仿宋_GB2312" w:cs="Times New Roman"/>
          <w:kern w:val="2"/>
          <w:sz w:val="32"/>
          <w:szCs w:val="32"/>
          <w:lang w:val="zh-CN"/>
        </w:rPr>
        <w:t>项目完成情况每年都要向财政部门填写相关的绩效分析评价，并上报相关对口管理部门检查。</w:t>
      </w:r>
    </w:p>
    <w:p>
      <w:pPr>
        <w:keepNext/>
        <w:spacing w:line="353" w:lineRule="auto"/>
        <w:ind w:firstLine="720"/>
        <w:jc w:val="both"/>
        <w:rPr>
          <w:rFonts w:ascii="仿宋_GB2312" w:hAnsi="Cambria" w:eastAsia="仿宋_GB2312" w:cs="仿宋_GB2312"/>
          <w:kern w:val="2"/>
          <w:sz w:val="32"/>
          <w:szCs w:val="32"/>
          <w:lang w:val="zh-CN"/>
        </w:rPr>
      </w:pPr>
      <w:r>
        <w:rPr>
          <w:rFonts w:hint="eastAsia" w:ascii="黑体" w:hAnsi="Cambria" w:eastAsia="黑体" w:cs="黑体"/>
          <w:kern w:val="2"/>
          <w:sz w:val="32"/>
          <w:szCs w:val="32"/>
        </w:rPr>
        <w:t>四、项目绩效情况</w:t>
      </w:r>
      <w:r>
        <w:rPr>
          <w:rFonts w:ascii="宋体" w:hAnsi="Cambria" w:eastAsia="宋体" w:cs="宋体"/>
          <w:kern w:val="2"/>
          <w:sz w:val="32"/>
          <w:szCs w:val="32"/>
          <w:lang w:val="zh-CN"/>
        </w:rPr>
        <w:tab/>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（一）项目完成情况。</w:t>
      </w:r>
    </w:p>
    <w:p>
      <w:pPr>
        <w:keepNext/>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1．数量指标：在2022年春节期间对东区部分主要干道、节点进行</w:t>
      </w:r>
      <w:r>
        <w:rPr>
          <w:rFonts w:hint="eastAsia" w:ascii="仿宋_GB2312" w:eastAsia="仿宋_GB2312" w:cs="Times New Roman"/>
          <w:color w:val="000000" w:themeColor="text1"/>
          <w:kern w:val="2"/>
          <w:sz w:val="32"/>
          <w:szCs w:val="32"/>
          <w:lang w:val="zh-CN"/>
        </w:rPr>
        <w:t>春节环境整治。</w:t>
      </w:r>
    </w:p>
    <w:p>
      <w:pPr>
        <w:keepNext/>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2．质量指标：为市民营造浓厚的春节节日氛围。</w:t>
      </w:r>
    </w:p>
    <w:p>
      <w:pPr>
        <w:keepNext/>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3．时效指标：项目实施时间为2022年1月至12月。</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4．成本指标：总投资约300万元，按照招商冠名经费情况，不足部分由财政补贴。</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（二）项目效益情况。</w:t>
      </w:r>
    </w:p>
    <w:p>
      <w:pPr>
        <w:keepNext/>
        <w:spacing w:line="353" w:lineRule="auto"/>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　　１．社会效益指标：为市民营造浓厚的春节节日氛围。</w:t>
      </w:r>
    </w:p>
    <w:p>
      <w:pPr>
        <w:keepNext/>
        <w:spacing w:line="353" w:lineRule="auto"/>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　　２. 可持续影响指标：采用LED灯饰，无相关生态影响。</w:t>
      </w:r>
    </w:p>
    <w:p>
      <w:pPr>
        <w:keepNext/>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３．服务对象满意度指标：服务对象和主管部门满意度大于90%。</w:t>
      </w:r>
    </w:p>
    <w:p>
      <w:pPr>
        <w:keepNext/>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五、评价结论及建议</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（一）评价结论。</w:t>
      </w:r>
    </w:p>
    <w:p>
      <w:pPr>
        <w:keepNext/>
        <w:keepLines/>
        <w:spacing w:line="353" w:lineRule="auto"/>
        <w:ind w:firstLine="640"/>
        <w:rPr>
          <w:rFonts w:ascii="仿宋_GB2312" w:hAnsi="Cambria" w:eastAsia="仿宋_GB2312" w:cs="仿宋_GB2312"/>
          <w:sz w:val="32"/>
          <w:szCs w:val="32"/>
          <w:lang w:val="zh-CN"/>
        </w:rPr>
      </w:pPr>
      <w:r>
        <w:rPr>
          <w:rFonts w:ascii="Times New Roman" w:hAnsi="Times New Roman" w:eastAsia="仿宋_GB2312" w:cs="Times New Roman"/>
          <w:sz w:val="32"/>
          <w:szCs w:val="32"/>
          <w:lang w:val="zh-CN"/>
        </w:rPr>
        <w:t>2022年攀枝花市东区综合行政执法局自我绩效评价为：优秀。评价得分：</w:t>
      </w:r>
      <w:r>
        <w:rPr>
          <w:rFonts w:hint="eastAsia" w:ascii="Times New Roman" w:hAnsi="Times New Roman" w:eastAsia="仿宋_GB2312" w:cs="Times New Roman"/>
          <w:sz w:val="32"/>
          <w:szCs w:val="32"/>
        </w:rPr>
        <w:t>通用指标40分，共性指标20分，特性指标30分，个性指标10分，扣分项0分，合计100分。</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（二）存在的问题。</w:t>
      </w:r>
    </w:p>
    <w:p>
      <w:pPr>
        <w:keepNext/>
        <w:keepLines/>
        <w:spacing w:line="353" w:lineRule="auto"/>
        <w:ind w:firstLine="720"/>
        <w:jc w:val="both"/>
        <w:rPr>
          <w:rFonts w:ascii="楷体_GB2312" w:hAnsi="Cambria" w:eastAsia="楷体_GB2312" w:cs="楷体_GB2312"/>
          <w:b/>
          <w:bCs/>
          <w:kern w:val="2"/>
          <w:sz w:val="32"/>
          <w:szCs w:val="32"/>
          <w:lang w:val="zh-CN"/>
        </w:rPr>
      </w:pPr>
      <w:r>
        <w:rPr>
          <w:rFonts w:ascii="仿宋_GB2312" w:hAnsi="宋体" w:eastAsia="仿宋_GB2312"/>
          <w:sz w:val="32"/>
          <w:szCs w:val="32"/>
          <w:lang w:val="zh-CN"/>
        </w:rPr>
        <w:t>随着城市的发展，文明的进度，辖区居民对夜间景观、城市亮化期盼越来越高，一定程度上造成财政资金压力。</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（三）相关建议。</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eastAsia="仿宋_GB2312"/>
          <w:sz w:val="32"/>
          <w:szCs w:val="32"/>
        </w:rPr>
        <w:t>加强资金监管，制定相应的资金使用计划，使之形成常态机制，加快资金使用进度。</w:t>
      </w:r>
    </w:p>
    <w:p>
      <w:pPr>
        <w:keepNext/>
        <w:keepLines/>
        <w:spacing w:line="353" w:lineRule="auto"/>
      </w:pPr>
    </w:p>
    <w:p>
      <w:pPr>
        <w:keepNext/>
        <w:keepLines/>
        <w:spacing w:line="353" w:lineRule="auto"/>
      </w:pPr>
    </w:p>
    <w:p>
      <w:pPr>
        <w:keepNext/>
        <w:keepLines/>
        <w:spacing w:line="353" w:lineRule="auto"/>
      </w:pPr>
    </w:p>
    <w:p>
      <w:pPr>
        <w:keepNext/>
        <w:keepLines/>
        <w:spacing w:line="353" w:lineRule="auto"/>
      </w:pPr>
    </w:p>
    <w:p>
      <w:pPr>
        <w:keepNext/>
        <w:keepLines/>
        <w:spacing w:line="353" w:lineRule="auto"/>
      </w:pPr>
    </w:p>
    <w:p>
      <w:pPr>
        <w:keepNext/>
        <w:keepLines/>
        <w:spacing w:line="353" w:lineRule="auto"/>
      </w:pPr>
    </w:p>
    <w:p>
      <w:pPr>
        <w:keepNext/>
        <w:keepLines/>
        <w:spacing w:line="353" w:lineRule="auto"/>
      </w:pPr>
    </w:p>
    <w:p>
      <w:pPr>
        <w:keepNext/>
        <w:keepLines/>
        <w:spacing w:line="353" w:lineRule="auto"/>
      </w:pPr>
    </w:p>
    <w:p>
      <w:pPr>
        <w:keepNext/>
        <w:keepLines/>
        <w:spacing w:line="353" w:lineRule="auto"/>
      </w:pPr>
    </w:p>
    <w:p>
      <w:pPr>
        <w:keepNext/>
        <w:keepLines/>
        <w:spacing w:line="353" w:lineRule="auto"/>
      </w:pPr>
    </w:p>
    <w:p>
      <w:pPr>
        <w:keepNext/>
        <w:keepLines/>
        <w:spacing w:line="353" w:lineRule="auto"/>
      </w:pPr>
    </w:p>
    <w:p>
      <w:pPr>
        <w:keepNext/>
        <w:keepLines/>
        <w:spacing w:line="353" w:lineRule="auto"/>
      </w:pPr>
    </w:p>
    <w:p>
      <w:pPr>
        <w:keepNext/>
        <w:keepLines/>
        <w:spacing w:line="353" w:lineRule="auto"/>
      </w:pPr>
    </w:p>
    <w:p>
      <w:pPr>
        <w:keepNext/>
        <w:keepLines/>
        <w:spacing w:line="353" w:lineRule="auto"/>
      </w:pPr>
    </w:p>
    <w:p>
      <w:pPr>
        <w:keepNext/>
        <w:keepLines/>
        <w:spacing w:line="353" w:lineRule="auto"/>
      </w:pPr>
    </w:p>
    <w:p>
      <w:pPr>
        <w:keepNext/>
        <w:keepLines/>
        <w:spacing w:line="353" w:lineRule="auto"/>
      </w:pPr>
    </w:p>
    <w:p>
      <w:pPr>
        <w:keepNext/>
        <w:keepLines/>
        <w:spacing w:line="353" w:lineRule="auto"/>
      </w:pPr>
    </w:p>
    <w:p>
      <w:pPr>
        <w:keepNext/>
        <w:keepLines/>
        <w:spacing w:line="353" w:lineRule="auto"/>
        <w:rPr>
          <w:rFonts w:ascii="仿宋_GB2312" w:hAnsi="Cambria" w:eastAsia="仿宋_GB2312" w:cs="仿宋_GB2312"/>
          <w:sz w:val="32"/>
          <w:szCs w:val="32"/>
        </w:rPr>
      </w:pPr>
    </w:p>
    <w:p>
      <w:pPr>
        <w:keepNext/>
        <w:keepLines/>
        <w:spacing w:line="353" w:lineRule="auto"/>
        <w:rPr>
          <w:rFonts w:ascii="仿宋_GB2312" w:hAnsi="Cambria" w:eastAsia="仿宋_GB2312" w:cs="仿宋_GB2312"/>
          <w:sz w:val="32"/>
          <w:szCs w:val="32"/>
        </w:rPr>
      </w:pPr>
      <w:r>
        <w:rPr>
          <w:rFonts w:hint="eastAsia" w:ascii="仿宋_GB2312" w:hAnsi="Cambria" w:eastAsia="仿宋_GB2312" w:cs="仿宋_GB2312"/>
          <w:sz w:val="32"/>
          <w:szCs w:val="32"/>
          <w:lang w:val="zh-CN"/>
        </w:rPr>
        <w:t>附件</w:t>
      </w:r>
      <w:r>
        <w:rPr>
          <w:rFonts w:ascii="仿宋_GB2312" w:hAnsi="Cambria" w:eastAsia="仿宋_GB2312" w:cs="仿宋_GB2312"/>
          <w:sz w:val="32"/>
          <w:szCs w:val="32"/>
        </w:rPr>
        <w:t>2</w:t>
      </w:r>
    </w:p>
    <w:p>
      <w:pPr>
        <w:keepNext/>
        <w:keepLines/>
        <w:spacing w:line="353" w:lineRule="auto"/>
        <w:jc w:val="center"/>
        <w:rPr>
          <w:rFonts w:hAnsi="Cambria" w:cs="方正小标宋简体"/>
          <w:kern w:val="2"/>
          <w:sz w:val="44"/>
          <w:szCs w:val="44"/>
        </w:rPr>
      </w:pPr>
      <w:r>
        <w:rPr>
          <w:rFonts w:hAnsi="Cambria" w:cs="方正小标宋简体"/>
          <w:kern w:val="2"/>
          <w:sz w:val="44"/>
          <w:szCs w:val="44"/>
        </w:rPr>
        <w:t>2022年预算项目绩效自评报告</w:t>
      </w:r>
    </w:p>
    <w:p>
      <w:pPr>
        <w:keepNext/>
        <w:keepLines/>
        <w:spacing w:line="353" w:lineRule="auto"/>
        <w:ind w:firstLine="640"/>
        <w:jc w:val="center"/>
        <w:rPr>
          <w:rFonts w:ascii="宋体" w:hAnsi="Cambria" w:eastAsia="宋体" w:cs="宋体"/>
          <w:kern w:val="2"/>
          <w:sz w:val="32"/>
          <w:szCs w:val="32"/>
          <w:lang w:val="zh-CN"/>
        </w:rPr>
      </w:pPr>
      <w:r>
        <w:rPr>
          <w:rFonts w:hint="eastAsia" w:ascii="仿宋_GB2312" w:hAnsi="宋体" w:eastAsia="仿宋_GB2312"/>
          <w:sz w:val="32"/>
          <w:szCs w:val="32"/>
          <w:lang w:val="zh-CN"/>
        </w:rPr>
        <w:t>（石油液化气完全培训）</w:t>
      </w:r>
    </w:p>
    <w:p>
      <w:pPr>
        <w:keepNext/>
        <w:keepLines/>
        <w:spacing w:line="353" w:lineRule="auto"/>
        <w:ind w:firstLine="720"/>
        <w:jc w:val="both"/>
        <w:rPr>
          <w:rFonts w:ascii="黑体" w:hAnsi="Cambria" w:eastAsia="黑体" w:cs="黑体"/>
          <w:kern w:val="2"/>
          <w:sz w:val="32"/>
          <w:szCs w:val="32"/>
          <w:lang w:val="zh-CN"/>
        </w:rPr>
      </w:pPr>
      <w:r>
        <w:rPr>
          <w:rFonts w:hint="eastAsia" w:ascii="黑体" w:hAnsi="Cambria" w:eastAsia="黑体" w:cs="黑体"/>
          <w:kern w:val="2"/>
          <w:sz w:val="32"/>
          <w:szCs w:val="32"/>
        </w:rPr>
        <w:t>一、</w:t>
      </w:r>
      <w:r>
        <w:rPr>
          <w:rFonts w:hint="eastAsia" w:ascii="黑体" w:hAnsi="Cambria" w:eastAsia="黑体" w:cs="黑体"/>
          <w:kern w:val="2"/>
          <w:sz w:val="32"/>
          <w:szCs w:val="32"/>
          <w:lang w:val="zh-CN"/>
        </w:rPr>
        <w:t>项目概况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（一）项目基本情况。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sz w:val="32"/>
          <w:szCs w:val="32"/>
          <w:lang w:val="zh-CN"/>
        </w:rPr>
        <w:t>1．攀枝花市东区</w:t>
      </w:r>
      <w:r>
        <w:rPr>
          <w:rFonts w:hint="eastAsia" w:ascii="仿宋_GB2312" w:eastAsia="仿宋_GB2312"/>
          <w:sz w:val="32"/>
          <w:szCs w:val="32"/>
          <w:lang w:val="zh-CN"/>
        </w:rPr>
        <w:t>综合行政执法局</w:t>
      </w:r>
      <w:r>
        <w:rPr>
          <w:rFonts w:hint="eastAsia" w:ascii="仿宋_GB2312" w:hAnsi="宋体" w:eastAsia="仿宋_GB2312"/>
          <w:sz w:val="32"/>
          <w:szCs w:val="32"/>
          <w:lang w:val="zh-CN"/>
        </w:rPr>
        <w:t>是该项目的具体实施主体。</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sz w:val="32"/>
          <w:szCs w:val="32"/>
          <w:lang w:val="zh-CN"/>
        </w:rPr>
        <w:t>2．项目立项、资金申报的依据：每年组织2次石油液化气安全培训，安全使用宣传等。</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sz w:val="32"/>
          <w:szCs w:val="32"/>
          <w:lang w:val="zh-CN"/>
        </w:rPr>
        <w:t>3．资金管理办法制定情况，资金支持具体项目的条件、范围与支持方式概况：石油液化气安全培训，安全使用宣传。</w:t>
      </w:r>
    </w:p>
    <w:p>
      <w:pPr>
        <w:keepNext/>
        <w:keepLines/>
        <w:spacing w:line="353" w:lineRule="auto"/>
        <w:ind w:firstLine="720"/>
        <w:jc w:val="both"/>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4．资金分配的原则及考虑因素：每年组织2次石油液化气安全培训，安全使用宣传</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（二）项目绩效目标。</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．项目主要内容</w:t>
      </w:r>
      <w:r>
        <w:rPr>
          <w:rFonts w:hint="eastAsia" w:ascii="仿宋_GB2312" w:hAnsi="宋体" w:eastAsia="仿宋_GB2312"/>
          <w:sz w:val="32"/>
          <w:szCs w:val="32"/>
          <w:lang w:val="zh-CN"/>
        </w:rPr>
        <w:t>：每年组织2次石油液化气安全培训，安全使用宣传等。</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2</w:t>
      </w:r>
      <w:r>
        <w:rPr>
          <w:rFonts w:hint="eastAsia" w:ascii="仿宋_GB2312" w:hAnsi="Cambria" w:eastAsia="仿宋_GB2312" w:cs="仿宋_GB2312"/>
          <w:sz w:val="32"/>
          <w:szCs w:val="32"/>
          <w:lang w:val="zh-CN"/>
        </w:rPr>
        <w:t>．项目应实现的具体绩效目标</w:t>
      </w:r>
      <w:r>
        <w:rPr>
          <w:rFonts w:hint="eastAsia" w:ascii="仿宋_GB2312" w:hAnsi="宋体" w:eastAsia="仿宋_GB2312"/>
          <w:sz w:val="32"/>
          <w:szCs w:val="32"/>
          <w:lang w:val="zh-CN"/>
        </w:rPr>
        <w:t>：油液化气安全培训，安全使用宣传</w:t>
      </w:r>
      <w:r>
        <w:rPr>
          <w:rFonts w:ascii="仿宋_GB2312" w:hAnsi="宋体" w:eastAsia="仿宋_GB2312"/>
          <w:sz w:val="32"/>
          <w:szCs w:val="32"/>
          <w:lang w:val="zh-CN"/>
        </w:rPr>
        <w:t>。</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．分析评价申报内容是否与实际相符，申报目标是否合理可行。</w:t>
      </w:r>
      <w:r>
        <w:rPr>
          <w:rFonts w:hint="eastAsia" w:ascii="仿宋_GB2312" w:hAnsi="宋体" w:eastAsia="仿宋_GB2312"/>
          <w:sz w:val="32"/>
          <w:szCs w:val="32"/>
          <w:lang w:val="zh-CN"/>
        </w:rPr>
        <w:t>通过自评，申报内容与实际相符，申报目标合理可行。</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（三）项目自评步骤及方法。</w:t>
      </w:r>
    </w:p>
    <w:p>
      <w:pPr>
        <w:keepNext/>
        <w:keepLines/>
        <w:spacing w:line="353" w:lineRule="auto"/>
        <w:ind w:firstLine="640"/>
        <w:rPr>
          <w:rFonts w:ascii="仿宋_GB2312" w:hAnsi="Cambria" w:eastAsia="仿宋_GB2312" w:cs="仿宋_GB2312"/>
          <w:sz w:val="32"/>
          <w:szCs w:val="32"/>
          <w:lang w:val="zh-CN"/>
        </w:rPr>
      </w:pPr>
      <w:r>
        <w:rPr>
          <w:rFonts w:hint="eastAsia" w:ascii="仿宋_GB2312" w:eastAsia="仿宋_GB2312" w:cs="Times New Roman"/>
          <w:kern w:val="2"/>
          <w:sz w:val="32"/>
          <w:szCs w:val="32"/>
          <w:lang w:val="zh-CN"/>
        </w:rPr>
        <w:t>按照区财政下达的项目支出绩效评价指标体系，针对申报内容、实施情况、资金兑现、财务管理、社会效益等做出自我评价。</w:t>
      </w:r>
    </w:p>
    <w:p>
      <w:pPr>
        <w:keepNext/>
        <w:keepLines/>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二、项目资金申报及使用情况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（一）项目资金申报及批复情况。</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宋体" w:eastAsia="仿宋_GB2312"/>
          <w:sz w:val="32"/>
          <w:szCs w:val="32"/>
          <w:lang w:val="zh-CN"/>
        </w:rPr>
        <w:t>该项目在上年末进行预算工作时申报，年初区财政下达批复及拨付经费。</w:t>
      </w:r>
    </w:p>
    <w:p>
      <w:pPr>
        <w:keepNext/>
        <w:keepLines/>
        <w:spacing w:line="353" w:lineRule="auto"/>
        <w:ind w:firstLine="720"/>
        <w:jc w:val="both"/>
        <w:rPr>
          <w:rFonts w:ascii="仿宋_GB2312" w:hAnsi="Cambria" w:eastAsia="仿宋_GB2312" w:cs="仿宋_GB2312"/>
          <w:kern w:val="2"/>
          <w:sz w:val="32"/>
          <w:szCs w:val="32"/>
          <w:lang w:val="zh-CN"/>
        </w:rPr>
      </w:pPr>
      <w:r>
        <w:rPr>
          <w:rFonts w:hint="eastAsia" w:ascii="楷体_GB2312" w:hAnsi="Cambria" w:eastAsia="楷体_GB2312" w:cs="楷体_GB2312"/>
          <w:b/>
          <w:bCs/>
          <w:kern w:val="2"/>
          <w:sz w:val="32"/>
          <w:szCs w:val="32"/>
          <w:lang w:val="zh-CN"/>
        </w:rPr>
        <w:t>（二）资金计划、到位及使用情况（可用表格形式反映）。</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．资金计划。</w:t>
      </w:r>
    </w:p>
    <w:p>
      <w:pPr>
        <w:keepNext/>
        <w:keepLines/>
        <w:spacing w:line="353" w:lineRule="auto"/>
        <w:ind w:firstLine="640"/>
        <w:rPr>
          <w:rFonts w:ascii="仿宋_GB2312" w:hAnsi="Cambria" w:eastAsia="仿宋_GB2312" w:cs="仿宋_GB2312"/>
          <w:sz w:val="32"/>
          <w:szCs w:val="32"/>
          <w:lang w:val="zh-CN"/>
        </w:rPr>
      </w:pPr>
      <w:r>
        <w:rPr>
          <w:rFonts w:hint="eastAsia" w:ascii="仿宋_GB2312" w:eastAsia="仿宋_GB2312" w:cs="Times New Roman"/>
          <w:kern w:val="2"/>
          <w:sz w:val="32"/>
          <w:szCs w:val="32"/>
          <w:lang w:val="zh-CN"/>
        </w:rPr>
        <w:t>该项目属区级预算项目经费。</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2</w:t>
      </w:r>
      <w:r>
        <w:rPr>
          <w:rFonts w:hint="eastAsia" w:ascii="仿宋_GB2312" w:hAnsi="Cambria" w:eastAsia="仿宋_GB2312" w:cs="仿宋_GB2312"/>
          <w:sz w:val="32"/>
          <w:szCs w:val="32"/>
          <w:lang w:val="zh-CN"/>
        </w:rPr>
        <w:t>．资金到位。</w:t>
      </w:r>
    </w:p>
    <w:p>
      <w:pPr>
        <w:keepNext/>
        <w:keepLines/>
        <w:spacing w:line="353" w:lineRule="auto"/>
        <w:ind w:firstLine="640"/>
        <w:rPr>
          <w:rFonts w:ascii="仿宋_GB2312" w:hAnsi="Cambria" w:eastAsia="仿宋_GB2312" w:cs="仿宋_GB2312"/>
          <w:sz w:val="32"/>
          <w:szCs w:val="32"/>
          <w:lang w:val="zh-CN"/>
        </w:rPr>
      </w:pPr>
      <w:r>
        <w:rPr>
          <w:rFonts w:hint="eastAsia" w:ascii="仿宋_GB2312" w:eastAsia="仿宋_GB2312" w:cs="Times New Roman"/>
          <w:kern w:val="2"/>
          <w:sz w:val="32"/>
          <w:szCs w:val="32"/>
          <w:lang w:val="zh-CN"/>
        </w:rPr>
        <w:t>已全部到位。</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．资金使用。</w:t>
      </w:r>
    </w:p>
    <w:p>
      <w:pPr>
        <w:keepNext/>
        <w:keepLines/>
        <w:spacing w:line="353" w:lineRule="auto"/>
        <w:ind w:firstLine="640"/>
        <w:rPr>
          <w:rFonts w:ascii="仿宋_GB2312" w:hAnsi="Cambria" w:eastAsia="仿宋_GB2312" w:cs="仿宋_GB2312"/>
          <w:sz w:val="32"/>
          <w:szCs w:val="32"/>
          <w:lang w:val="zh-CN"/>
        </w:rPr>
      </w:pPr>
      <w:r>
        <w:rPr>
          <w:rFonts w:hint="eastAsia" w:ascii="仿宋_GB2312" w:eastAsia="仿宋_GB2312" w:cs="Times New Roman"/>
          <w:kern w:val="2"/>
          <w:sz w:val="32"/>
          <w:szCs w:val="32"/>
          <w:lang w:val="zh-CN"/>
        </w:rPr>
        <w:t>该项目资金已在2022年内按相关规定全部使用，资金的支付范围、支付标准、支付依据合法合规与预算相符</w:t>
      </w:r>
      <w:r>
        <w:rPr>
          <w:rFonts w:hint="eastAsia" w:ascii="仿宋_GB2312" w:hAnsi="Cambria" w:eastAsia="仿宋_GB2312" w:cs="仿宋_GB2312"/>
          <w:sz w:val="32"/>
          <w:szCs w:val="32"/>
          <w:lang w:val="zh-CN"/>
        </w:rPr>
        <w:t>。</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（三）项目财务管理情况。</w:t>
      </w:r>
    </w:p>
    <w:p>
      <w:pPr>
        <w:keepNext/>
        <w:keepLines/>
        <w:spacing w:line="353" w:lineRule="auto"/>
        <w:ind w:firstLine="640"/>
        <w:rPr>
          <w:rFonts w:ascii="仿宋_GB2312" w:hAnsi="Cambria" w:eastAsia="仿宋_GB2312" w:cs="仿宋_GB2312"/>
          <w:sz w:val="32"/>
          <w:szCs w:val="32"/>
          <w:lang w:val="zh-CN"/>
        </w:rPr>
      </w:pPr>
      <w:r>
        <w:rPr>
          <w:rFonts w:ascii="仿宋_GB2312" w:hAnsi="宋体" w:eastAsia="仿宋_GB2312"/>
          <w:sz w:val="32"/>
          <w:szCs w:val="32"/>
          <w:lang w:val="zh-CN"/>
        </w:rPr>
        <w:t>财务管理制度健全，严格执行财务管理制度，账务处理及时，会计核算规范</w:t>
      </w:r>
      <w:r>
        <w:rPr>
          <w:rFonts w:hint="eastAsia" w:ascii="仿宋_GB2312" w:hAnsi="宋体" w:eastAsia="仿宋_GB2312"/>
          <w:sz w:val="32"/>
          <w:szCs w:val="32"/>
          <w:lang w:val="zh-CN"/>
        </w:rPr>
        <w:t>。</w:t>
      </w:r>
    </w:p>
    <w:p>
      <w:pPr>
        <w:keepNext/>
        <w:keepLines/>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三、项目实施及管理情况</w:t>
      </w:r>
    </w:p>
    <w:p>
      <w:pPr>
        <w:keepNext/>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结合项目组织实施管理办法，重点围绕以下内容进行分析评价，并对自评中发现的问题分析说明。</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（一）项目组织架构及实施流程。</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1.区财政根据预算项目批复，下达项目经费，预算单位进行项目实施计划。</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2.资金支付时根据实际情况，报分管领导审批同意，呈报主要负责人审核并批复同意支付。</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（二）项目管理情况。</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项目是区财政纳入年度预算，我局严格安照项目要求及财经法律法规等要求落实的。</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（三）项目监管情况。</w:t>
      </w:r>
    </w:p>
    <w:p>
      <w:pPr>
        <w:keepNext/>
        <w:spacing w:line="353" w:lineRule="auto"/>
        <w:ind w:firstLine="720"/>
        <w:jc w:val="both"/>
        <w:rPr>
          <w:rFonts w:ascii="仿宋_GB2312" w:hAnsi="Cambria" w:eastAsia="仿宋_GB2312" w:cs="仿宋_GB2312"/>
          <w:sz w:val="32"/>
          <w:szCs w:val="32"/>
          <w:lang w:val="zh-CN"/>
        </w:rPr>
      </w:pPr>
      <w:r>
        <w:rPr>
          <w:rFonts w:hint="eastAsia" w:ascii="仿宋_GB2312" w:hAnsi="宋体" w:eastAsia="仿宋_GB2312"/>
          <w:sz w:val="32"/>
          <w:szCs w:val="32"/>
          <w:lang w:val="zh-CN"/>
        </w:rPr>
        <w:t>项目完成情况每年都要向财政部门填写相关的绩效分析评价，并上报相关对口管理部门检查。</w:t>
      </w:r>
    </w:p>
    <w:p>
      <w:pPr>
        <w:keepNext/>
        <w:spacing w:line="353" w:lineRule="auto"/>
        <w:ind w:firstLine="720"/>
        <w:jc w:val="both"/>
        <w:rPr>
          <w:rFonts w:ascii="仿宋_GB2312" w:hAnsi="Cambria" w:eastAsia="仿宋_GB2312" w:cs="仿宋_GB2312"/>
          <w:kern w:val="2"/>
          <w:sz w:val="32"/>
          <w:szCs w:val="32"/>
          <w:lang w:val="zh-CN"/>
        </w:rPr>
      </w:pPr>
      <w:r>
        <w:rPr>
          <w:rFonts w:hint="eastAsia" w:ascii="黑体" w:hAnsi="Cambria" w:eastAsia="黑体" w:cs="黑体"/>
          <w:kern w:val="2"/>
          <w:sz w:val="32"/>
          <w:szCs w:val="32"/>
        </w:rPr>
        <w:t>四、项目绩效情况</w:t>
      </w:r>
      <w:r>
        <w:rPr>
          <w:rFonts w:ascii="宋体" w:hAnsi="Cambria" w:eastAsia="宋体" w:cs="宋体"/>
          <w:kern w:val="2"/>
          <w:sz w:val="32"/>
          <w:szCs w:val="32"/>
          <w:lang w:val="zh-CN"/>
        </w:rPr>
        <w:tab/>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（一）项目完成情况。</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1.数量指标：培训安全使用宣传</w:t>
      </w:r>
      <w:r>
        <w:rPr>
          <w:rFonts w:ascii="仿宋_GB2312" w:eastAsia="仿宋_GB2312" w:cs="Times New Roman"/>
          <w:kern w:val="2"/>
          <w:sz w:val="32"/>
          <w:szCs w:val="32"/>
          <w:lang w:val="zh-CN"/>
        </w:rPr>
        <w:t>每年2次</w:t>
      </w:r>
      <w:r>
        <w:rPr>
          <w:rFonts w:hint="eastAsia" w:ascii="仿宋_GB2312" w:eastAsia="仿宋_GB2312" w:cs="Times New Roman"/>
          <w:kern w:val="2"/>
          <w:sz w:val="32"/>
          <w:szCs w:val="32"/>
          <w:lang w:val="zh-CN"/>
        </w:rPr>
        <w:t>。</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2.质量指标：</w:t>
      </w:r>
      <w:r>
        <w:rPr>
          <w:rFonts w:ascii="仿宋_GB2312" w:eastAsia="仿宋_GB2312" w:cs="Times New Roman"/>
          <w:kern w:val="2"/>
          <w:sz w:val="32"/>
          <w:szCs w:val="32"/>
          <w:lang w:val="zh-CN"/>
        </w:rPr>
        <w:t>宣传如何安全使用液化气</w:t>
      </w:r>
      <w:r>
        <w:rPr>
          <w:rFonts w:hint="eastAsia" w:ascii="仿宋_GB2312" w:eastAsia="仿宋_GB2312" w:cs="Times New Roman"/>
          <w:kern w:val="2"/>
          <w:sz w:val="32"/>
          <w:szCs w:val="32"/>
          <w:lang w:val="zh-CN"/>
        </w:rPr>
        <w:t>。</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3.时效指标：项目实施时间为2022年1月至12月。</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4.成本指标：1万元。</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（二）项目效益情况。</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sz w:val="32"/>
          <w:szCs w:val="32"/>
          <w:lang w:val="zh-CN"/>
        </w:rPr>
        <w:t>1.社会效益指标：确保外勤工作优质高效完成，对执法人员安全进行保障。</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sz w:val="32"/>
          <w:szCs w:val="32"/>
          <w:lang w:val="zh-CN"/>
        </w:rPr>
        <w:t>2.</w:t>
      </w:r>
      <w:r>
        <w:rPr>
          <w:rFonts w:ascii="仿宋_GB2312" w:hAnsi="宋体" w:eastAsia="仿宋_GB2312"/>
          <w:sz w:val="32"/>
          <w:szCs w:val="32"/>
          <w:lang w:val="zh-CN"/>
        </w:rPr>
        <w:t>可持续</w:t>
      </w:r>
      <w:r>
        <w:rPr>
          <w:rFonts w:hint="eastAsia" w:ascii="仿宋_GB2312" w:hAnsi="宋体" w:eastAsia="仿宋_GB2312"/>
          <w:sz w:val="32"/>
          <w:szCs w:val="32"/>
          <w:lang w:val="zh-CN"/>
        </w:rPr>
        <w:t>影响指标：提升城管人员的综合业务素质，提高工作效率，营造良好的城市环境。</w:t>
      </w:r>
    </w:p>
    <w:p>
      <w:pPr>
        <w:keepNext/>
        <w:spacing w:line="353" w:lineRule="auto"/>
        <w:ind w:firstLine="720"/>
        <w:jc w:val="both"/>
        <w:rPr>
          <w:rFonts w:ascii="仿宋_GB2312" w:hAnsi="宋体" w:eastAsia="仿宋_GB2312"/>
          <w:sz w:val="32"/>
          <w:szCs w:val="32"/>
          <w:lang w:val="zh-CN"/>
        </w:rPr>
      </w:pPr>
      <w:r>
        <w:rPr>
          <w:rFonts w:hint="eastAsia" w:ascii="仿宋_GB2312" w:hAnsi="宋体" w:eastAsia="仿宋_GB2312"/>
          <w:sz w:val="32"/>
          <w:szCs w:val="32"/>
          <w:lang w:val="zh-CN"/>
        </w:rPr>
        <w:t>3.服务对象满意度指标：服务对象和主管部门满意度大于95%以上。</w:t>
      </w:r>
    </w:p>
    <w:p>
      <w:pPr>
        <w:keepNext/>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五、评价结论及建议</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（一）评价结论。</w:t>
      </w:r>
    </w:p>
    <w:p>
      <w:pPr>
        <w:keepNext/>
        <w:spacing w:line="353" w:lineRule="auto"/>
        <w:ind w:firstLine="720"/>
        <w:jc w:val="both"/>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2022年攀枝花市东区综合行政执法局自我绩效评价为：优秀。评价得分：通用指标36分，共性指标20分，特性指标29分，个性指标9分，扣分项0分，合计94分。</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（二）存在的问题。</w:t>
      </w:r>
    </w:p>
    <w:p>
      <w:pPr>
        <w:keepNext/>
        <w:spacing w:line="353" w:lineRule="auto"/>
        <w:ind w:firstLine="720"/>
        <w:jc w:val="both"/>
        <w:rPr>
          <w:rFonts w:ascii="仿宋_GB2312" w:hAnsi="宋体" w:eastAsia="仿宋_GB2312"/>
          <w:sz w:val="32"/>
          <w:szCs w:val="32"/>
          <w:lang w:val="zh-CN"/>
        </w:rPr>
      </w:pPr>
      <w:r>
        <w:rPr>
          <w:rFonts w:hint="eastAsia" w:ascii="仿宋_GB2312" w:hAnsi="宋体" w:eastAsia="仿宋_GB2312"/>
          <w:sz w:val="32"/>
          <w:szCs w:val="32"/>
          <w:lang w:val="zh-CN"/>
        </w:rPr>
        <w:t>宣传力度需提高。</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（三）相关建议。</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sz w:val="32"/>
          <w:szCs w:val="32"/>
          <w:lang w:val="zh-CN"/>
        </w:rPr>
        <w:t>加强资金监管，制定相应的资金使用计划，使之形成常态机制，加快资金使用进度。</w:t>
      </w:r>
    </w:p>
    <w:p>
      <w:pPr>
        <w:keepNext/>
        <w:spacing w:line="353" w:lineRule="auto"/>
      </w:pPr>
    </w:p>
    <w:p>
      <w:pPr>
        <w:keepNext/>
        <w:spacing w:line="353" w:lineRule="auto"/>
      </w:pPr>
    </w:p>
    <w:p>
      <w:pPr>
        <w:keepNext/>
        <w:spacing w:line="353" w:lineRule="auto"/>
      </w:pPr>
    </w:p>
    <w:p>
      <w:pPr>
        <w:keepNext/>
        <w:keepLines/>
        <w:spacing w:line="353" w:lineRule="auto"/>
      </w:pPr>
    </w:p>
    <w:p>
      <w:pPr>
        <w:keepNext/>
        <w:keepLines/>
        <w:spacing w:line="353" w:lineRule="auto"/>
      </w:pPr>
    </w:p>
    <w:p>
      <w:pPr>
        <w:keepNext/>
        <w:keepLines/>
        <w:spacing w:line="353" w:lineRule="auto"/>
      </w:pPr>
    </w:p>
    <w:p>
      <w:pPr>
        <w:keepNext/>
        <w:keepLines/>
        <w:spacing w:line="353" w:lineRule="auto"/>
        <w:rPr>
          <w:rFonts w:ascii="仿宋_GB2312" w:hAnsi="Cambria" w:eastAsia="仿宋_GB2312" w:cs="仿宋_GB2312"/>
          <w:sz w:val="32"/>
          <w:szCs w:val="32"/>
        </w:rPr>
      </w:pPr>
    </w:p>
    <w:p>
      <w:pPr>
        <w:keepNext/>
        <w:keepLines/>
        <w:spacing w:line="353" w:lineRule="auto"/>
        <w:rPr>
          <w:rFonts w:ascii="仿宋_GB2312" w:hAnsi="Cambria" w:eastAsia="仿宋_GB2312" w:cs="仿宋_GB2312"/>
          <w:sz w:val="32"/>
          <w:szCs w:val="32"/>
        </w:rPr>
      </w:pPr>
    </w:p>
    <w:p>
      <w:pPr>
        <w:keepNext/>
        <w:keepLines/>
        <w:spacing w:line="353" w:lineRule="auto"/>
        <w:rPr>
          <w:rFonts w:ascii="仿宋_GB2312" w:hAnsi="Cambria" w:eastAsia="仿宋_GB2312" w:cs="仿宋_GB2312"/>
          <w:sz w:val="32"/>
          <w:szCs w:val="32"/>
        </w:rPr>
      </w:pPr>
      <w:r>
        <w:rPr>
          <w:rFonts w:hint="eastAsia" w:ascii="仿宋_GB2312" w:hAnsi="Cambria" w:eastAsia="仿宋_GB2312" w:cs="仿宋_GB2312"/>
          <w:sz w:val="32"/>
          <w:szCs w:val="32"/>
          <w:lang w:val="zh-CN"/>
        </w:rPr>
        <w:t>附件</w:t>
      </w:r>
      <w:r>
        <w:rPr>
          <w:rFonts w:ascii="仿宋_GB2312" w:hAnsi="Cambria" w:eastAsia="仿宋_GB2312" w:cs="仿宋_GB2312"/>
          <w:sz w:val="32"/>
          <w:szCs w:val="32"/>
        </w:rPr>
        <w:t>2</w:t>
      </w:r>
    </w:p>
    <w:p>
      <w:pPr>
        <w:keepNext/>
        <w:keepLines/>
        <w:spacing w:line="353" w:lineRule="auto"/>
        <w:jc w:val="center"/>
        <w:rPr>
          <w:rFonts w:hAnsi="Cambria" w:cs="方正小标宋简体"/>
          <w:kern w:val="2"/>
          <w:sz w:val="44"/>
          <w:szCs w:val="44"/>
        </w:rPr>
      </w:pPr>
      <w:r>
        <w:rPr>
          <w:rFonts w:hAnsi="Cambria" w:cs="方正小标宋简体"/>
          <w:kern w:val="2"/>
          <w:sz w:val="44"/>
          <w:szCs w:val="44"/>
        </w:rPr>
        <w:t>202</w:t>
      </w:r>
      <w:r>
        <w:rPr>
          <w:rFonts w:hint="eastAsia" w:hAnsi="Cambria" w:cs="方正小标宋简体"/>
          <w:kern w:val="2"/>
          <w:sz w:val="44"/>
          <w:szCs w:val="44"/>
        </w:rPr>
        <w:t>2年预算项目绩效自评报告</w:t>
      </w:r>
    </w:p>
    <w:p>
      <w:pPr>
        <w:keepNext/>
        <w:keepLines/>
        <w:spacing w:line="353" w:lineRule="auto"/>
        <w:ind w:firstLine="640"/>
        <w:jc w:val="center"/>
        <w:rPr>
          <w:rFonts w:ascii="仿宋_GB2312" w:hAnsi="宋体" w:eastAsia="仿宋_GB2312"/>
          <w:sz w:val="32"/>
          <w:szCs w:val="32"/>
          <w:lang w:val="zh-CN"/>
        </w:rPr>
      </w:pPr>
      <w:r>
        <w:rPr>
          <w:rFonts w:hint="eastAsia" w:ascii="仿宋_GB2312" w:hAnsi="宋体" w:eastAsia="仿宋_GB2312"/>
          <w:sz w:val="32"/>
          <w:szCs w:val="32"/>
          <w:lang w:val="zh-CN"/>
        </w:rPr>
        <w:t>（建国70周年环境整治项目余款）</w:t>
      </w:r>
    </w:p>
    <w:p>
      <w:pPr>
        <w:keepNext/>
        <w:keepLines/>
        <w:spacing w:line="353" w:lineRule="auto"/>
        <w:ind w:firstLine="720"/>
        <w:jc w:val="both"/>
        <w:rPr>
          <w:rFonts w:ascii="黑体" w:hAnsi="Cambria" w:eastAsia="黑体" w:cs="黑体"/>
          <w:kern w:val="2"/>
          <w:sz w:val="32"/>
          <w:szCs w:val="32"/>
          <w:lang w:val="zh-CN"/>
        </w:rPr>
      </w:pPr>
      <w:r>
        <w:rPr>
          <w:rFonts w:hint="eastAsia" w:ascii="黑体" w:hAnsi="Cambria" w:eastAsia="黑体" w:cs="黑体"/>
          <w:kern w:val="2"/>
          <w:sz w:val="32"/>
          <w:szCs w:val="32"/>
        </w:rPr>
        <w:t>一、</w:t>
      </w:r>
      <w:r>
        <w:rPr>
          <w:rFonts w:hint="eastAsia" w:ascii="黑体" w:hAnsi="Cambria" w:eastAsia="黑体" w:cs="黑体"/>
          <w:kern w:val="2"/>
          <w:sz w:val="32"/>
          <w:szCs w:val="32"/>
          <w:lang w:val="zh-CN"/>
        </w:rPr>
        <w:t>项目概况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（一）项目基本情况。</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w:t>
      </w:r>
      <w:r>
        <w:rPr>
          <w:rFonts w:hint="eastAsia" w:ascii="仿宋_GB2312" w:hAnsi="宋体" w:eastAsia="仿宋_GB2312"/>
          <w:sz w:val="32"/>
          <w:szCs w:val="32"/>
          <w:lang w:val="zh-CN"/>
        </w:rPr>
        <w:t>攀枝花市东区</w:t>
      </w:r>
      <w:r>
        <w:rPr>
          <w:rFonts w:hint="eastAsia" w:ascii="仿宋_GB2312" w:eastAsia="仿宋_GB2312"/>
          <w:sz w:val="32"/>
          <w:szCs w:val="32"/>
          <w:lang w:val="zh-CN"/>
        </w:rPr>
        <w:t>综合行政执法局</w:t>
      </w:r>
      <w:r>
        <w:rPr>
          <w:rFonts w:hint="eastAsia" w:ascii="仿宋_GB2312" w:hAnsi="宋体" w:eastAsia="仿宋_GB2312"/>
          <w:sz w:val="32"/>
          <w:szCs w:val="32"/>
          <w:lang w:val="zh-CN"/>
        </w:rPr>
        <w:t>是该项目的具体实施主体。</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2</w:t>
      </w:r>
      <w:r>
        <w:rPr>
          <w:rFonts w:hint="eastAsia" w:ascii="仿宋_GB2312" w:hAnsi="Cambria" w:eastAsia="仿宋_GB2312" w:cs="仿宋_GB2312"/>
          <w:sz w:val="32"/>
          <w:szCs w:val="32"/>
          <w:lang w:val="zh-CN"/>
        </w:rPr>
        <w:t>．项目立项、资金申报的依据：</w:t>
      </w:r>
      <w:r>
        <w:rPr>
          <w:rFonts w:hint="eastAsia" w:ascii="仿宋_GB2312" w:hAnsi="宋体" w:eastAsia="仿宋_GB2312"/>
          <w:sz w:val="32"/>
          <w:szCs w:val="32"/>
          <w:lang w:val="zh-CN"/>
        </w:rPr>
        <w:t>2019年，</w:t>
      </w:r>
      <w:r>
        <w:rPr>
          <w:rFonts w:ascii="仿宋_GB2312" w:hAnsi="宋体" w:eastAsia="仿宋_GB2312"/>
          <w:sz w:val="32"/>
          <w:szCs w:val="32"/>
          <w:lang w:val="zh-CN"/>
        </w:rPr>
        <w:t>为迎接新中国成立70周年和2019年攀枝花市第三次项目竞进拉练工作，根据2019年5月8日《关于2019年攀枝花市第三次项目竞进拉练东区夜景点位现场调研议事纪要》（攀枝花市东区人民政府纪要2019年第15期）、2019年5月17日《关于迎接新中国成立70周年氛围营造亮化工作推进会的议事纪要》（攀枝花市东区人民政府纪要2019年第16期）和2019年5月20日《关于迎接新中国成立70周年氛围营造工作设计方案评审会的会议纪要》（攀枝花市东区人民政府</w:t>
      </w:r>
      <w:r>
        <w:rPr>
          <w:rFonts w:hint="eastAsia" w:ascii="仿宋_GB2312" w:hAnsi="宋体" w:eastAsia="仿宋_GB2312"/>
          <w:sz w:val="32"/>
          <w:szCs w:val="32"/>
          <w:lang w:val="zh-CN"/>
        </w:rPr>
        <w:t>纪要</w:t>
      </w:r>
      <w:r>
        <w:rPr>
          <w:rFonts w:ascii="仿宋_GB2312" w:hAnsi="宋体" w:eastAsia="仿宋_GB2312"/>
          <w:sz w:val="32"/>
          <w:szCs w:val="32"/>
          <w:lang w:val="zh-CN"/>
        </w:rPr>
        <w:t>2019年第17期）安排，</w:t>
      </w:r>
      <w:r>
        <w:rPr>
          <w:rFonts w:hint="eastAsia" w:ascii="仿宋_GB2312" w:hAnsi="宋体" w:eastAsia="仿宋_GB2312"/>
          <w:sz w:val="32"/>
          <w:szCs w:val="32"/>
          <w:lang w:val="zh-CN"/>
        </w:rPr>
        <w:t>由我局和原炳草岗街办（后分为炳草岗街道及东华街道）牵头，对陈家垭口隧道至金海世纪城、中环天地周边80栋建筑物进行夜间景观亮化氛围营造。该工作分为2个片区，分别由现东华街道新源路社区、阳城社区</w:t>
      </w:r>
      <w:r>
        <w:rPr>
          <w:rFonts w:ascii="仿宋_GB2312" w:hAnsi="宋体" w:eastAsia="仿宋_GB2312"/>
          <w:sz w:val="32"/>
          <w:szCs w:val="32"/>
          <w:lang w:val="zh-CN"/>
        </w:rPr>
        <w:t>作为业主组织开展</w:t>
      </w:r>
      <w:r>
        <w:rPr>
          <w:rFonts w:hint="eastAsia" w:ascii="仿宋_GB2312" w:hAnsi="宋体" w:eastAsia="仿宋_GB2312"/>
          <w:sz w:val="32"/>
          <w:szCs w:val="32"/>
          <w:lang w:val="zh-CN"/>
        </w:rPr>
        <w:t>。</w:t>
      </w:r>
    </w:p>
    <w:p>
      <w:pPr>
        <w:keepNext/>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．资金</w:t>
      </w:r>
      <w:r>
        <w:rPr>
          <w:rFonts w:hint="eastAsia" w:ascii="仿宋_GB2312" w:hAnsi="Cambria" w:eastAsia="仿宋_GB2312" w:cs="仿宋_GB2312"/>
          <w:sz w:val="32"/>
          <w:szCs w:val="32"/>
        </w:rPr>
        <w:t>或项目</w:t>
      </w:r>
      <w:r>
        <w:rPr>
          <w:rFonts w:hint="eastAsia" w:ascii="仿宋_GB2312" w:hAnsi="Cambria" w:eastAsia="仿宋_GB2312" w:cs="仿宋_GB2312"/>
          <w:sz w:val="32"/>
          <w:szCs w:val="32"/>
          <w:lang w:val="zh-CN"/>
        </w:rPr>
        <w:t>管理办法制定情况，资金支持具体项目的条件、范围与支持方式概况：</w:t>
      </w:r>
      <w:r>
        <w:rPr>
          <w:rFonts w:ascii="仿宋_GB2312" w:hAnsi="宋体" w:eastAsia="仿宋_GB2312"/>
          <w:sz w:val="32"/>
          <w:szCs w:val="32"/>
          <w:lang w:val="zh-CN"/>
        </w:rPr>
        <w:t>该工作主要是</w:t>
      </w:r>
      <w:r>
        <w:rPr>
          <w:rFonts w:hint="eastAsia" w:ascii="仿宋_GB2312" w:hAnsi="宋体" w:eastAsia="仿宋_GB2312"/>
          <w:sz w:val="32"/>
          <w:szCs w:val="32"/>
          <w:lang w:val="zh-CN"/>
        </w:rPr>
        <w:t>对陈家垭口隧道至金海世纪城、中环天地周边80栋建筑物进行夜间景观亮化氛围营造。</w:t>
      </w:r>
    </w:p>
    <w:p>
      <w:pPr>
        <w:keepNext/>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4</w:t>
      </w:r>
      <w:r>
        <w:rPr>
          <w:rFonts w:hint="eastAsia" w:ascii="仿宋_GB2312" w:hAnsi="Cambria" w:eastAsia="仿宋_GB2312" w:cs="仿宋_GB2312"/>
          <w:sz w:val="32"/>
          <w:szCs w:val="32"/>
          <w:lang w:val="zh-CN"/>
        </w:rPr>
        <w:t>．资金分配的原则及考虑因素</w:t>
      </w:r>
      <w:r>
        <w:rPr>
          <w:rFonts w:hint="eastAsia" w:ascii="仿宋_GB2312" w:hAnsi="宋体" w:eastAsia="仿宋_GB2312"/>
          <w:sz w:val="32"/>
          <w:szCs w:val="32"/>
          <w:lang w:val="zh-CN"/>
        </w:rPr>
        <w:t>：夜间景观亮化氛围营造</w:t>
      </w:r>
      <w:r>
        <w:rPr>
          <w:rFonts w:ascii="仿宋_GB2312" w:hAnsi="宋体" w:eastAsia="仿宋_GB2312"/>
          <w:sz w:val="32"/>
          <w:szCs w:val="32"/>
          <w:lang w:val="zh-CN"/>
        </w:rPr>
        <w:t>。</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（二）项目绩效目标。</w:t>
      </w:r>
    </w:p>
    <w:p>
      <w:pPr>
        <w:keepNext/>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．项目主要内容：</w:t>
      </w:r>
      <w:r>
        <w:rPr>
          <w:rFonts w:hint="eastAsia" w:ascii="仿宋_GB2312" w:hAnsi="宋体" w:eastAsia="仿宋_GB2312"/>
          <w:sz w:val="32"/>
          <w:szCs w:val="32"/>
          <w:lang w:val="zh-CN"/>
        </w:rPr>
        <w:t>2019年，</w:t>
      </w:r>
      <w:r>
        <w:rPr>
          <w:rFonts w:ascii="仿宋_GB2312" w:hAnsi="宋体" w:eastAsia="仿宋_GB2312"/>
          <w:sz w:val="32"/>
          <w:szCs w:val="32"/>
          <w:lang w:val="zh-CN"/>
        </w:rPr>
        <w:t>为迎接新中国成立70周年和2019年攀枝花市第三次项目竞进拉练工作，根据2019年5月8日《关于2019年攀枝花市第三次项目竞进拉练东区夜景点位现场调研议事纪要》（攀枝花市东区人民政府纪要2019年第15期）、2019年5月17日《关于迎接新中国成立70周年氛围营造亮化工作推进会的议事纪要》（攀枝花市东区人民政府纪要2019年第16期）和2019年5月20日《关于迎接新中国成立70周年氛围营造工作设计方案评审会的会议纪要》（攀枝花市东区人民政府</w:t>
      </w:r>
      <w:r>
        <w:rPr>
          <w:rFonts w:hint="eastAsia" w:ascii="仿宋_GB2312" w:hAnsi="宋体" w:eastAsia="仿宋_GB2312"/>
          <w:sz w:val="32"/>
          <w:szCs w:val="32"/>
          <w:lang w:val="zh-CN"/>
        </w:rPr>
        <w:t>纪要</w:t>
      </w:r>
      <w:r>
        <w:rPr>
          <w:rFonts w:ascii="仿宋_GB2312" w:hAnsi="宋体" w:eastAsia="仿宋_GB2312"/>
          <w:sz w:val="32"/>
          <w:szCs w:val="32"/>
          <w:lang w:val="zh-CN"/>
        </w:rPr>
        <w:t>2019年第17期）安排，</w:t>
      </w:r>
      <w:r>
        <w:rPr>
          <w:rFonts w:hint="eastAsia" w:ascii="仿宋_GB2312" w:hAnsi="宋体" w:eastAsia="仿宋_GB2312"/>
          <w:sz w:val="32"/>
          <w:szCs w:val="32"/>
          <w:lang w:val="zh-CN"/>
        </w:rPr>
        <w:t>由我局和原炳草岗街办（后分为炳草岗街道及东华街道）牵头，对陈家垭口隧道至金海世纪城、中环天地周边80栋建筑物进行夜间景观亮化氛围营造。该工作分为2个片区，分别由现东华街道新源路社区、阳城社区</w:t>
      </w:r>
      <w:r>
        <w:rPr>
          <w:rFonts w:ascii="仿宋_GB2312" w:hAnsi="宋体" w:eastAsia="仿宋_GB2312"/>
          <w:sz w:val="32"/>
          <w:szCs w:val="32"/>
          <w:lang w:val="zh-CN"/>
        </w:rPr>
        <w:t>作为业主组织开展</w:t>
      </w:r>
      <w:r>
        <w:rPr>
          <w:rFonts w:hint="eastAsia" w:ascii="仿宋_GB2312" w:hAnsi="宋体" w:eastAsia="仿宋_GB2312"/>
          <w:sz w:val="32"/>
          <w:szCs w:val="32"/>
          <w:lang w:val="zh-CN"/>
        </w:rPr>
        <w:t>。</w:t>
      </w:r>
    </w:p>
    <w:p>
      <w:pPr>
        <w:keepNext/>
        <w:spacing w:line="353" w:lineRule="auto"/>
        <w:ind w:firstLine="640"/>
        <w:rPr>
          <w:rFonts w:ascii="仿宋_GB2312" w:hAnsi="宋体" w:eastAsia="仿宋_GB2312"/>
          <w:sz w:val="32"/>
          <w:szCs w:val="32"/>
          <w:lang w:val="zh-CN"/>
        </w:rPr>
      </w:pPr>
      <w:r>
        <w:rPr>
          <w:rFonts w:ascii="仿宋_GB2312" w:hAnsi="Cambria" w:eastAsia="仿宋_GB2312" w:cs="仿宋_GB2312"/>
          <w:sz w:val="32"/>
          <w:szCs w:val="32"/>
          <w:lang w:val="zh-CN"/>
        </w:rPr>
        <w:t>2</w:t>
      </w:r>
      <w:r>
        <w:rPr>
          <w:rFonts w:hint="eastAsia" w:ascii="仿宋_GB2312" w:hAnsi="Cambria" w:eastAsia="仿宋_GB2312" w:cs="仿宋_GB2312"/>
          <w:sz w:val="32"/>
          <w:szCs w:val="32"/>
          <w:lang w:val="zh-CN"/>
        </w:rPr>
        <w:t>．项目应实现的具体绩效目标</w:t>
      </w:r>
      <w:r>
        <w:rPr>
          <w:rFonts w:hint="eastAsia" w:ascii="仿宋_GB2312" w:hAnsi="宋体" w:eastAsia="仿宋_GB2312"/>
          <w:sz w:val="32"/>
          <w:szCs w:val="32"/>
          <w:lang w:val="zh-CN"/>
        </w:rPr>
        <w:t>：</w:t>
      </w:r>
      <w:r>
        <w:rPr>
          <w:rFonts w:ascii="仿宋_GB2312" w:hAnsi="宋体" w:eastAsia="仿宋_GB2312"/>
          <w:sz w:val="32"/>
          <w:szCs w:val="32"/>
          <w:lang w:val="zh-CN"/>
        </w:rPr>
        <w:t>该工作主要是</w:t>
      </w:r>
      <w:r>
        <w:rPr>
          <w:rFonts w:hint="eastAsia" w:ascii="仿宋_GB2312" w:hAnsi="宋体" w:eastAsia="仿宋_GB2312"/>
          <w:sz w:val="32"/>
          <w:szCs w:val="32"/>
          <w:lang w:val="zh-CN"/>
        </w:rPr>
        <w:t>对陈家垭口隧道至金海世纪城、中环天地周边80栋建筑物进行夜间景观亮化氛围营造</w:t>
      </w:r>
      <w:r>
        <w:rPr>
          <w:rFonts w:ascii="仿宋_GB2312" w:hAnsi="宋体" w:eastAsia="仿宋_GB2312"/>
          <w:sz w:val="32"/>
          <w:szCs w:val="32"/>
          <w:lang w:val="zh-CN"/>
        </w:rPr>
        <w:t>。</w:t>
      </w:r>
    </w:p>
    <w:p>
      <w:pPr>
        <w:keepNext/>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．分析评价申报内容是否与实际相符，申报目标是否合理可行。</w:t>
      </w:r>
      <w:r>
        <w:rPr>
          <w:rFonts w:hint="eastAsia" w:ascii="仿宋_GB2312" w:hAnsi="宋体" w:eastAsia="仿宋_GB2312"/>
          <w:sz w:val="32"/>
          <w:szCs w:val="32"/>
          <w:lang w:val="zh-CN"/>
        </w:rPr>
        <w:t>通过自评，申报内容与实际相符，申报目标合理可行。</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（三）项目自评步骤及方法。</w:t>
      </w:r>
    </w:p>
    <w:p>
      <w:pPr>
        <w:keepNext/>
        <w:spacing w:line="353" w:lineRule="auto"/>
        <w:ind w:firstLine="640"/>
        <w:rPr>
          <w:rFonts w:ascii="仿宋_GB2312" w:hAnsi="Cambria" w:eastAsia="仿宋_GB2312" w:cs="仿宋_GB2312"/>
          <w:sz w:val="32"/>
          <w:szCs w:val="32"/>
          <w:lang w:val="zh-CN"/>
        </w:rPr>
      </w:pPr>
      <w:r>
        <w:rPr>
          <w:rFonts w:hint="eastAsia" w:ascii="仿宋_GB2312" w:eastAsia="仿宋_GB2312" w:cs="Times New Roman"/>
          <w:kern w:val="2"/>
          <w:sz w:val="32"/>
          <w:szCs w:val="32"/>
          <w:lang w:val="zh-CN"/>
        </w:rPr>
        <w:t>按照区财政下达的项目支出绩效评价指标体系，针对申报内容、实施情况、资金兑现、财务管理、社会效益等做出自我评价。</w:t>
      </w:r>
    </w:p>
    <w:p>
      <w:pPr>
        <w:keepNext/>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二、项目资金申报及使用情况</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（一）项目资金申报及批复情况。</w:t>
      </w:r>
    </w:p>
    <w:p>
      <w:pPr>
        <w:keepNext/>
        <w:spacing w:line="353" w:lineRule="auto"/>
        <w:ind w:firstLine="720"/>
        <w:jc w:val="both"/>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该项目在上年末进行预算工作时申报，年初区财政下达批复及拨付经费。</w:t>
      </w:r>
    </w:p>
    <w:p>
      <w:pPr>
        <w:keepNext/>
        <w:spacing w:line="353" w:lineRule="auto"/>
        <w:ind w:firstLine="720"/>
        <w:jc w:val="both"/>
        <w:rPr>
          <w:rFonts w:ascii="仿宋_GB2312" w:hAnsi="Cambria" w:eastAsia="仿宋_GB2312" w:cs="仿宋_GB2312"/>
          <w:kern w:val="2"/>
          <w:sz w:val="32"/>
          <w:szCs w:val="32"/>
          <w:lang w:val="zh-CN"/>
        </w:rPr>
      </w:pPr>
      <w:r>
        <w:rPr>
          <w:rFonts w:hint="eastAsia" w:ascii="楷体_GB2312" w:hAnsi="Cambria" w:eastAsia="楷体_GB2312" w:cs="楷体_GB2312"/>
          <w:b/>
          <w:bCs/>
          <w:kern w:val="2"/>
          <w:sz w:val="32"/>
          <w:szCs w:val="32"/>
          <w:lang w:val="zh-CN"/>
        </w:rPr>
        <w:t>（二）资金计划、到位及使用情况（可用表格形式反映）。</w:t>
      </w:r>
    </w:p>
    <w:p>
      <w:pPr>
        <w:keepNext/>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．资金计划。</w:t>
      </w:r>
    </w:p>
    <w:p>
      <w:pPr>
        <w:keepNext/>
        <w:spacing w:line="353" w:lineRule="auto"/>
        <w:ind w:firstLine="640"/>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该项目属区级预算项目经费。</w:t>
      </w:r>
    </w:p>
    <w:p>
      <w:pPr>
        <w:keepNext/>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2</w:t>
      </w:r>
      <w:r>
        <w:rPr>
          <w:rFonts w:hint="eastAsia" w:ascii="仿宋_GB2312" w:hAnsi="Cambria" w:eastAsia="仿宋_GB2312" w:cs="仿宋_GB2312"/>
          <w:sz w:val="32"/>
          <w:szCs w:val="32"/>
          <w:lang w:val="zh-CN"/>
        </w:rPr>
        <w:t>．资金到位。</w:t>
      </w:r>
    </w:p>
    <w:p>
      <w:pPr>
        <w:keepNext/>
        <w:spacing w:line="353" w:lineRule="auto"/>
        <w:ind w:firstLine="640"/>
        <w:rPr>
          <w:rFonts w:ascii="仿宋_GB2312" w:hAnsi="Cambria" w:eastAsia="仿宋_GB2312" w:cs="仿宋_GB2312"/>
          <w:sz w:val="32"/>
          <w:szCs w:val="32"/>
          <w:lang w:val="zh-CN"/>
        </w:rPr>
      </w:pPr>
      <w:r>
        <w:rPr>
          <w:rFonts w:hint="eastAsia" w:ascii="仿宋_GB2312" w:eastAsia="仿宋_GB2312" w:cs="Times New Roman"/>
          <w:kern w:val="2"/>
          <w:sz w:val="32"/>
          <w:szCs w:val="32"/>
          <w:lang w:val="zh-CN"/>
        </w:rPr>
        <w:t>已全部到位。</w:t>
      </w:r>
    </w:p>
    <w:p>
      <w:pPr>
        <w:keepNext/>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．资金使用。</w:t>
      </w:r>
    </w:p>
    <w:p>
      <w:pPr>
        <w:keepNext/>
        <w:spacing w:line="353" w:lineRule="auto"/>
        <w:ind w:firstLine="640"/>
        <w:rPr>
          <w:rFonts w:ascii="仿宋_GB2312" w:hAnsi="Cambria" w:eastAsia="仿宋_GB2312" w:cs="仿宋_GB2312"/>
          <w:sz w:val="32"/>
          <w:szCs w:val="32"/>
          <w:lang w:val="zh-CN"/>
        </w:rPr>
      </w:pPr>
      <w:r>
        <w:rPr>
          <w:rFonts w:hint="eastAsia" w:ascii="仿宋_GB2312" w:eastAsia="仿宋_GB2312" w:cs="Times New Roman"/>
          <w:kern w:val="2"/>
          <w:sz w:val="32"/>
          <w:szCs w:val="32"/>
          <w:lang w:val="zh-CN"/>
        </w:rPr>
        <w:t>该项目资金已在2022年内按相关规定全部使用，资金的支付范围、支付标准、支付依据合法合规与预算相符。</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（三）项目财务管理情况。</w:t>
      </w:r>
    </w:p>
    <w:p>
      <w:pPr>
        <w:keepNext/>
        <w:keepLines/>
        <w:spacing w:line="353" w:lineRule="auto"/>
        <w:ind w:firstLine="640"/>
        <w:rPr>
          <w:rFonts w:ascii="仿宋_GB2312" w:hAnsi="Cambria" w:eastAsia="仿宋_GB2312" w:cs="仿宋_GB2312"/>
          <w:sz w:val="32"/>
          <w:szCs w:val="32"/>
          <w:lang w:val="zh-CN"/>
        </w:rPr>
      </w:pPr>
      <w:r>
        <w:rPr>
          <w:rFonts w:ascii="仿宋_GB2312" w:hAnsi="宋体" w:eastAsia="仿宋_GB2312"/>
          <w:sz w:val="32"/>
          <w:szCs w:val="32"/>
          <w:lang w:val="zh-CN"/>
        </w:rPr>
        <w:t>财务管理制度健全，严格执行财务管理制度，账务处理及时，会计核算规范</w:t>
      </w:r>
      <w:r>
        <w:rPr>
          <w:rFonts w:hint="eastAsia" w:ascii="仿宋_GB2312" w:hAnsi="Cambria" w:eastAsia="仿宋_GB2312" w:cs="仿宋_GB2312"/>
          <w:sz w:val="32"/>
          <w:szCs w:val="32"/>
          <w:lang w:val="zh-CN"/>
        </w:rPr>
        <w:t>。</w:t>
      </w:r>
    </w:p>
    <w:p>
      <w:pPr>
        <w:keepNext/>
        <w:keepLines/>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三、项目实施及管理情况</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结合项目组织实施管理办法，重点围绕以下内容进行分析评价，并对自评中发现的问题分析说明。</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（一）项目组织架构及实施流程。</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1．区财政根据预算项目批复，下达项目经费，预算单位进行项目实施计划。</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2．资金支付时根据实际情况，报分管领导审批同意，呈报主要负责人审核并批复同意支付。</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（二）项目管理情况。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项目是区财政纳入年度预算，我局严格安照项目要求及财经法律法规等要求落实的。</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（三）项目监管情况。</w:t>
      </w:r>
    </w:p>
    <w:p>
      <w:pPr>
        <w:keepNext/>
        <w:keepLines/>
        <w:spacing w:line="353" w:lineRule="auto"/>
        <w:ind w:firstLine="720"/>
        <w:jc w:val="both"/>
        <w:rPr>
          <w:rFonts w:ascii="仿宋_GB2312" w:hAnsi="Cambria" w:eastAsia="仿宋_GB2312" w:cs="仿宋_GB2312"/>
          <w:sz w:val="32"/>
          <w:szCs w:val="32"/>
          <w:lang w:val="zh-CN"/>
        </w:rPr>
      </w:pPr>
      <w:r>
        <w:rPr>
          <w:rFonts w:hint="eastAsia" w:ascii="仿宋_GB2312" w:hAnsi="宋体" w:eastAsia="仿宋_GB2312"/>
          <w:sz w:val="32"/>
          <w:szCs w:val="32"/>
          <w:lang w:val="zh-CN"/>
        </w:rPr>
        <w:t>项目完成情况每年都要向财政部门填写相关的绩效分析评价，并上报相关对口管理部门检查。</w:t>
      </w:r>
    </w:p>
    <w:p>
      <w:pPr>
        <w:keepNext/>
        <w:keepLines/>
        <w:spacing w:line="353" w:lineRule="auto"/>
        <w:ind w:firstLine="720"/>
        <w:jc w:val="both"/>
        <w:rPr>
          <w:rFonts w:ascii="仿宋_GB2312" w:hAnsi="Cambria" w:eastAsia="仿宋_GB2312" w:cs="仿宋_GB2312"/>
          <w:kern w:val="2"/>
          <w:sz w:val="32"/>
          <w:szCs w:val="32"/>
          <w:lang w:val="zh-CN"/>
        </w:rPr>
      </w:pPr>
      <w:r>
        <w:rPr>
          <w:rFonts w:hint="eastAsia" w:ascii="黑体" w:hAnsi="Cambria" w:eastAsia="黑体" w:cs="黑体"/>
          <w:kern w:val="2"/>
          <w:sz w:val="32"/>
          <w:szCs w:val="32"/>
        </w:rPr>
        <w:t>四、项目绩效情况</w:t>
      </w:r>
      <w:r>
        <w:rPr>
          <w:rFonts w:ascii="宋体" w:hAnsi="Cambria" w:eastAsia="宋体" w:cs="宋体"/>
          <w:kern w:val="2"/>
          <w:sz w:val="32"/>
          <w:szCs w:val="32"/>
          <w:lang w:val="zh-CN"/>
        </w:rPr>
        <w:tab/>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（一）项目完成情况。</w:t>
      </w:r>
    </w:p>
    <w:p>
      <w:pPr>
        <w:keepNext/>
        <w:keepLines/>
        <w:spacing w:line="353" w:lineRule="auto"/>
        <w:ind w:firstLine="720"/>
        <w:jc w:val="both"/>
        <w:rPr>
          <w:rFonts w:ascii="仿宋_GB2312" w:hAnsi="宋体" w:eastAsia="仿宋_GB2312"/>
          <w:sz w:val="32"/>
          <w:szCs w:val="32"/>
          <w:lang w:val="zh-CN"/>
        </w:rPr>
      </w:pPr>
      <w:r>
        <w:rPr>
          <w:rFonts w:hint="eastAsia" w:ascii="仿宋_GB2312" w:hAnsi="宋体" w:eastAsia="仿宋_GB2312"/>
          <w:sz w:val="32"/>
          <w:szCs w:val="32"/>
          <w:lang w:val="zh-CN"/>
        </w:rPr>
        <w:t>1．</w:t>
      </w:r>
      <w:r>
        <w:rPr>
          <w:rFonts w:ascii="仿宋_GB2312" w:hAnsi="宋体" w:eastAsia="仿宋_GB2312"/>
          <w:sz w:val="32"/>
          <w:szCs w:val="32"/>
          <w:lang w:val="zh-CN"/>
        </w:rPr>
        <w:t>数量指标：</w:t>
      </w:r>
      <w:r>
        <w:rPr>
          <w:rFonts w:hint="eastAsia" w:ascii="仿宋_GB2312" w:hAnsi="宋体" w:eastAsia="仿宋_GB2312"/>
          <w:sz w:val="32"/>
          <w:szCs w:val="32"/>
          <w:lang w:val="zh-CN"/>
        </w:rPr>
        <w:t>2个片区，新源路社区和阳城社区</w:t>
      </w:r>
      <w:r>
        <w:rPr>
          <w:rFonts w:ascii="仿宋_GB2312" w:hAnsi="宋体" w:eastAsia="仿宋_GB2312"/>
          <w:sz w:val="32"/>
          <w:szCs w:val="32"/>
          <w:lang w:val="zh-CN"/>
        </w:rPr>
        <w:t>。</w:t>
      </w:r>
    </w:p>
    <w:p>
      <w:pPr>
        <w:keepNext/>
        <w:keepLines/>
        <w:spacing w:line="353" w:lineRule="auto"/>
        <w:ind w:firstLine="720"/>
        <w:jc w:val="both"/>
        <w:rPr>
          <w:rFonts w:ascii="仿宋_GB2312" w:hAnsi="宋体" w:eastAsia="仿宋_GB2312"/>
          <w:sz w:val="32"/>
          <w:szCs w:val="32"/>
          <w:lang w:val="zh-CN"/>
        </w:rPr>
      </w:pPr>
      <w:r>
        <w:rPr>
          <w:rFonts w:hint="eastAsia" w:ascii="仿宋_GB2312" w:hAnsi="宋体" w:eastAsia="仿宋_GB2312"/>
          <w:sz w:val="32"/>
          <w:szCs w:val="32"/>
          <w:lang w:val="zh-CN"/>
        </w:rPr>
        <w:t>2．</w:t>
      </w:r>
      <w:r>
        <w:rPr>
          <w:rFonts w:ascii="仿宋_GB2312" w:hAnsi="宋体" w:eastAsia="仿宋_GB2312"/>
          <w:sz w:val="32"/>
          <w:szCs w:val="32"/>
          <w:lang w:val="zh-CN"/>
        </w:rPr>
        <w:t>质量指标：</w:t>
      </w:r>
      <w:r>
        <w:rPr>
          <w:rFonts w:hint="eastAsia" w:ascii="仿宋_GB2312" w:hAnsi="宋体" w:eastAsia="仿宋_GB2312"/>
          <w:sz w:val="32"/>
          <w:szCs w:val="32"/>
          <w:lang w:val="zh-CN"/>
        </w:rPr>
        <w:t>80栋建筑物进行夜间亮化氛围营造。</w:t>
      </w:r>
    </w:p>
    <w:p>
      <w:pPr>
        <w:keepNext/>
        <w:keepLines/>
        <w:spacing w:line="353" w:lineRule="auto"/>
        <w:ind w:firstLine="720"/>
        <w:jc w:val="both"/>
        <w:rPr>
          <w:rFonts w:ascii="仿宋_GB2312" w:hAnsi="宋体" w:eastAsia="仿宋_GB2312"/>
          <w:sz w:val="32"/>
          <w:szCs w:val="32"/>
          <w:lang w:val="zh-CN"/>
        </w:rPr>
      </w:pPr>
      <w:r>
        <w:rPr>
          <w:rFonts w:hint="eastAsia" w:ascii="仿宋_GB2312" w:hAnsi="宋体" w:eastAsia="仿宋_GB2312"/>
          <w:sz w:val="32"/>
          <w:szCs w:val="32"/>
          <w:lang w:val="zh-CN"/>
        </w:rPr>
        <w:t>3．</w:t>
      </w:r>
      <w:r>
        <w:rPr>
          <w:rFonts w:ascii="仿宋_GB2312" w:hAnsi="宋体" w:eastAsia="仿宋_GB2312"/>
          <w:sz w:val="32"/>
          <w:szCs w:val="32"/>
          <w:lang w:val="zh-CN"/>
        </w:rPr>
        <w:t>时效指标：项目实施时间为202</w:t>
      </w:r>
      <w:r>
        <w:rPr>
          <w:rFonts w:hint="eastAsia" w:ascii="仿宋_GB2312" w:hAnsi="宋体" w:eastAsia="仿宋_GB2312"/>
          <w:sz w:val="32"/>
          <w:szCs w:val="32"/>
          <w:lang w:val="zh-CN"/>
        </w:rPr>
        <w:t>2</w:t>
      </w:r>
      <w:r>
        <w:rPr>
          <w:rFonts w:ascii="仿宋_GB2312" w:hAnsi="宋体" w:eastAsia="仿宋_GB2312"/>
          <w:sz w:val="32"/>
          <w:szCs w:val="32"/>
          <w:lang w:val="zh-CN"/>
        </w:rPr>
        <w:t>年</w:t>
      </w:r>
      <w:r>
        <w:rPr>
          <w:rFonts w:hint="eastAsia" w:ascii="仿宋_GB2312" w:hAnsi="宋体" w:eastAsia="仿宋_GB2312"/>
          <w:sz w:val="32"/>
          <w:szCs w:val="32"/>
          <w:lang w:val="zh-CN"/>
        </w:rPr>
        <w:t>全年</w:t>
      </w:r>
      <w:r>
        <w:rPr>
          <w:rFonts w:ascii="仿宋_GB2312" w:hAnsi="宋体" w:eastAsia="仿宋_GB2312"/>
          <w:sz w:val="32"/>
          <w:szCs w:val="32"/>
          <w:lang w:val="zh-CN"/>
        </w:rPr>
        <w:t>。</w:t>
      </w:r>
    </w:p>
    <w:p>
      <w:pPr>
        <w:keepNext/>
        <w:keepLines/>
        <w:spacing w:line="353" w:lineRule="auto"/>
        <w:ind w:firstLine="720"/>
        <w:jc w:val="both"/>
        <w:rPr>
          <w:rFonts w:ascii="仿宋_GB2312" w:hAnsi="宋体" w:eastAsia="仿宋_GB2312"/>
          <w:sz w:val="32"/>
          <w:szCs w:val="32"/>
          <w:lang w:val="zh-CN"/>
        </w:rPr>
      </w:pPr>
      <w:r>
        <w:rPr>
          <w:rFonts w:hint="eastAsia" w:ascii="仿宋_GB2312" w:hAnsi="宋体" w:eastAsia="仿宋_GB2312"/>
          <w:sz w:val="32"/>
          <w:szCs w:val="32"/>
          <w:lang w:val="zh-CN"/>
        </w:rPr>
        <w:t>4．</w:t>
      </w:r>
      <w:r>
        <w:rPr>
          <w:rFonts w:ascii="仿宋_GB2312" w:hAnsi="宋体" w:eastAsia="仿宋_GB2312"/>
          <w:sz w:val="32"/>
          <w:szCs w:val="32"/>
          <w:lang w:val="zh-CN"/>
        </w:rPr>
        <w:t>成本指标：</w:t>
      </w:r>
      <w:r>
        <w:rPr>
          <w:rFonts w:hint="eastAsia" w:ascii="仿宋_GB2312" w:hAnsi="宋体" w:eastAsia="仿宋_GB2312"/>
          <w:sz w:val="32"/>
          <w:szCs w:val="32"/>
          <w:lang w:val="zh-CN"/>
        </w:rPr>
        <w:t>385.95</w:t>
      </w:r>
      <w:r>
        <w:rPr>
          <w:rFonts w:ascii="仿宋_GB2312" w:hAnsi="宋体" w:eastAsia="仿宋_GB2312"/>
          <w:sz w:val="32"/>
          <w:szCs w:val="32"/>
          <w:lang w:val="zh-CN"/>
        </w:rPr>
        <w:t>万元。</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（二）项目效益情况。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sz w:val="32"/>
          <w:szCs w:val="32"/>
          <w:lang w:val="zh-CN"/>
        </w:rPr>
        <w:t>1．</w:t>
      </w:r>
      <w:r>
        <w:rPr>
          <w:rFonts w:ascii="仿宋_GB2312" w:hAnsi="宋体" w:eastAsia="仿宋_GB2312"/>
          <w:sz w:val="32"/>
          <w:szCs w:val="32"/>
          <w:lang w:val="zh-CN"/>
        </w:rPr>
        <w:t>社会效益指标：景观亮化，营造美好的生活环境。</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sz w:val="32"/>
          <w:szCs w:val="32"/>
          <w:lang w:val="zh-CN"/>
        </w:rPr>
        <w:t>2．</w:t>
      </w:r>
      <w:r>
        <w:rPr>
          <w:rFonts w:ascii="仿宋_GB2312" w:hAnsi="宋体" w:eastAsia="仿宋_GB2312"/>
          <w:sz w:val="32"/>
          <w:szCs w:val="32"/>
          <w:lang w:val="zh-CN"/>
        </w:rPr>
        <w:t>可持续影响指标：景观亮化，营造美好的生活环境。</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sz w:val="32"/>
          <w:szCs w:val="32"/>
          <w:lang w:val="zh-CN"/>
        </w:rPr>
        <w:t>3．</w:t>
      </w:r>
      <w:r>
        <w:rPr>
          <w:rFonts w:ascii="仿宋_GB2312" w:hAnsi="宋体" w:eastAsia="仿宋_GB2312"/>
          <w:sz w:val="32"/>
          <w:szCs w:val="32"/>
          <w:lang w:val="zh-CN"/>
        </w:rPr>
        <w:t>满意度指标：</w:t>
      </w:r>
      <w:r>
        <w:rPr>
          <w:rFonts w:hint="eastAsia" w:ascii="仿宋_GB2312" w:hAnsi="宋体" w:eastAsia="仿宋_GB2312"/>
          <w:sz w:val="32"/>
          <w:szCs w:val="32"/>
          <w:lang w:val="zh-CN"/>
        </w:rPr>
        <w:t>服务对象和主管部门满意度大于95%</w:t>
      </w:r>
      <w:r>
        <w:rPr>
          <w:rFonts w:ascii="仿宋_GB2312" w:hAnsi="宋体" w:eastAsia="仿宋_GB2312"/>
          <w:sz w:val="32"/>
          <w:szCs w:val="32"/>
          <w:lang w:val="zh-CN"/>
        </w:rPr>
        <w:t>。</w:t>
      </w:r>
    </w:p>
    <w:p>
      <w:pPr>
        <w:keepNext/>
        <w:keepLines/>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五、评价结论及建议</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（一）评价结论。</w:t>
      </w:r>
    </w:p>
    <w:p>
      <w:pPr>
        <w:keepNext/>
        <w:keepLines/>
        <w:spacing w:line="353" w:lineRule="auto"/>
        <w:ind w:firstLine="640"/>
        <w:rPr>
          <w:rFonts w:ascii="仿宋_GB2312" w:hAnsi="Cambria" w:eastAsia="仿宋_GB2312" w:cs="仿宋_GB2312"/>
          <w:sz w:val="32"/>
          <w:szCs w:val="32"/>
          <w:lang w:val="zh-CN"/>
        </w:rPr>
      </w:pPr>
      <w:r>
        <w:rPr>
          <w:rFonts w:ascii="Times New Roman" w:hAnsi="Times New Roman" w:eastAsia="仿宋_GB2312" w:cs="Times New Roman"/>
          <w:sz w:val="32"/>
          <w:szCs w:val="32"/>
          <w:lang w:val="zh-CN"/>
        </w:rPr>
        <w:t>2022年攀枝花市东区综合行政执法局自我绩效评价为：优秀。评价得分：</w:t>
      </w:r>
      <w:r>
        <w:rPr>
          <w:rFonts w:hint="eastAsia" w:ascii="Times New Roman" w:hAnsi="Times New Roman" w:eastAsia="仿宋_GB2312" w:cs="Times New Roman"/>
          <w:sz w:val="32"/>
          <w:szCs w:val="32"/>
        </w:rPr>
        <w:t>通用指标40分，共性指标20分，特性指标30分，个性指标10分，扣分项0分，合计100分。</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（二）存在的问题。</w:t>
      </w:r>
    </w:p>
    <w:p>
      <w:pPr>
        <w:keepNext/>
        <w:keepLines/>
        <w:spacing w:line="353" w:lineRule="auto"/>
        <w:ind w:firstLine="640"/>
        <w:rPr>
          <w:rFonts w:ascii="仿宋_GB2312" w:hAnsi="Cambria" w:eastAsia="仿宋_GB2312" w:cs="仿宋_GB2312"/>
          <w:sz w:val="32"/>
          <w:szCs w:val="32"/>
        </w:rPr>
      </w:pPr>
      <w:r>
        <w:rPr>
          <w:rFonts w:eastAsia="仿宋_GB2312"/>
          <w:sz w:val="32"/>
          <w:szCs w:val="32"/>
        </w:rPr>
        <w:t>随着城市的发展，文明的进度，辖区居民对夜间景观、城市亮化期盼越来越高，一定程度上造成财政资金压力。</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（三）相关建议。</w:t>
      </w:r>
    </w:p>
    <w:p>
      <w:pPr>
        <w:keepNext/>
        <w:keepLines/>
        <w:spacing w:line="353" w:lineRule="auto"/>
        <w:ind w:firstLine="720"/>
        <w:jc w:val="both"/>
        <w:rPr>
          <w:rFonts w:ascii="楷体_GB2312" w:hAnsi="Cambria" w:eastAsia="楷体_GB2312" w:cs="楷体_GB2312"/>
          <w:bCs/>
          <w:kern w:val="2"/>
          <w:sz w:val="32"/>
          <w:szCs w:val="32"/>
          <w:lang w:val="zh-CN"/>
        </w:rPr>
      </w:pPr>
      <w:r>
        <w:rPr>
          <w:rFonts w:hint="eastAsia" w:ascii="楷体_GB2312" w:hAnsi="Cambria" w:eastAsia="楷体_GB2312" w:cs="楷体_GB2312"/>
          <w:bCs/>
          <w:kern w:val="2"/>
          <w:sz w:val="32"/>
          <w:szCs w:val="32"/>
          <w:lang w:val="zh-CN"/>
        </w:rPr>
        <w:t>无。</w:t>
      </w:r>
    </w:p>
    <w:p>
      <w:pPr>
        <w:keepNext/>
        <w:keepLines/>
        <w:spacing w:line="353" w:lineRule="auto"/>
        <w:rPr>
          <w:rFonts w:ascii="黑体" w:hAnsi="Cambria" w:eastAsia="黑体" w:cs="黑体"/>
          <w:kern w:val="44"/>
          <w:sz w:val="44"/>
          <w:szCs w:val="44"/>
        </w:rPr>
      </w:pPr>
    </w:p>
    <w:p>
      <w:pPr>
        <w:keepNext/>
        <w:keepLines/>
        <w:spacing w:line="353" w:lineRule="auto"/>
        <w:rPr>
          <w:rFonts w:ascii="黑体" w:hAnsi="Cambria" w:eastAsia="黑体" w:cs="黑体"/>
          <w:kern w:val="44"/>
          <w:sz w:val="44"/>
          <w:szCs w:val="44"/>
        </w:rPr>
      </w:pPr>
    </w:p>
    <w:p>
      <w:pPr>
        <w:keepNext/>
        <w:keepLines/>
        <w:spacing w:line="353" w:lineRule="auto"/>
        <w:rPr>
          <w:rFonts w:ascii="黑体" w:hAnsi="Cambria" w:eastAsia="黑体" w:cs="黑体"/>
          <w:kern w:val="44"/>
          <w:sz w:val="44"/>
          <w:szCs w:val="44"/>
        </w:rPr>
      </w:pPr>
    </w:p>
    <w:p>
      <w:pPr>
        <w:keepNext/>
        <w:keepLines/>
        <w:spacing w:line="353" w:lineRule="auto"/>
        <w:rPr>
          <w:rFonts w:ascii="黑体" w:hAnsi="Cambria" w:eastAsia="黑体" w:cs="黑体"/>
          <w:kern w:val="44"/>
          <w:sz w:val="44"/>
          <w:szCs w:val="44"/>
        </w:rPr>
      </w:pPr>
    </w:p>
    <w:p>
      <w:pPr>
        <w:keepNext/>
        <w:keepLines/>
        <w:spacing w:line="353" w:lineRule="auto"/>
        <w:rPr>
          <w:rFonts w:ascii="黑体" w:hAnsi="Cambria" w:eastAsia="黑体" w:cs="黑体"/>
          <w:kern w:val="44"/>
          <w:sz w:val="44"/>
          <w:szCs w:val="44"/>
        </w:rPr>
      </w:pPr>
    </w:p>
    <w:p>
      <w:pPr>
        <w:keepNext/>
        <w:keepLines/>
        <w:spacing w:line="353" w:lineRule="auto"/>
        <w:rPr>
          <w:rFonts w:ascii="仿宋_GB2312" w:hAnsi="Cambria" w:eastAsia="仿宋_GB2312" w:cs="仿宋_GB2312"/>
          <w:sz w:val="32"/>
          <w:szCs w:val="32"/>
        </w:rPr>
      </w:pPr>
    </w:p>
    <w:p>
      <w:pPr>
        <w:keepNext/>
        <w:keepLines/>
        <w:spacing w:line="353" w:lineRule="auto"/>
        <w:rPr>
          <w:rFonts w:ascii="仿宋_GB2312" w:hAnsi="Cambria" w:eastAsia="仿宋_GB2312" w:cs="仿宋_GB2312"/>
          <w:sz w:val="32"/>
          <w:szCs w:val="32"/>
        </w:rPr>
      </w:pPr>
      <w:r>
        <w:rPr>
          <w:rFonts w:hint="eastAsia" w:ascii="仿宋_GB2312" w:hAnsi="Cambria" w:eastAsia="仿宋_GB2312" w:cs="仿宋_GB2312"/>
          <w:sz w:val="32"/>
          <w:szCs w:val="32"/>
          <w:lang w:val="zh-CN"/>
        </w:rPr>
        <w:t>附件</w:t>
      </w:r>
      <w:r>
        <w:rPr>
          <w:rFonts w:ascii="仿宋_GB2312" w:hAnsi="Cambria" w:eastAsia="仿宋_GB2312" w:cs="仿宋_GB2312"/>
          <w:sz w:val="32"/>
          <w:szCs w:val="32"/>
        </w:rPr>
        <w:t>2</w:t>
      </w:r>
    </w:p>
    <w:p>
      <w:pPr>
        <w:keepNext/>
        <w:keepLines/>
        <w:spacing w:line="353" w:lineRule="auto"/>
        <w:jc w:val="center"/>
        <w:rPr>
          <w:rFonts w:hAnsi="Cambria" w:cs="方正小标宋简体"/>
          <w:kern w:val="2"/>
          <w:sz w:val="44"/>
          <w:szCs w:val="44"/>
        </w:rPr>
      </w:pPr>
      <w:r>
        <w:rPr>
          <w:rFonts w:hAnsi="Cambria" w:cs="方正小标宋简体"/>
          <w:kern w:val="2"/>
          <w:sz w:val="44"/>
          <w:szCs w:val="44"/>
        </w:rPr>
        <w:t>2022年预算项目绩效自评报告</w:t>
      </w:r>
    </w:p>
    <w:p>
      <w:pPr>
        <w:keepNext/>
        <w:keepLines/>
        <w:spacing w:line="353" w:lineRule="auto"/>
        <w:ind w:firstLine="640"/>
        <w:jc w:val="center"/>
        <w:rPr>
          <w:rFonts w:ascii="宋体" w:hAnsi="Cambria" w:eastAsia="宋体" w:cs="宋体"/>
          <w:kern w:val="2"/>
          <w:sz w:val="32"/>
          <w:szCs w:val="32"/>
          <w:lang w:val="zh-CN"/>
        </w:rPr>
      </w:pPr>
      <w:r>
        <w:rPr>
          <w:rFonts w:ascii="宋体" w:hAnsi="Cambria" w:eastAsia="宋体" w:cs="宋体"/>
          <w:kern w:val="2"/>
          <w:sz w:val="32"/>
          <w:szCs w:val="32"/>
          <w:lang w:val="zh-CN"/>
        </w:rPr>
        <w:t>（</w:t>
      </w:r>
      <w:r>
        <w:rPr>
          <w:rFonts w:ascii="仿宋_GB2312" w:hAnsi="宋体" w:eastAsia="仿宋_GB2312" w:cs="Times New Roman"/>
          <w:sz w:val="32"/>
          <w:szCs w:val="32"/>
          <w:lang w:val="zh-CN"/>
        </w:rPr>
        <w:t>综合执法工作经费</w:t>
      </w:r>
      <w:r>
        <w:rPr>
          <w:rFonts w:ascii="宋体" w:hAnsi="Cambria" w:eastAsia="宋体" w:cs="宋体"/>
          <w:kern w:val="2"/>
          <w:sz w:val="32"/>
          <w:szCs w:val="32"/>
          <w:lang w:val="zh-CN"/>
        </w:rPr>
        <w:t>）</w:t>
      </w:r>
    </w:p>
    <w:p>
      <w:pPr>
        <w:keepNext/>
        <w:keepLines/>
        <w:spacing w:line="353" w:lineRule="auto"/>
        <w:ind w:firstLine="720"/>
        <w:jc w:val="both"/>
        <w:rPr>
          <w:rFonts w:ascii="黑体" w:hAnsi="Cambria" w:eastAsia="黑体" w:cs="黑体"/>
          <w:kern w:val="2"/>
          <w:sz w:val="32"/>
          <w:szCs w:val="32"/>
          <w:lang w:val="zh-CN"/>
        </w:rPr>
      </w:pPr>
      <w:r>
        <w:rPr>
          <w:rFonts w:hint="eastAsia" w:ascii="黑体" w:hAnsi="Cambria" w:eastAsia="黑体" w:cs="黑体"/>
          <w:kern w:val="2"/>
          <w:sz w:val="32"/>
          <w:szCs w:val="32"/>
        </w:rPr>
        <w:t>一、</w:t>
      </w:r>
      <w:r>
        <w:rPr>
          <w:rFonts w:hint="eastAsia" w:ascii="黑体" w:hAnsi="Cambria" w:eastAsia="黑体" w:cs="黑体"/>
          <w:kern w:val="2"/>
          <w:sz w:val="32"/>
          <w:szCs w:val="32"/>
          <w:lang w:val="zh-CN"/>
        </w:rPr>
        <w:t>项目概况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（一）项目基本情况。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cs="Times New Roman"/>
          <w:sz w:val="32"/>
          <w:szCs w:val="32"/>
          <w:lang w:val="zh-CN"/>
        </w:rPr>
        <w:t>1．攀枝花市东区</w:t>
      </w:r>
      <w:r>
        <w:rPr>
          <w:rFonts w:hint="eastAsia" w:ascii="仿宋_GB2312" w:hAnsi="Calibri" w:eastAsia="仿宋_GB2312" w:cs="Times New Roman"/>
          <w:sz w:val="32"/>
          <w:szCs w:val="32"/>
          <w:lang w:val="zh-CN"/>
        </w:rPr>
        <w:t>综合行政执法局</w:t>
      </w:r>
      <w:r>
        <w:rPr>
          <w:rFonts w:hint="eastAsia" w:ascii="仿宋_GB2312" w:hAnsi="宋体" w:eastAsia="仿宋_GB2312" w:cs="Times New Roman"/>
          <w:sz w:val="32"/>
          <w:szCs w:val="32"/>
          <w:lang w:val="zh-CN"/>
        </w:rPr>
        <w:t>是该项目的具体实施主体。</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cs="Times New Roman"/>
          <w:sz w:val="32"/>
          <w:szCs w:val="32"/>
          <w:lang w:val="zh-CN"/>
        </w:rPr>
        <w:t>2．项目立项、资金申报的依据：开展规划建设类综合执法。</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cs="Times New Roman"/>
          <w:sz w:val="32"/>
          <w:szCs w:val="32"/>
          <w:lang w:val="zh-CN"/>
        </w:rPr>
        <w:t>3．资金管理办法制定情况，资金支持具体项目的条件、范围与支持方式概况：</w:t>
      </w:r>
      <w:r>
        <w:rPr>
          <w:rFonts w:hint="eastAsia" w:ascii="仿宋_GB2312" w:hAnsi="Calibri" w:eastAsia="仿宋_GB2312" w:cs="Times New Roman"/>
          <w:sz w:val="32"/>
          <w:szCs w:val="32"/>
        </w:rPr>
        <w:t>对</w:t>
      </w:r>
      <w:r>
        <w:rPr>
          <w:rFonts w:hint="eastAsia" w:ascii="仿宋_GB2312" w:hAnsi="宋体" w:eastAsia="仿宋_GB2312" w:cs="Times New Roman"/>
          <w:sz w:val="32"/>
          <w:szCs w:val="32"/>
        </w:rPr>
        <w:t>绿园生态火锅，</w:t>
      </w:r>
      <w:r>
        <w:rPr>
          <w:rFonts w:hint="eastAsia" w:ascii="仿宋_GB2312" w:hAnsi="Calibri" w:eastAsia="仿宋_GB2312" w:cs="Times New Roman"/>
          <w:sz w:val="32"/>
          <w:szCs w:val="32"/>
        </w:rPr>
        <w:t>周代林、毛一久、胡长友三户在公山湾违法建设房屋依法进行拆除，面积约为1950平方米，产生费用92300元；支付2022年律师费7700元。</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cs="Times New Roman"/>
          <w:sz w:val="32"/>
          <w:szCs w:val="32"/>
          <w:lang w:val="zh-CN"/>
        </w:rPr>
        <w:t>4．资金分配的原则及考虑因素：开展规划建设类综合执法，依法拆除辖区内违法修建的建（构）筑物。</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（二）项目绩效目标。</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宋体" w:eastAsia="仿宋_GB2312" w:cs="Times New Roman"/>
          <w:sz w:val="32"/>
          <w:szCs w:val="32"/>
          <w:lang w:val="zh-CN"/>
        </w:rPr>
        <w:t>1．项目主要内容：开展规划建设类综合执法，依法拆除辖区内违法修建的建（构）筑物。</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宋体" w:eastAsia="仿宋_GB2312" w:cs="Times New Roman"/>
          <w:sz w:val="32"/>
          <w:szCs w:val="32"/>
          <w:lang w:val="zh-CN"/>
        </w:rPr>
        <w:t>2．项目应实现的具体绩效目标，开展规划建设类综合执法。</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．分析评价申报内容是否与实际相符，申报目标是否合理可行。</w:t>
      </w:r>
      <w:r>
        <w:rPr>
          <w:rFonts w:hint="eastAsia" w:ascii="仿宋_GB2312" w:hAnsi="宋体" w:eastAsia="仿宋_GB2312" w:cs="Times New Roman"/>
          <w:sz w:val="32"/>
          <w:szCs w:val="32"/>
          <w:lang w:val="zh-CN"/>
        </w:rPr>
        <w:t>通过自评，申报内容与实际相符，申报目标合理可行。</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（三）项目自评步骤及方法。</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Calibri" w:eastAsia="仿宋_GB2312" w:cs="Times New Roman"/>
          <w:kern w:val="2"/>
          <w:sz w:val="32"/>
          <w:szCs w:val="32"/>
          <w:lang w:val="zh-CN"/>
        </w:rPr>
        <w:t>按照区财政下达的项目支出绩效评价指标体系，针对申报内容、实施情况、资金兑现、财务管理、社会效益等做出自我评价。</w:t>
      </w:r>
    </w:p>
    <w:p>
      <w:pPr>
        <w:keepNext/>
        <w:keepLines/>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二、项目资金申报及使用情况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（一）项目资金申报及批复情况。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cs="Times New Roman"/>
          <w:sz w:val="32"/>
          <w:szCs w:val="32"/>
          <w:lang w:val="zh-CN"/>
        </w:rPr>
        <w:t>该项目在上年末进行预算工作时申报，年初区财政下达批复及拨付经费。</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（二）资金计划、到位及使用情况（可用表格形式反映）</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hAnsi="Calibri" w:eastAsia="仿宋_GB2312" w:cs="Times New Roman"/>
          <w:kern w:val="2"/>
          <w:sz w:val="32"/>
          <w:szCs w:val="32"/>
          <w:lang w:val="zh-CN"/>
        </w:rPr>
        <w:t>1．资金计划。</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hAnsi="Calibri" w:eastAsia="仿宋_GB2312" w:cs="Times New Roman"/>
          <w:kern w:val="2"/>
          <w:sz w:val="32"/>
          <w:szCs w:val="32"/>
          <w:lang w:val="zh-CN"/>
        </w:rPr>
        <w:t>该项目属区级预算项目经费。</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hAnsi="Calibri" w:eastAsia="仿宋_GB2312" w:cs="Times New Roman"/>
          <w:kern w:val="2"/>
          <w:sz w:val="32"/>
          <w:szCs w:val="32"/>
          <w:lang w:val="zh-CN"/>
        </w:rPr>
        <w:t>2．资金到位。</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hAnsi="Calibri" w:eastAsia="仿宋_GB2312" w:cs="Times New Roman"/>
          <w:kern w:val="2"/>
          <w:sz w:val="32"/>
          <w:szCs w:val="32"/>
          <w:lang w:val="zh-CN"/>
        </w:rPr>
        <w:t>已全部到位。</w:t>
      </w:r>
    </w:p>
    <w:p>
      <w:pPr>
        <w:keepNext/>
        <w:keepLines/>
        <w:spacing w:line="353" w:lineRule="auto"/>
        <w:ind w:firstLine="720"/>
        <w:jc w:val="both"/>
        <w:rPr>
          <w:rFonts w:ascii="仿宋_GB2312" w:hAnsi="Cambria" w:eastAsia="仿宋_GB2312" w:cs="仿宋_GB2312"/>
          <w:kern w:val="2"/>
          <w:sz w:val="32"/>
          <w:szCs w:val="32"/>
          <w:lang w:val="zh-CN"/>
        </w:rPr>
      </w:pPr>
      <w:r>
        <w:rPr>
          <w:rFonts w:hint="eastAsia" w:ascii="仿宋_GB2312" w:hAnsi="Calibri" w:eastAsia="仿宋_GB2312" w:cs="Times New Roman"/>
          <w:kern w:val="2"/>
          <w:sz w:val="32"/>
          <w:szCs w:val="32"/>
          <w:lang w:val="zh-CN"/>
        </w:rPr>
        <w:t>3．资金使用。</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Calibri" w:eastAsia="仿宋_GB2312" w:cs="Times New Roman"/>
          <w:kern w:val="2"/>
          <w:sz w:val="32"/>
          <w:szCs w:val="32"/>
          <w:lang w:val="zh-CN"/>
        </w:rPr>
        <w:t>该项目资金已在2022年内按相关规定全部使用，资金的支付范围、支付标准、支付依据合法合规与预算相符。</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（三）项目财务管理情况。</w:t>
      </w:r>
    </w:p>
    <w:p>
      <w:pPr>
        <w:keepNext/>
        <w:keepLines/>
        <w:spacing w:line="353" w:lineRule="auto"/>
        <w:ind w:firstLine="640"/>
        <w:rPr>
          <w:rFonts w:ascii="仿宋_GB2312" w:hAnsi="Cambria" w:eastAsia="仿宋_GB2312" w:cs="仿宋_GB2312"/>
          <w:sz w:val="32"/>
          <w:szCs w:val="32"/>
          <w:lang w:val="zh-CN"/>
        </w:rPr>
      </w:pPr>
      <w:r>
        <w:rPr>
          <w:rFonts w:ascii="仿宋_GB2312" w:hAnsi="宋体" w:eastAsia="仿宋_GB2312" w:cs="Times New Roman"/>
          <w:sz w:val="32"/>
          <w:szCs w:val="32"/>
          <w:lang w:val="zh-CN"/>
        </w:rPr>
        <w:t>财务管理制度健全，严格执行财务管理制度，账务处理及时，会计核算规范</w:t>
      </w:r>
      <w:r>
        <w:rPr>
          <w:rFonts w:hint="eastAsia" w:ascii="仿宋_GB2312" w:hAnsi="宋体" w:eastAsia="仿宋_GB2312" w:cs="Times New Roman"/>
          <w:sz w:val="32"/>
          <w:szCs w:val="32"/>
          <w:lang w:val="zh-CN"/>
        </w:rPr>
        <w:t>。</w:t>
      </w:r>
    </w:p>
    <w:p>
      <w:pPr>
        <w:keepNext/>
        <w:keepLines/>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三、项目实施及管理情况</w:t>
      </w:r>
    </w:p>
    <w:p>
      <w:pPr>
        <w:keepNext/>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结合项目组织实施管理办法，重点围绕以下内容进行分析评价，并对自评中发现的问题分析说明。</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（一）项目组织架构及实施流程。</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hAnsi="Calibri" w:eastAsia="仿宋_GB2312" w:cs="Times New Roman"/>
          <w:kern w:val="2"/>
          <w:sz w:val="32"/>
          <w:szCs w:val="32"/>
          <w:lang w:val="zh-CN"/>
        </w:rPr>
        <w:t>1.区财政根据预算项目批复，下达项目经费，预算单位进行项目实施计划。</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hAnsi="Calibri" w:eastAsia="仿宋_GB2312" w:cs="Times New Roman"/>
          <w:kern w:val="2"/>
          <w:sz w:val="32"/>
          <w:szCs w:val="32"/>
          <w:lang w:val="zh-CN"/>
        </w:rPr>
        <w:t>2.资金支付时根据实际情况，报分管领导审批同意，呈报主要负责人审核并批复同意支付。</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（二）项目管理情况。</w:t>
      </w:r>
    </w:p>
    <w:p>
      <w:pPr>
        <w:keepNext/>
        <w:keepLines/>
        <w:spacing w:line="353" w:lineRule="auto"/>
        <w:ind w:firstLine="720"/>
        <w:jc w:val="both"/>
        <w:rPr>
          <w:rFonts w:ascii="仿宋_GB2312" w:hAnsi="Cambria" w:eastAsia="仿宋_GB2312" w:cs="仿宋_GB2312"/>
          <w:sz w:val="32"/>
          <w:szCs w:val="32"/>
          <w:lang w:val="zh-CN"/>
        </w:rPr>
      </w:pPr>
      <w:r>
        <w:rPr>
          <w:rFonts w:hint="eastAsia" w:ascii="仿宋_GB2312" w:hAnsi="Calibri" w:eastAsia="仿宋_GB2312" w:cs="Times New Roman"/>
          <w:kern w:val="2"/>
          <w:sz w:val="32"/>
          <w:szCs w:val="32"/>
          <w:lang w:val="zh-CN"/>
        </w:rPr>
        <w:t>项目是区财政纳入年度预算，我局严格安照项目要求及财经法律法规等要求落实的。</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（三）项目监管情况。</w:t>
      </w:r>
    </w:p>
    <w:p>
      <w:pPr>
        <w:keepNext/>
        <w:keepLines/>
        <w:spacing w:line="353" w:lineRule="auto"/>
        <w:ind w:firstLine="720"/>
        <w:jc w:val="both"/>
        <w:rPr>
          <w:rFonts w:ascii="仿宋_GB2312" w:hAnsi="Cambria" w:eastAsia="仿宋_GB2312" w:cs="仿宋_GB2312"/>
          <w:sz w:val="32"/>
          <w:szCs w:val="32"/>
          <w:lang w:val="zh-CN"/>
        </w:rPr>
      </w:pPr>
      <w:r>
        <w:rPr>
          <w:rFonts w:hint="eastAsia" w:ascii="仿宋_GB2312" w:hAnsi="Calibri" w:eastAsia="仿宋_GB2312" w:cs="Times New Roman"/>
          <w:kern w:val="2"/>
          <w:sz w:val="32"/>
          <w:szCs w:val="32"/>
          <w:lang w:val="zh-CN"/>
        </w:rPr>
        <w:t>项目完成情况每年都要向财政部门填写相关的绩效分析评价，并上报相关对口管理部门检查。</w:t>
      </w:r>
    </w:p>
    <w:p>
      <w:pPr>
        <w:keepNext/>
        <w:keepLines/>
        <w:spacing w:line="353" w:lineRule="auto"/>
        <w:ind w:firstLine="720"/>
        <w:jc w:val="both"/>
        <w:rPr>
          <w:rFonts w:ascii="仿宋_GB2312" w:hAnsi="Cambria" w:eastAsia="仿宋_GB2312" w:cs="仿宋_GB2312"/>
          <w:kern w:val="2"/>
          <w:sz w:val="32"/>
          <w:szCs w:val="32"/>
          <w:lang w:val="zh-CN"/>
        </w:rPr>
      </w:pPr>
      <w:r>
        <w:rPr>
          <w:rFonts w:hint="eastAsia" w:ascii="黑体" w:hAnsi="Cambria" w:eastAsia="黑体" w:cs="黑体"/>
          <w:kern w:val="2"/>
          <w:sz w:val="32"/>
          <w:szCs w:val="32"/>
        </w:rPr>
        <w:t>四、项目绩效情况</w:t>
      </w:r>
      <w:r>
        <w:rPr>
          <w:rFonts w:ascii="宋体" w:hAnsi="Cambria" w:eastAsia="宋体" w:cs="宋体"/>
          <w:kern w:val="2"/>
          <w:sz w:val="32"/>
          <w:szCs w:val="32"/>
          <w:lang w:val="zh-CN"/>
        </w:rPr>
        <w:tab/>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（一）项目完成情况。</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hAnsi="Calibri" w:eastAsia="仿宋_GB2312" w:cs="Times New Roman"/>
          <w:kern w:val="2"/>
          <w:sz w:val="32"/>
          <w:szCs w:val="32"/>
          <w:lang w:val="zh-CN"/>
        </w:rPr>
        <w:t>1.数量指标：</w:t>
      </w:r>
      <w:r>
        <w:rPr>
          <w:rFonts w:ascii="仿宋_GB2312" w:hAnsi="Calibri" w:eastAsia="仿宋_GB2312" w:cs="Times New Roman"/>
          <w:kern w:val="2"/>
          <w:sz w:val="32"/>
          <w:szCs w:val="32"/>
          <w:lang w:val="zh-CN"/>
        </w:rPr>
        <w:t>拆违</w:t>
      </w:r>
      <w:r>
        <w:rPr>
          <w:rFonts w:hint="eastAsia" w:ascii="仿宋_GB2312" w:hAnsi="Calibri" w:eastAsia="仿宋_GB2312" w:cs="Times New Roman"/>
          <w:kern w:val="2"/>
          <w:sz w:val="32"/>
          <w:szCs w:val="32"/>
          <w:lang w:val="zh-CN"/>
        </w:rPr>
        <w:t>2</w:t>
      </w:r>
      <w:r>
        <w:rPr>
          <w:rFonts w:ascii="仿宋_GB2312" w:hAnsi="Calibri" w:eastAsia="仿宋_GB2312" w:cs="Times New Roman"/>
          <w:kern w:val="2"/>
          <w:sz w:val="32"/>
          <w:szCs w:val="32"/>
          <w:lang w:val="zh-CN"/>
        </w:rPr>
        <w:t>处，分别为：</w:t>
      </w:r>
      <w:r>
        <w:rPr>
          <w:rFonts w:hint="eastAsia" w:ascii="仿宋_GB2312" w:hAnsi="Calibri" w:eastAsia="仿宋_GB2312" w:cs="Times New Roman"/>
          <w:sz w:val="32"/>
          <w:szCs w:val="32"/>
        </w:rPr>
        <w:t>绿园生态火锅,</w:t>
      </w:r>
      <w:r>
        <w:rPr>
          <w:rFonts w:hint="eastAsia" w:ascii="仿宋_GB2312" w:hAnsi="Calibri" w:eastAsia="仿宋_GB2312" w:cs="Times New Roman"/>
          <w:kern w:val="2"/>
          <w:sz w:val="32"/>
          <w:szCs w:val="32"/>
          <w:lang w:val="zh-CN"/>
        </w:rPr>
        <w:t>1600平方米，</w:t>
      </w:r>
      <w:r>
        <w:rPr>
          <w:rFonts w:hint="eastAsia" w:ascii="仿宋_GB2312" w:hAnsi="Calibri" w:eastAsia="仿宋_GB2312" w:cs="Times New Roman"/>
          <w:sz w:val="32"/>
          <w:szCs w:val="32"/>
        </w:rPr>
        <w:t>周代林、毛一久、胡长友,</w:t>
      </w:r>
      <w:r>
        <w:rPr>
          <w:rFonts w:hint="eastAsia" w:ascii="仿宋_GB2312" w:hAnsi="Calibri" w:eastAsia="仿宋_GB2312" w:cs="Times New Roman"/>
          <w:kern w:val="2"/>
          <w:sz w:val="32"/>
          <w:szCs w:val="32"/>
          <w:lang w:val="zh-CN"/>
        </w:rPr>
        <w:t>350平方米。</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hAnsi="Calibri" w:eastAsia="仿宋_GB2312" w:cs="Times New Roman"/>
          <w:kern w:val="2"/>
          <w:sz w:val="32"/>
          <w:szCs w:val="32"/>
          <w:lang w:val="zh-CN"/>
        </w:rPr>
        <w:t>2.质量指标：恢复原有规划地貌。</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hAnsi="Calibri" w:eastAsia="仿宋_GB2312" w:cs="Times New Roman"/>
          <w:kern w:val="2"/>
          <w:sz w:val="32"/>
          <w:szCs w:val="32"/>
          <w:lang w:val="zh-CN"/>
        </w:rPr>
        <w:t>3.时效指标：项目实施时间为2022年1月至12月。</w:t>
      </w:r>
    </w:p>
    <w:p>
      <w:pPr>
        <w:keepNext/>
        <w:spacing w:line="353" w:lineRule="auto"/>
        <w:ind w:firstLine="640"/>
        <w:jc w:val="both"/>
        <w:rPr>
          <w:rFonts w:ascii="仿宋_GB2312" w:hAnsi="Cambria" w:eastAsia="仿宋_GB2312" w:cs="仿宋_GB2312"/>
          <w:sz w:val="32"/>
          <w:szCs w:val="32"/>
          <w:lang w:val="zh-CN"/>
        </w:rPr>
      </w:pPr>
      <w:r>
        <w:rPr>
          <w:rFonts w:hint="eastAsia" w:ascii="仿宋_GB2312" w:hAnsi="Calibri" w:eastAsia="仿宋_GB2312" w:cs="Times New Roman"/>
          <w:kern w:val="2"/>
          <w:sz w:val="32"/>
          <w:szCs w:val="32"/>
          <w:lang w:val="zh-CN"/>
        </w:rPr>
        <w:t>4.成本指标：拆违人工费、施工机械（挖掘机租赁）、法律顾问聘用费、技术鉴定费</w:t>
      </w:r>
      <w:r>
        <w:rPr>
          <w:rFonts w:hint="eastAsia" w:ascii="仿宋_GB2312" w:eastAsia="仿宋_GB2312" w:cs="Times New Roman"/>
          <w:kern w:val="2"/>
          <w:sz w:val="32"/>
          <w:szCs w:val="32"/>
          <w:lang w:val="zh-CN"/>
        </w:rPr>
        <w:t>等</w:t>
      </w:r>
      <w:r>
        <w:rPr>
          <w:rFonts w:hint="eastAsia" w:ascii="仿宋_GB2312" w:hAnsi="Calibri" w:eastAsia="仿宋_GB2312" w:cs="Times New Roman"/>
          <w:kern w:val="2"/>
          <w:sz w:val="32"/>
          <w:szCs w:val="32"/>
          <w:lang w:val="zh-CN"/>
        </w:rPr>
        <w:t>10万元。</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（二）项目效益情况。</w:t>
      </w:r>
    </w:p>
    <w:p>
      <w:pPr>
        <w:keepNext/>
        <w:spacing w:line="353" w:lineRule="auto"/>
        <w:ind w:firstLine="720"/>
        <w:jc w:val="both"/>
        <w:rPr>
          <w:rFonts w:ascii="仿宋_GB2312" w:eastAsia="仿宋_GB2312" w:cs="Times New Roman"/>
          <w:kern w:val="2"/>
          <w:sz w:val="32"/>
          <w:szCs w:val="32"/>
          <w:lang w:val="zh-CN"/>
        </w:rPr>
      </w:pPr>
      <w:r>
        <w:rPr>
          <w:rFonts w:hint="eastAsia" w:ascii="仿宋_GB2312" w:hAnsi="Calibri" w:eastAsia="仿宋_GB2312" w:cs="Times New Roman"/>
          <w:kern w:val="2"/>
          <w:sz w:val="32"/>
          <w:szCs w:val="32"/>
          <w:lang w:val="zh-CN"/>
        </w:rPr>
        <w:t>1.社会效益指标：提高公民法律意识，消除社会不稳定因素，共建文明和谐社会。</w:t>
      </w:r>
    </w:p>
    <w:p>
      <w:pPr>
        <w:keepNext/>
        <w:spacing w:line="353" w:lineRule="auto"/>
        <w:ind w:firstLine="720"/>
        <w:jc w:val="both"/>
        <w:rPr>
          <w:rFonts w:ascii="仿宋_GB2312" w:eastAsia="仿宋_GB2312" w:cs="Times New Roman"/>
          <w:kern w:val="2"/>
          <w:sz w:val="32"/>
          <w:szCs w:val="32"/>
          <w:lang w:val="zh-CN"/>
        </w:rPr>
      </w:pPr>
      <w:r>
        <w:rPr>
          <w:rFonts w:hint="eastAsia" w:ascii="仿宋_GB2312" w:hAnsi="Calibri" w:eastAsia="仿宋_GB2312" w:cs="Times New Roman"/>
          <w:kern w:val="2"/>
          <w:sz w:val="32"/>
          <w:szCs w:val="32"/>
          <w:lang w:val="zh-CN"/>
        </w:rPr>
        <w:t>2. 生态效益：指标提升城市可利用公共空间。</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hAnsi="Calibri" w:eastAsia="仿宋_GB2312" w:cs="Times New Roman"/>
          <w:kern w:val="2"/>
          <w:sz w:val="32"/>
          <w:szCs w:val="32"/>
          <w:lang w:val="zh-CN"/>
        </w:rPr>
        <w:t>3.可持续影响指标：确保城区规划建设健康、有序地进行。</w:t>
      </w:r>
    </w:p>
    <w:p>
      <w:pPr>
        <w:keepNext/>
        <w:spacing w:line="353" w:lineRule="auto"/>
        <w:ind w:firstLine="720"/>
        <w:jc w:val="both"/>
        <w:rPr>
          <w:rFonts w:ascii="仿宋_GB2312" w:eastAsia="仿宋_GB2312" w:cs="Times New Roman"/>
          <w:kern w:val="2"/>
          <w:sz w:val="32"/>
          <w:szCs w:val="32"/>
          <w:lang w:val="zh-CN"/>
        </w:rPr>
      </w:pPr>
      <w:r>
        <w:rPr>
          <w:rFonts w:hint="eastAsia" w:ascii="仿宋_GB2312" w:hAnsi="Calibri" w:eastAsia="仿宋_GB2312" w:cs="Times New Roman"/>
          <w:kern w:val="2"/>
          <w:sz w:val="32"/>
          <w:szCs w:val="32"/>
          <w:lang w:val="zh-CN"/>
        </w:rPr>
        <w:t>4.服务对象满意度指标：服务对象和主管部门满意度大于</w:t>
      </w:r>
      <w:r>
        <w:rPr>
          <w:rFonts w:hint="eastAsia" w:ascii="仿宋_GB2312" w:eastAsia="仿宋_GB2312" w:cs="Times New Roman"/>
          <w:kern w:val="2"/>
          <w:sz w:val="32"/>
          <w:szCs w:val="32"/>
          <w:lang w:val="zh-CN"/>
        </w:rPr>
        <w:t>95</w:t>
      </w:r>
      <w:r>
        <w:rPr>
          <w:rFonts w:hint="eastAsia" w:ascii="仿宋_GB2312" w:hAnsi="Calibri" w:eastAsia="仿宋_GB2312" w:cs="Times New Roman"/>
          <w:kern w:val="2"/>
          <w:sz w:val="32"/>
          <w:szCs w:val="32"/>
          <w:lang w:val="zh-CN"/>
        </w:rPr>
        <w:t>%。</w:t>
      </w:r>
    </w:p>
    <w:p>
      <w:pPr>
        <w:keepNext/>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五、评价结论及建议</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（一）评价结论。</w:t>
      </w:r>
    </w:p>
    <w:p>
      <w:pPr>
        <w:keepNext/>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2022年攀枝花市东区综合行政执法局自我绩效评价为：优秀。评价得分：通用指标36分，共性指标20分，特性指标29分，个性指标9分，扣分项0分，合计94分。</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（二）存在的问题。</w:t>
      </w:r>
    </w:p>
    <w:p>
      <w:pPr>
        <w:keepNext/>
        <w:spacing w:line="353" w:lineRule="auto"/>
        <w:ind w:firstLine="640"/>
        <w:rPr>
          <w:rFonts w:ascii="仿宋_GB2312" w:hAnsi="Cambria" w:eastAsia="仿宋_GB2312" w:cs="仿宋_GB2312"/>
          <w:sz w:val="32"/>
          <w:szCs w:val="32"/>
        </w:rPr>
      </w:pPr>
      <w:r>
        <w:rPr>
          <w:rFonts w:hint="eastAsia" w:ascii="仿宋_GB2312" w:hAnsi="宋体" w:eastAsia="仿宋_GB2312" w:cs="Times New Roman"/>
          <w:sz w:val="32"/>
          <w:szCs w:val="32"/>
          <w:lang w:val="zh-CN"/>
        </w:rPr>
        <w:t>继续加强市容秩序整治，严格加强考勤管理，进一步规范执法工作，进一步提升城市形象。</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（三）相关建议。</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cs="Times New Roman"/>
          <w:sz w:val="32"/>
          <w:szCs w:val="32"/>
          <w:lang w:val="zh-CN"/>
        </w:rPr>
        <w:t>加强资金监管，制定相应的资金使用计划，使之形成常态机制，加快资金使用进度。</w:t>
      </w:r>
    </w:p>
    <w:p>
      <w:pPr>
        <w:keepNext/>
        <w:keepLines/>
        <w:spacing w:line="353" w:lineRule="auto"/>
        <w:rPr>
          <w:rFonts w:ascii="仿宋_GB2312" w:hAnsi="Cambria" w:eastAsia="仿宋_GB2312" w:cs="仿宋_GB2312"/>
          <w:sz w:val="32"/>
          <w:szCs w:val="32"/>
        </w:rPr>
      </w:pPr>
    </w:p>
    <w:p>
      <w:pPr>
        <w:keepNext/>
        <w:keepLines/>
        <w:spacing w:line="353" w:lineRule="auto"/>
        <w:rPr>
          <w:rFonts w:ascii="仿宋_GB2312" w:hAnsi="Cambria" w:eastAsia="仿宋_GB2312" w:cs="仿宋_GB2312"/>
          <w:sz w:val="32"/>
          <w:szCs w:val="32"/>
        </w:rPr>
      </w:pPr>
    </w:p>
    <w:p>
      <w:pPr>
        <w:keepNext/>
        <w:keepLines/>
        <w:spacing w:line="353" w:lineRule="auto"/>
        <w:rPr>
          <w:rFonts w:ascii="仿宋_GB2312" w:hAnsi="Cambria" w:eastAsia="仿宋_GB2312" w:cs="仿宋_GB2312"/>
          <w:sz w:val="32"/>
          <w:szCs w:val="32"/>
        </w:rPr>
      </w:pPr>
      <w:r>
        <w:rPr>
          <w:rFonts w:hint="eastAsia" w:ascii="仿宋_GB2312" w:hAnsi="Cambria" w:eastAsia="仿宋_GB2312" w:cs="仿宋_GB2312"/>
          <w:sz w:val="32"/>
          <w:szCs w:val="32"/>
          <w:lang w:val="zh-CN"/>
        </w:rPr>
        <w:t>附件</w:t>
      </w:r>
      <w:r>
        <w:rPr>
          <w:rFonts w:ascii="仿宋_GB2312" w:hAnsi="Cambria" w:eastAsia="仿宋_GB2312" w:cs="仿宋_GB2312"/>
          <w:sz w:val="32"/>
          <w:szCs w:val="32"/>
        </w:rPr>
        <w:t>2</w:t>
      </w:r>
    </w:p>
    <w:p>
      <w:pPr>
        <w:keepNext/>
        <w:keepLines/>
        <w:spacing w:line="353" w:lineRule="auto"/>
        <w:jc w:val="center"/>
        <w:rPr>
          <w:rFonts w:hAnsi="Cambria" w:cs="方正小标宋简体"/>
          <w:kern w:val="2"/>
          <w:sz w:val="44"/>
          <w:szCs w:val="44"/>
        </w:rPr>
      </w:pPr>
      <w:r>
        <w:rPr>
          <w:rFonts w:hAnsi="Cambria" w:cs="方正小标宋简体"/>
          <w:kern w:val="2"/>
          <w:sz w:val="44"/>
          <w:szCs w:val="44"/>
        </w:rPr>
        <w:t>202</w:t>
      </w:r>
      <w:r>
        <w:rPr>
          <w:rFonts w:hint="eastAsia" w:hAnsi="Cambria" w:cs="方正小标宋简体"/>
          <w:kern w:val="2"/>
          <w:sz w:val="44"/>
          <w:szCs w:val="44"/>
        </w:rPr>
        <w:t>2年预算项目绩效自评报告</w:t>
      </w:r>
    </w:p>
    <w:p>
      <w:pPr>
        <w:keepNext/>
        <w:keepLines/>
        <w:spacing w:line="353" w:lineRule="auto"/>
        <w:ind w:firstLine="640"/>
        <w:jc w:val="center"/>
        <w:rPr>
          <w:rFonts w:ascii="宋体" w:hAnsi="Cambria" w:eastAsia="宋体" w:cs="宋体"/>
          <w:kern w:val="2"/>
          <w:sz w:val="32"/>
          <w:szCs w:val="32"/>
          <w:lang w:val="zh-CN"/>
        </w:rPr>
      </w:pPr>
      <w:r>
        <w:rPr>
          <w:rFonts w:hint="eastAsia" w:ascii="仿宋_GB2312" w:hAnsi="Cambria" w:eastAsia="仿宋_GB2312" w:cs="仿宋_GB2312"/>
          <w:sz w:val="32"/>
          <w:szCs w:val="32"/>
          <w:lang w:val="zh-CN"/>
        </w:rPr>
        <w:t>（2015年煤气管网建设经费）</w:t>
      </w:r>
    </w:p>
    <w:p>
      <w:pPr>
        <w:keepNext/>
        <w:keepLines/>
        <w:spacing w:line="353" w:lineRule="auto"/>
        <w:ind w:firstLine="720"/>
        <w:jc w:val="both"/>
        <w:rPr>
          <w:rFonts w:ascii="黑体" w:hAnsi="Cambria" w:eastAsia="黑体" w:cs="黑体"/>
          <w:kern w:val="2"/>
          <w:sz w:val="32"/>
          <w:szCs w:val="32"/>
          <w:lang w:val="zh-CN"/>
        </w:rPr>
      </w:pPr>
      <w:r>
        <w:rPr>
          <w:rFonts w:hint="eastAsia" w:ascii="黑体" w:hAnsi="Cambria" w:eastAsia="黑体" w:cs="黑体"/>
          <w:kern w:val="2"/>
          <w:sz w:val="32"/>
          <w:szCs w:val="32"/>
        </w:rPr>
        <w:t>一、</w:t>
      </w:r>
      <w:r>
        <w:rPr>
          <w:rFonts w:hint="eastAsia" w:ascii="黑体" w:hAnsi="Cambria" w:eastAsia="黑体" w:cs="黑体"/>
          <w:kern w:val="2"/>
          <w:sz w:val="32"/>
          <w:szCs w:val="32"/>
          <w:lang w:val="zh-CN"/>
        </w:rPr>
        <w:t>项目概况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（一）项目基本情况。</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w:t>
      </w:r>
      <w:r>
        <w:rPr>
          <w:rFonts w:hint="eastAsia" w:ascii="仿宋_GB2312" w:hAnsi="宋体" w:eastAsia="仿宋_GB2312"/>
          <w:sz w:val="32"/>
          <w:szCs w:val="32"/>
          <w:lang w:val="zh-CN"/>
        </w:rPr>
        <w:t>攀枝花市东区</w:t>
      </w:r>
      <w:r>
        <w:rPr>
          <w:rFonts w:hint="eastAsia" w:ascii="仿宋_GB2312" w:eastAsia="仿宋_GB2312"/>
          <w:sz w:val="32"/>
          <w:szCs w:val="32"/>
          <w:lang w:val="zh-CN"/>
        </w:rPr>
        <w:t>综合行政执法局</w:t>
      </w:r>
      <w:r>
        <w:rPr>
          <w:rFonts w:hint="eastAsia" w:ascii="仿宋_GB2312" w:hAnsi="宋体" w:eastAsia="仿宋_GB2312"/>
          <w:sz w:val="32"/>
          <w:szCs w:val="32"/>
          <w:lang w:val="zh-CN"/>
        </w:rPr>
        <w:t>是该项目的具体实施主体。</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2</w:t>
      </w:r>
      <w:r>
        <w:rPr>
          <w:rFonts w:hint="eastAsia" w:ascii="仿宋_GB2312" w:hAnsi="Cambria" w:eastAsia="仿宋_GB2312" w:cs="仿宋_GB2312"/>
          <w:sz w:val="32"/>
          <w:szCs w:val="32"/>
          <w:lang w:val="zh-CN"/>
        </w:rPr>
        <w:t>．项目立项、资金申报的依据：</w:t>
      </w:r>
      <w:r>
        <w:rPr>
          <w:rFonts w:ascii="仿宋_GB2312" w:hAnsi="Cambria" w:eastAsia="仿宋_GB2312" w:cs="仿宋_GB2312"/>
          <w:sz w:val="32"/>
          <w:szCs w:val="32"/>
          <w:lang w:val="zh-CN"/>
        </w:rPr>
        <w:t>根据</w:t>
      </w:r>
      <w:r>
        <w:rPr>
          <w:rFonts w:hint="eastAsia" w:ascii="仿宋_GB2312" w:hAnsi="Cambria" w:eastAsia="仿宋_GB2312" w:cs="仿宋_GB2312"/>
          <w:sz w:val="32"/>
          <w:szCs w:val="32"/>
          <w:lang w:val="zh-CN"/>
        </w:rPr>
        <w:t>2014年区政府与攀枝花市煤气总公司签订的《关于推进东区老旧小区煤气管网工作改造的协议》，区政府委托攀枝花市煤气总公司对东区辖区1981年—1993年期间安装的煤气管网进行改造。2015年攀枝花市煤气总公司对二街坊房管局片区、市妇幼片区、图书馆片区、消防支队片区、政府车队片区煤气管网进行改造。</w:t>
      </w:r>
    </w:p>
    <w:p>
      <w:pPr>
        <w:keepNext/>
        <w:keepLines/>
        <w:spacing w:line="353" w:lineRule="auto"/>
        <w:ind w:firstLine="640"/>
        <w:rPr>
          <w:rFonts w:ascii="仿宋_GB2312" w:hAnsi="Cambria" w:eastAsia="仿宋_GB2312" w:cs="仿宋_GB2312"/>
          <w:sz w:val="32"/>
          <w:szCs w:val="32"/>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．资金</w:t>
      </w:r>
      <w:r>
        <w:rPr>
          <w:rFonts w:hint="eastAsia" w:ascii="仿宋_GB2312" w:hAnsi="Cambria" w:eastAsia="仿宋_GB2312" w:cs="仿宋_GB2312"/>
          <w:sz w:val="32"/>
          <w:szCs w:val="32"/>
        </w:rPr>
        <w:t>或项目</w:t>
      </w:r>
      <w:r>
        <w:rPr>
          <w:rFonts w:hint="eastAsia" w:ascii="仿宋_GB2312" w:hAnsi="Cambria" w:eastAsia="仿宋_GB2312" w:cs="仿宋_GB2312"/>
          <w:sz w:val="32"/>
          <w:szCs w:val="32"/>
          <w:lang w:val="zh-CN"/>
        </w:rPr>
        <w:t>管理办法制定情况，资金支持具体项目的条件、范围与支持方式</w:t>
      </w:r>
      <w:r>
        <w:rPr>
          <w:rFonts w:hint="eastAsia" w:ascii="仿宋_GB2312" w:hAnsi="Cambria" w:eastAsia="仿宋_GB2312" w:cs="仿宋_GB2312"/>
          <w:sz w:val="32"/>
          <w:szCs w:val="32"/>
        </w:rPr>
        <w:t>概况：2015年攀枝花市煤气总公司对二街坊房管局片区、市妇幼片区、图书馆片区、消防支队片区、政府车队片区煤气管网进行改造。</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4</w:t>
      </w:r>
      <w:r>
        <w:rPr>
          <w:rFonts w:hint="eastAsia" w:ascii="仿宋_GB2312" w:hAnsi="Cambria" w:eastAsia="仿宋_GB2312" w:cs="仿宋_GB2312"/>
          <w:sz w:val="32"/>
          <w:szCs w:val="32"/>
          <w:lang w:val="zh-CN"/>
        </w:rPr>
        <w:t>．资金分配的原则及考虑因素：</w:t>
      </w:r>
      <w:r>
        <w:rPr>
          <w:rFonts w:ascii="仿宋_GB2312" w:hAnsi="Cambria" w:eastAsia="仿宋_GB2312" w:cs="仿宋_GB2312"/>
          <w:sz w:val="32"/>
          <w:szCs w:val="32"/>
          <w:lang w:val="zh-CN"/>
        </w:rPr>
        <w:t>根据</w:t>
      </w:r>
      <w:r>
        <w:rPr>
          <w:rFonts w:hint="eastAsia" w:ascii="仿宋_GB2312" w:hAnsi="Cambria" w:eastAsia="仿宋_GB2312" w:cs="仿宋_GB2312"/>
          <w:sz w:val="32"/>
          <w:szCs w:val="32"/>
          <w:lang w:val="zh-CN"/>
        </w:rPr>
        <w:t>2014年区政府与攀枝花市煤气总公司签订的《关于推进东区老旧小</w:t>
      </w:r>
      <w:r>
        <w:rPr>
          <w:rFonts w:hint="eastAsia" w:eastAsia="仿宋_GB2312"/>
          <w:color w:val="000000"/>
          <w:sz w:val="32"/>
          <w:szCs w:val="32"/>
        </w:rPr>
        <w:t>区煤气管网工作改造的协议》</w:t>
      </w:r>
      <w:r>
        <w:rPr>
          <w:rFonts w:eastAsia="仿宋_GB2312"/>
          <w:color w:val="000000"/>
          <w:sz w:val="32"/>
          <w:szCs w:val="32"/>
        </w:rPr>
        <w:t>安排。</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（二）项目绩效目标。</w:t>
      </w:r>
    </w:p>
    <w:p>
      <w:pPr>
        <w:keepNext/>
        <w:spacing w:line="353" w:lineRule="auto"/>
        <w:ind w:firstLine="641"/>
        <w:rPr>
          <w:rFonts w:ascii="仿宋_GB2312" w:hAnsi="Cambria" w:eastAsia="仿宋_GB2312" w:cs="仿宋_GB2312"/>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．项目主要内容：2015年攀枝花市煤气总公司对二街坊房管局片区、市妇幼片区、图书馆片区、消防支队片区、政府车队片区煤气管网进行改造。</w:t>
      </w:r>
    </w:p>
    <w:p>
      <w:pPr>
        <w:keepNext/>
        <w:spacing w:line="353" w:lineRule="auto"/>
        <w:ind w:firstLine="641"/>
        <w:rPr>
          <w:rFonts w:ascii="仿宋_GB2312" w:hAnsi="Cambria" w:eastAsia="仿宋_GB2312" w:cs="仿宋_GB2312"/>
          <w:sz w:val="32"/>
          <w:szCs w:val="32"/>
          <w:lang w:val="zh-CN"/>
        </w:rPr>
      </w:pPr>
      <w:r>
        <w:rPr>
          <w:rFonts w:ascii="仿宋_GB2312" w:hAnsi="Cambria" w:eastAsia="仿宋_GB2312" w:cs="仿宋_GB2312"/>
          <w:sz w:val="32"/>
          <w:szCs w:val="32"/>
          <w:lang w:val="zh-CN"/>
        </w:rPr>
        <w:t>2</w:t>
      </w:r>
      <w:r>
        <w:rPr>
          <w:rFonts w:hint="eastAsia" w:ascii="仿宋_GB2312" w:hAnsi="Cambria" w:eastAsia="仿宋_GB2312" w:cs="仿宋_GB2312"/>
          <w:sz w:val="32"/>
          <w:szCs w:val="32"/>
          <w:lang w:val="zh-CN"/>
        </w:rPr>
        <w:t>．项目应实现的具体绩效目标：</w:t>
      </w:r>
      <w:r>
        <w:rPr>
          <w:rFonts w:ascii="仿宋_GB2312" w:hAnsi="Cambria" w:eastAsia="仿宋_GB2312" w:cs="仿宋_GB2312"/>
          <w:sz w:val="32"/>
          <w:szCs w:val="32"/>
          <w:lang w:val="zh-CN"/>
        </w:rPr>
        <w:t>解决辖区老旧煤气管网安全问题。</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w:t>
      </w:r>
      <w:r>
        <w:rPr>
          <w:rFonts w:hint="eastAsia" w:ascii="仿宋_GB2312" w:hAnsi="宋体" w:eastAsia="仿宋_GB2312"/>
          <w:sz w:val="32"/>
          <w:szCs w:val="32"/>
          <w:lang w:val="zh-CN"/>
        </w:rPr>
        <w:t>分析评价申报内容是否与实际相符，申报目标是否合理可行。通过自评，申报内容与实际相符，申报目标合理可行。</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（三）项目自评步骤及方法。</w:t>
      </w:r>
    </w:p>
    <w:p>
      <w:pPr>
        <w:keepNext/>
        <w:keepLines/>
        <w:spacing w:line="353" w:lineRule="auto"/>
        <w:ind w:firstLine="720"/>
        <w:jc w:val="both"/>
        <w:rPr>
          <w:rFonts w:ascii="仿宋_GB2312" w:hAnsi="Cambria" w:eastAsia="仿宋_GB2312" w:cs="仿宋_GB2312"/>
          <w:sz w:val="32"/>
          <w:szCs w:val="32"/>
          <w:lang w:val="zh-CN"/>
        </w:rPr>
      </w:pPr>
      <w:r>
        <w:rPr>
          <w:rFonts w:hint="eastAsia" w:ascii="仿宋_GB2312" w:eastAsia="仿宋_GB2312" w:cs="Times New Roman"/>
          <w:kern w:val="2"/>
          <w:sz w:val="32"/>
          <w:szCs w:val="32"/>
          <w:lang w:val="zh-CN"/>
        </w:rPr>
        <w:t>按照区财政下达的项目支出绩效评价指标体系，针对申报内容、实施情况、资金兑现、财务管理、社会效益等做出自我评价。</w:t>
      </w:r>
    </w:p>
    <w:p>
      <w:pPr>
        <w:keepNext/>
        <w:keepLines/>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二、项目资金申报及使用情况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（一）项目资金申报及批复情况。</w:t>
      </w:r>
    </w:p>
    <w:p>
      <w:pPr>
        <w:keepNext/>
        <w:keepLines/>
        <w:spacing w:line="353" w:lineRule="auto"/>
        <w:ind w:firstLine="720"/>
        <w:jc w:val="both"/>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该项目在上年末进行预算工作时申报，年初区财政下达批复及拨付经费。</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（二）资金计划、到位及使用情况（可用表格形式反映）。</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1．资金计划。</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该项目属区级预算项目经费。</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2．资金到位。</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已全部到位。</w:t>
      </w:r>
    </w:p>
    <w:p>
      <w:pPr>
        <w:keepNext/>
        <w:keepLines/>
        <w:spacing w:line="353" w:lineRule="auto"/>
        <w:ind w:firstLine="720"/>
        <w:jc w:val="both"/>
        <w:rPr>
          <w:rFonts w:ascii="仿宋_GB2312" w:hAnsi="Cambria" w:eastAsia="仿宋_GB2312" w:cs="仿宋_GB2312"/>
          <w:kern w:val="2"/>
          <w:sz w:val="32"/>
          <w:szCs w:val="32"/>
          <w:lang w:val="zh-CN"/>
        </w:rPr>
      </w:pPr>
      <w:r>
        <w:rPr>
          <w:rFonts w:hint="eastAsia" w:ascii="仿宋_GB2312" w:eastAsia="仿宋_GB2312" w:cs="Times New Roman"/>
          <w:kern w:val="2"/>
          <w:sz w:val="32"/>
          <w:szCs w:val="32"/>
          <w:lang w:val="zh-CN"/>
        </w:rPr>
        <w:t>3．资金使用。</w:t>
      </w:r>
    </w:p>
    <w:p>
      <w:pPr>
        <w:keepNext/>
        <w:spacing w:line="353" w:lineRule="auto"/>
        <w:ind w:firstLine="640"/>
        <w:rPr>
          <w:rFonts w:ascii="仿宋_GB2312" w:hAnsi="Cambria" w:eastAsia="仿宋_GB2312" w:cs="仿宋_GB2312"/>
          <w:sz w:val="32"/>
          <w:szCs w:val="32"/>
          <w:lang w:val="zh-CN"/>
        </w:rPr>
      </w:pPr>
      <w:r>
        <w:rPr>
          <w:rFonts w:hint="eastAsia" w:ascii="仿宋_GB2312" w:eastAsia="仿宋_GB2312" w:cs="Times New Roman"/>
          <w:kern w:val="2"/>
          <w:sz w:val="32"/>
          <w:szCs w:val="32"/>
          <w:lang w:val="zh-CN"/>
        </w:rPr>
        <w:t>该项目资金已在2022年内按相关规定全部使用，资金的支付范围、支付标准、支付依据合法合规与预算相符</w:t>
      </w:r>
      <w:r>
        <w:rPr>
          <w:rFonts w:hint="eastAsia" w:ascii="仿宋_GB2312" w:hAnsi="Cambria" w:eastAsia="仿宋_GB2312" w:cs="仿宋_GB2312"/>
          <w:sz w:val="32"/>
          <w:szCs w:val="32"/>
          <w:lang w:val="zh-CN"/>
        </w:rPr>
        <w:t>。</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（三）项目财务管理情况。</w:t>
      </w:r>
    </w:p>
    <w:p>
      <w:pPr>
        <w:keepNext/>
        <w:spacing w:line="353" w:lineRule="auto"/>
        <w:ind w:firstLine="720"/>
        <w:jc w:val="both"/>
        <w:rPr>
          <w:rFonts w:ascii="仿宋_GB2312" w:hAnsi="宋体" w:eastAsia="仿宋_GB2312"/>
          <w:sz w:val="32"/>
          <w:szCs w:val="32"/>
          <w:lang w:val="zh-CN"/>
        </w:rPr>
      </w:pPr>
      <w:r>
        <w:rPr>
          <w:rFonts w:ascii="仿宋_GB2312" w:hAnsi="宋体" w:eastAsia="仿宋_GB2312"/>
          <w:sz w:val="32"/>
          <w:szCs w:val="32"/>
          <w:lang w:val="zh-CN"/>
        </w:rPr>
        <w:t>财务管理制度健全，严格执行财务管理制度，账务处理及时，会计核算规范</w:t>
      </w:r>
      <w:r>
        <w:rPr>
          <w:rFonts w:hint="eastAsia" w:ascii="仿宋_GB2312" w:hAnsi="宋体" w:eastAsia="仿宋_GB2312"/>
          <w:sz w:val="32"/>
          <w:szCs w:val="32"/>
          <w:lang w:val="zh-CN"/>
        </w:rPr>
        <w:t>。</w:t>
      </w:r>
    </w:p>
    <w:p>
      <w:pPr>
        <w:keepNext/>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三、项目实施及管理情况</w:t>
      </w:r>
    </w:p>
    <w:p>
      <w:pPr>
        <w:keepNext/>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结合项目组织实施管理办法，重点围绕以下内容进行分析评价，并对自评中发现的问题分析说明。</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（一）项目组织架构及实施流程。</w:t>
      </w:r>
    </w:p>
    <w:p>
      <w:pPr>
        <w:keepNext/>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1．区财政根据预算项目批复，下达项目经费，预算单位进行项目实施计划。</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2．资金支付时根据实际情况，报分管领导审批同意，呈报主要负责人审核并批复同意支付。</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（二）项目管理情况。</w:t>
      </w:r>
    </w:p>
    <w:p>
      <w:pPr>
        <w:keepNext/>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项目是区财政纳入年度预算，我局严格安照项目要求及财经法律法规等要求落实的。</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（三）项目监管情况。</w:t>
      </w:r>
    </w:p>
    <w:p>
      <w:pPr>
        <w:keepNext/>
        <w:keepLines/>
        <w:spacing w:line="353" w:lineRule="auto"/>
        <w:ind w:firstLine="720"/>
        <w:jc w:val="both"/>
        <w:rPr>
          <w:rFonts w:ascii="仿宋_GB2312" w:hAnsi="Cambria" w:eastAsia="仿宋_GB2312" w:cs="仿宋_GB2312"/>
          <w:sz w:val="32"/>
          <w:szCs w:val="32"/>
          <w:lang w:val="zh-CN"/>
        </w:rPr>
      </w:pPr>
      <w:r>
        <w:rPr>
          <w:rFonts w:hint="eastAsia" w:ascii="仿宋_GB2312" w:hAnsi="宋体" w:eastAsia="仿宋_GB2312"/>
          <w:sz w:val="32"/>
          <w:szCs w:val="32"/>
          <w:lang w:val="zh-CN"/>
        </w:rPr>
        <w:t>项目完成情况每年都要向财政部门填写相关的绩效分析评价，并上报相关对口管理部门检查。</w:t>
      </w:r>
    </w:p>
    <w:p>
      <w:pPr>
        <w:keepNext/>
        <w:keepLines/>
        <w:spacing w:line="353" w:lineRule="auto"/>
        <w:ind w:firstLine="720"/>
        <w:jc w:val="both"/>
        <w:rPr>
          <w:rFonts w:ascii="仿宋_GB2312" w:hAnsi="Cambria" w:eastAsia="仿宋_GB2312" w:cs="仿宋_GB2312"/>
          <w:kern w:val="2"/>
          <w:sz w:val="32"/>
          <w:szCs w:val="32"/>
          <w:lang w:val="zh-CN"/>
        </w:rPr>
      </w:pPr>
      <w:r>
        <w:rPr>
          <w:rFonts w:hint="eastAsia" w:ascii="黑体" w:hAnsi="Cambria" w:eastAsia="黑体" w:cs="黑体"/>
          <w:kern w:val="2"/>
          <w:sz w:val="32"/>
          <w:szCs w:val="32"/>
        </w:rPr>
        <w:t>四、项目绩效情况</w:t>
      </w:r>
      <w:r>
        <w:rPr>
          <w:rFonts w:ascii="宋体" w:hAnsi="Cambria" w:eastAsia="宋体" w:cs="宋体"/>
          <w:kern w:val="2"/>
          <w:sz w:val="32"/>
          <w:szCs w:val="32"/>
          <w:lang w:val="zh-CN"/>
        </w:rPr>
        <w:tab/>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（一）项目完成情况。</w:t>
      </w:r>
    </w:p>
    <w:p>
      <w:pPr>
        <w:keepNext/>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1．数量指标：支付2015年煤气管网建设经费及审计造价咨询费</w:t>
      </w:r>
    </w:p>
    <w:p>
      <w:pPr>
        <w:keepNext/>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2．质量指标：达到国家现行标准。</w:t>
      </w:r>
    </w:p>
    <w:p>
      <w:pPr>
        <w:keepNext/>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3．时效指标：项目实施时间为2022年1月至12月。</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4．成本指标：支付2015年煤气管网建设经费1547851元，支付审计造价咨询费14075.39元。</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（二）项目效益情况。</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sz w:val="32"/>
          <w:szCs w:val="32"/>
          <w:lang w:val="zh-CN"/>
        </w:rPr>
        <w:t>1．社会效益指标：解决城区煤气管网老旧问题。</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sz w:val="32"/>
          <w:szCs w:val="32"/>
          <w:lang w:val="zh-CN"/>
        </w:rPr>
        <w:t>2． 生态效益指标：开挖后及时回填、修复，未造成环境污染。</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sz w:val="32"/>
          <w:szCs w:val="32"/>
          <w:lang w:val="zh-CN"/>
        </w:rPr>
        <w:t>3．</w:t>
      </w:r>
      <w:r>
        <w:rPr>
          <w:rFonts w:ascii="仿宋_GB2312" w:hAnsi="宋体" w:eastAsia="仿宋_GB2312"/>
          <w:sz w:val="32"/>
          <w:szCs w:val="32"/>
          <w:lang w:val="zh-CN"/>
        </w:rPr>
        <w:t>可持续</w:t>
      </w:r>
      <w:r>
        <w:rPr>
          <w:rFonts w:hint="eastAsia" w:ascii="仿宋_GB2312" w:hAnsi="宋体" w:eastAsia="仿宋_GB2312"/>
          <w:sz w:val="32"/>
          <w:szCs w:val="32"/>
          <w:lang w:val="zh-CN"/>
        </w:rPr>
        <w:t>影响指标：建设后，煤气管网能较长时间使用，增加使用寿命。</w:t>
      </w:r>
    </w:p>
    <w:p>
      <w:pPr>
        <w:keepNext/>
        <w:keepLines/>
        <w:spacing w:line="353" w:lineRule="auto"/>
        <w:ind w:firstLine="720"/>
        <w:jc w:val="both"/>
        <w:rPr>
          <w:rFonts w:ascii="仿宋_GB2312" w:hAnsi="宋体" w:eastAsia="仿宋_GB2312"/>
          <w:sz w:val="32"/>
          <w:szCs w:val="32"/>
          <w:lang w:val="zh-CN"/>
        </w:rPr>
      </w:pPr>
      <w:r>
        <w:rPr>
          <w:rFonts w:hint="eastAsia" w:ascii="仿宋_GB2312" w:hAnsi="宋体" w:eastAsia="仿宋_GB2312"/>
          <w:sz w:val="32"/>
          <w:szCs w:val="32"/>
          <w:lang w:val="zh-CN"/>
        </w:rPr>
        <w:t>4．服务对象满意度指标：服务对象和主管部门满意度大于95%以上。</w:t>
      </w:r>
    </w:p>
    <w:p>
      <w:pPr>
        <w:keepNext/>
        <w:keepLines/>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五、评价结论及建议</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（一）评价结论。</w:t>
      </w:r>
    </w:p>
    <w:p>
      <w:pPr>
        <w:keepNext/>
        <w:keepLines/>
        <w:spacing w:line="353" w:lineRule="auto"/>
        <w:ind w:firstLine="640"/>
        <w:rPr>
          <w:rFonts w:ascii="仿宋_GB2312" w:hAnsi="Cambria" w:eastAsia="仿宋_GB2312" w:cs="仿宋_GB2312"/>
          <w:sz w:val="32"/>
          <w:szCs w:val="32"/>
          <w:lang w:val="zh-CN"/>
        </w:rPr>
      </w:pPr>
      <w:r>
        <w:rPr>
          <w:rFonts w:ascii="Times New Roman" w:hAnsi="Times New Roman" w:eastAsia="仿宋_GB2312" w:cs="Times New Roman"/>
          <w:sz w:val="32"/>
          <w:szCs w:val="32"/>
          <w:lang w:val="zh-CN"/>
        </w:rPr>
        <w:t>2022年攀枝花市东区综合行政执法局自我绩效评价为：优秀。评价得分：</w:t>
      </w:r>
      <w:r>
        <w:rPr>
          <w:rFonts w:hint="eastAsia" w:ascii="Times New Roman" w:hAnsi="Times New Roman" w:eastAsia="仿宋_GB2312" w:cs="Times New Roman"/>
          <w:sz w:val="32"/>
          <w:szCs w:val="32"/>
        </w:rPr>
        <w:t>通用指标40分，共性指标20分，特性指标30分，个性指标10分，扣分项0分，合计100分。</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（二）存在的问题。</w:t>
      </w:r>
    </w:p>
    <w:p>
      <w:pPr>
        <w:keepNext/>
        <w:keepLines/>
        <w:spacing w:line="353" w:lineRule="auto"/>
        <w:ind w:firstLine="720"/>
        <w:jc w:val="both"/>
        <w:rPr>
          <w:rFonts w:eastAsia="仿宋_GB2312"/>
          <w:sz w:val="32"/>
          <w:szCs w:val="32"/>
        </w:rPr>
      </w:pPr>
      <w:r>
        <w:rPr>
          <w:rFonts w:eastAsia="仿宋_GB2312"/>
          <w:sz w:val="32"/>
          <w:szCs w:val="32"/>
        </w:rPr>
        <w:t>进一步</w:t>
      </w:r>
      <w:r>
        <w:rPr>
          <w:rFonts w:ascii="Times New Roman" w:hAnsi="Times New Roman" w:eastAsia="仿宋_GB2312" w:cs="Times New Roman"/>
          <w:sz w:val="32"/>
          <w:szCs w:val="32"/>
          <w:lang w:val="zh-CN"/>
        </w:rPr>
        <w:t>加强解决辖区老旧煤气管网安全问题</w:t>
      </w:r>
      <w:r>
        <w:rPr>
          <w:rFonts w:eastAsia="仿宋_GB2312"/>
          <w:sz w:val="32"/>
          <w:szCs w:val="32"/>
        </w:rPr>
        <w:t>。</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（三）相关建议。</w:t>
      </w:r>
    </w:p>
    <w:p>
      <w:pPr>
        <w:keepNext/>
        <w:keepLines/>
        <w:spacing w:line="353" w:lineRule="auto"/>
        <w:ind w:firstLine="640"/>
        <w:rPr>
          <w:rFonts w:ascii="黑体" w:hAnsi="Cambria" w:eastAsia="黑体" w:cs="黑体"/>
          <w:kern w:val="44"/>
          <w:sz w:val="32"/>
          <w:szCs w:val="32"/>
        </w:rPr>
      </w:pPr>
      <w:r>
        <w:rPr>
          <w:rFonts w:hint="eastAsia" w:ascii="仿宋_GB2312" w:eastAsia="仿宋_GB2312"/>
          <w:sz w:val="32"/>
          <w:szCs w:val="32"/>
        </w:rPr>
        <w:t>加强资金监管，制定相应的资金使用计划，使之形成常态机制，加快资金使用进度。</w:t>
      </w:r>
    </w:p>
    <w:p>
      <w:pPr>
        <w:keepNext/>
        <w:keepLines/>
        <w:spacing w:line="353" w:lineRule="auto"/>
        <w:ind w:firstLine="640"/>
        <w:rPr>
          <w:rFonts w:ascii="黑体" w:hAnsi="Cambria" w:eastAsia="黑体" w:cs="黑体"/>
          <w:kern w:val="44"/>
          <w:sz w:val="32"/>
          <w:szCs w:val="32"/>
        </w:rPr>
      </w:pPr>
    </w:p>
    <w:p>
      <w:pPr>
        <w:keepNext/>
        <w:keepLines/>
        <w:spacing w:line="353" w:lineRule="auto"/>
        <w:ind w:firstLine="640"/>
        <w:rPr>
          <w:rFonts w:ascii="黑体" w:hAnsi="Cambria" w:eastAsia="黑体" w:cs="黑体"/>
          <w:kern w:val="44"/>
          <w:sz w:val="32"/>
          <w:szCs w:val="32"/>
        </w:rPr>
      </w:pPr>
    </w:p>
    <w:p>
      <w:pPr>
        <w:keepNext/>
        <w:keepLines/>
        <w:spacing w:line="353" w:lineRule="auto"/>
        <w:ind w:firstLine="640"/>
        <w:rPr>
          <w:rFonts w:ascii="黑体" w:hAnsi="Cambria" w:eastAsia="黑体" w:cs="黑体"/>
          <w:kern w:val="44"/>
          <w:sz w:val="32"/>
          <w:szCs w:val="32"/>
        </w:rPr>
      </w:pPr>
    </w:p>
    <w:p>
      <w:pPr>
        <w:keepNext/>
        <w:keepLines/>
        <w:spacing w:line="353" w:lineRule="auto"/>
        <w:ind w:firstLine="640"/>
        <w:rPr>
          <w:rFonts w:ascii="黑体" w:hAnsi="Cambria" w:eastAsia="黑体" w:cs="黑体"/>
          <w:kern w:val="44"/>
          <w:sz w:val="32"/>
          <w:szCs w:val="32"/>
        </w:rPr>
      </w:pPr>
    </w:p>
    <w:p>
      <w:pPr>
        <w:keepNext/>
        <w:keepLines/>
        <w:spacing w:line="353" w:lineRule="auto"/>
        <w:ind w:firstLine="640"/>
        <w:rPr>
          <w:rFonts w:ascii="黑体" w:hAnsi="Cambria" w:eastAsia="黑体" w:cs="黑体"/>
          <w:kern w:val="44"/>
          <w:sz w:val="32"/>
          <w:szCs w:val="32"/>
        </w:rPr>
      </w:pPr>
    </w:p>
    <w:p>
      <w:pPr>
        <w:keepNext/>
        <w:keepLines/>
        <w:spacing w:line="353" w:lineRule="auto"/>
        <w:ind w:firstLine="640"/>
        <w:rPr>
          <w:rFonts w:ascii="黑体" w:hAnsi="Cambria" w:eastAsia="黑体" w:cs="黑体"/>
          <w:kern w:val="44"/>
          <w:sz w:val="32"/>
          <w:szCs w:val="32"/>
        </w:rPr>
      </w:pPr>
    </w:p>
    <w:p>
      <w:pPr>
        <w:keepNext/>
        <w:keepLines/>
        <w:spacing w:line="353" w:lineRule="auto"/>
        <w:ind w:firstLine="640"/>
        <w:rPr>
          <w:rFonts w:ascii="黑体" w:hAnsi="Cambria" w:eastAsia="黑体" w:cs="黑体"/>
          <w:kern w:val="44"/>
          <w:sz w:val="32"/>
          <w:szCs w:val="32"/>
        </w:rPr>
      </w:pPr>
    </w:p>
    <w:p>
      <w:pPr>
        <w:keepNext/>
        <w:keepLines/>
        <w:spacing w:line="353" w:lineRule="auto"/>
        <w:ind w:firstLine="640"/>
        <w:rPr>
          <w:rFonts w:ascii="黑体" w:hAnsi="Cambria" w:eastAsia="黑体" w:cs="黑体"/>
          <w:kern w:val="44"/>
          <w:sz w:val="32"/>
          <w:szCs w:val="32"/>
        </w:rPr>
      </w:pPr>
    </w:p>
    <w:p>
      <w:pPr>
        <w:keepNext/>
        <w:keepLines/>
        <w:spacing w:line="353" w:lineRule="auto"/>
        <w:ind w:firstLine="640"/>
        <w:rPr>
          <w:rFonts w:ascii="黑体" w:hAnsi="Cambria" w:eastAsia="黑体" w:cs="黑体"/>
          <w:kern w:val="44"/>
          <w:sz w:val="32"/>
          <w:szCs w:val="32"/>
        </w:rPr>
      </w:pPr>
    </w:p>
    <w:p>
      <w:pPr>
        <w:keepNext/>
        <w:keepLines/>
        <w:spacing w:line="353" w:lineRule="auto"/>
        <w:ind w:firstLine="640"/>
        <w:rPr>
          <w:rFonts w:ascii="黑体" w:hAnsi="Cambria" w:eastAsia="黑体" w:cs="黑体"/>
          <w:kern w:val="44"/>
          <w:sz w:val="32"/>
          <w:szCs w:val="32"/>
        </w:rPr>
      </w:pPr>
    </w:p>
    <w:p>
      <w:pPr>
        <w:keepNext/>
        <w:keepLines/>
        <w:spacing w:line="353" w:lineRule="auto"/>
        <w:ind w:firstLine="640"/>
        <w:rPr>
          <w:rFonts w:ascii="黑体" w:hAnsi="Cambria" w:eastAsia="黑体" w:cs="黑体"/>
          <w:kern w:val="44"/>
          <w:sz w:val="32"/>
          <w:szCs w:val="32"/>
        </w:rPr>
      </w:pPr>
    </w:p>
    <w:p>
      <w:pPr>
        <w:keepNext/>
        <w:keepLines/>
        <w:spacing w:line="353" w:lineRule="auto"/>
        <w:ind w:firstLine="640"/>
        <w:rPr>
          <w:rFonts w:ascii="黑体" w:hAnsi="Cambria" w:eastAsia="黑体" w:cs="黑体"/>
          <w:kern w:val="44"/>
          <w:sz w:val="32"/>
          <w:szCs w:val="32"/>
        </w:rPr>
      </w:pPr>
    </w:p>
    <w:p>
      <w:pPr>
        <w:keepNext/>
        <w:keepLines/>
        <w:spacing w:line="353" w:lineRule="auto"/>
        <w:ind w:firstLine="640"/>
        <w:rPr>
          <w:rFonts w:ascii="黑体" w:hAnsi="Cambria" w:eastAsia="黑体" w:cs="黑体"/>
          <w:kern w:val="44"/>
          <w:sz w:val="32"/>
          <w:szCs w:val="32"/>
        </w:rPr>
      </w:pPr>
    </w:p>
    <w:p>
      <w:pPr>
        <w:keepNext/>
        <w:keepLines/>
        <w:spacing w:line="353" w:lineRule="auto"/>
        <w:ind w:firstLine="640"/>
        <w:rPr>
          <w:rFonts w:ascii="黑体" w:hAnsi="Cambria" w:eastAsia="黑体" w:cs="黑体"/>
          <w:kern w:val="44"/>
          <w:sz w:val="32"/>
          <w:szCs w:val="32"/>
        </w:rPr>
      </w:pPr>
    </w:p>
    <w:p>
      <w:pPr>
        <w:keepNext/>
        <w:keepLines/>
        <w:spacing w:line="353" w:lineRule="auto"/>
        <w:ind w:firstLine="640"/>
        <w:rPr>
          <w:rFonts w:ascii="黑体" w:hAnsi="Cambria" w:eastAsia="黑体" w:cs="黑体"/>
          <w:kern w:val="44"/>
          <w:sz w:val="32"/>
          <w:szCs w:val="32"/>
        </w:rPr>
      </w:pPr>
    </w:p>
    <w:p>
      <w:pPr>
        <w:keepNext/>
        <w:keepLines/>
        <w:spacing w:line="353" w:lineRule="auto"/>
        <w:ind w:firstLine="640"/>
        <w:rPr>
          <w:rFonts w:ascii="黑体" w:hAnsi="Cambria" w:eastAsia="黑体" w:cs="黑体"/>
          <w:kern w:val="44"/>
          <w:sz w:val="32"/>
          <w:szCs w:val="32"/>
        </w:rPr>
      </w:pPr>
    </w:p>
    <w:p>
      <w:pPr>
        <w:keepNext/>
        <w:keepLines/>
        <w:spacing w:line="353" w:lineRule="auto"/>
        <w:ind w:firstLine="640"/>
        <w:rPr>
          <w:rFonts w:ascii="黑体" w:hAnsi="Cambria" w:eastAsia="黑体" w:cs="黑体"/>
          <w:kern w:val="44"/>
          <w:sz w:val="32"/>
          <w:szCs w:val="32"/>
        </w:rPr>
      </w:pPr>
    </w:p>
    <w:p>
      <w:pPr>
        <w:keepNext/>
        <w:keepLines/>
        <w:spacing w:line="353" w:lineRule="auto"/>
        <w:ind w:firstLine="640"/>
        <w:rPr>
          <w:rFonts w:ascii="黑体" w:hAnsi="Cambria" w:eastAsia="黑体" w:cs="黑体"/>
          <w:kern w:val="44"/>
          <w:sz w:val="32"/>
          <w:szCs w:val="32"/>
        </w:rPr>
      </w:pPr>
    </w:p>
    <w:p>
      <w:pPr>
        <w:keepNext/>
        <w:keepLines/>
        <w:spacing w:line="353" w:lineRule="auto"/>
        <w:rPr>
          <w:rFonts w:ascii="仿宋_GB2312" w:hAnsi="Cambria" w:eastAsia="仿宋_GB2312" w:cs="仿宋_GB2312"/>
          <w:sz w:val="32"/>
          <w:szCs w:val="32"/>
        </w:rPr>
      </w:pPr>
      <w:r>
        <w:rPr>
          <w:rFonts w:hint="eastAsia" w:ascii="仿宋_GB2312" w:hAnsi="Cambria" w:eastAsia="仿宋_GB2312" w:cs="仿宋_GB2312"/>
          <w:sz w:val="32"/>
          <w:szCs w:val="32"/>
          <w:lang w:val="zh-CN"/>
        </w:rPr>
        <w:t>附件</w:t>
      </w:r>
      <w:r>
        <w:rPr>
          <w:rFonts w:ascii="仿宋_GB2312" w:hAnsi="Cambria" w:eastAsia="仿宋_GB2312" w:cs="仿宋_GB2312"/>
          <w:sz w:val="32"/>
          <w:szCs w:val="32"/>
        </w:rPr>
        <w:t>2</w:t>
      </w:r>
    </w:p>
    <w:p>
      <w:pPr>
        <w:keepNext/>
        <w:keepLines/>
        <w:spacing w:line="353" w:lineRule="auto"/>
        <w:jc w:val="center"/>
        <w:rPr>
          <w:rFonts w:hAnsi="Cambria" w:cs="方正小标宋简体"/>
          <w:kern w:val="2"/>
          <w:sz w:val="44"/>
          <w:szCs w:val="44"/>
        </w:rPr>
      </w:pPr>
      <w:r>
        <w:rPr>
          <w:rFonts w:hAnsi="Cambria" w:cs="方正小标宋简体"/>
          <w:kern w:val="2"/>
          <w:sz w:val="44"/>
          <w:szCs w:val="44"/>
        </w:rPr>
        <w:t>202</w:t>
      </w:r>
      <w:r>
        <w:rPr>
          <w:rFonts w:hint="eastAsia" w:hAnsi="Cambria" w:cs="方正小标宋简体"/>
          <w:kern w:val="2"/>
          <w:sz w:val="44"/>
          <w:szCs w:val="44"/>
        </w:rPr>
        <w:t>2年预算项目绩效自评报告</w:t>
      </w:r>
    </w:p>
    <w:p>
      <w:pPr>
        <w:keepNext/>
        <w:keepLines/>
        <w:spacing w:line="353" w:lineRule="auto"/>
        <w:ind w:firstLine="640"/>
        <w:jc w:val="center"/>
        <w:rPr>
          <w:rFonts w:ascii="仿宋_GB2312" w:hAnsi="Cambria" w:eastAsia="仿宋_GB2312" w:cs="仿宋_GB2312"/>
          <w:sz w:val="32"/>
          <w:szCs w:val="32"/>
          <w:lang w:val="zh-CN"/>
        </w:rPr>
      </w:pPr>
      <w:r>
        <w:rPr>
          <w:rFonts w:ascii="仿宋_GB2312" w:hAnsi="Cambria" w:eastAsia="仿宋_GB2312" w:cs="仿宋_GB2312"/>
          <w:sz w:val="32"/>
          <w:szCs w:val="32"/>
          <w:lang w:val="zh-CN"/>
        </w:rPr>
        <w:t>（其他环境整治）</w:t>
      </w:r>
    </w:p>
    <w:p>
      <w:pPr>
        <w:keepNext/>
        <w:keepLines/>
        <w:spacing w:line="353" w:lineRule="auto"/>
        <w:ind w:firstLine="720"/>
        <w:jc w:val="both"/>
        <w:rPr>
          <w:rFonts w:ascii="黑体" w:hAnsi="Cambria" w:eastAsia="黑体" w:cs="黑体"/>
          <w:kern w:val="2"/>
          <w:sz w:val="32"/>
          <w:szCs w:val="32"/>
          <w:lang w:val="zh-CN"/>
        </w:rPr>
      </w:pPr>
      <w:r>
        <w:rPr>
          <w:rFonts w:hint="eastAsia" w:ascii="黑体" w:hAnsi="Cambria" w:eastAsia="黑体" w:cs="黑体"/>
          <w:kern w:val="2"/>
          <w:sz w:val="32"/>
          <w:szCs w:val="32"/>
        </w:rPr>
        <w:t>一、</w:t>
      </w:r>
      <w:r>
        <w:rPr>
          <w:rFonts w:hint="eastAsia" w:ascii="黑体" w:hAnsi="Cambria" w:eastAsia="黑体" w:cs="黑体"/>
          <w:kern w:val="2"/>
          <w:sz w:val="32"/>
          <w:szCs w:val="32"/>
          <w:lang w:val="zh-CN"/>
        </w:rPr>
        <w:t>项目概况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（一）项目基本情况。</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w:t>
      </w:r>
      <w:r>
        <w:rPr>
          <w:rFonts w:hint="eastAsia" w:ascii="仿宋_GB2312" w:hAnsi="宋体" w:eastAsia="仿宋_GB2312"/>
          <w:sz w:val="32"/>
          <w:szCs w:val="32"/>
          <w:lang w:val="zh-CN"/>
        </w:rPr>
        <w:t>攀枝花市东区</w:t>
      </w:r>
      <w:r>
        <w:rPr>
          <w:rFonts w:hint="eastAsia" w:ascii="仿宋_GB2312" w:eastAsia="仿宋_GB2312"/>
          <w:sz w:val="32"/>
          <w:szCs w:val="32"/>
          <w:lang w:val="zh-CN"/>
        </w:rPr>
        <w:t>综合行政执法局</w:t>
      </w:r>
      <w:r>
        <w:rPr>
          <w:rFonts w:hint="eastAsia" w:ascii="仿宋_GB2312" w:hAnsi="宋体" w:eastAsia="仿宋_GB2312"/>
          <w:sz w:val="32"/>
          <w:szCs w:val="32"/>
          <w:lang w:val="zh-CN"/>
        </w:rPr>
        <w:t>是该项目的具体实施主体。</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2</w:t>
      </w:r>
      <w:r>
        <w:rPr>
          <w:rFonts w:hint="eastAsia" w:ascii="仿宋_GB2312" w:hAnsi="Cambria" w:eastAsia="仿宋_GB2312" w:cs="仿宋_GB2312"/>
          <w:sz w:val="32"/>
          <w:szCs w:val="32"/>
          <w:lang w:val="zh-CN"/>
        </w:rPr>
        <w:t>．项目立项、资金申报的依据</w:t>
      </w:r>
      <w:r>
        <w:rPr>
          <w:rFonts w:hint="eastAsia" w:ascii="宋体" w:hAnsi="Cambria" w:eastAsia="宋体" w:cs="宋体"/>
          <w:sz w:val="32"/>
          <w:szCs w:val="32"/>
        </w:rPr>
        <w:t>：</w:t>
      </w:r>
      <w:r>
        <w:rPr>
          <w:rFonts w:hint="eastAsia" w:ascii="仿宋_GB2312" w:hAnsi="Cambria" w:eastAsia="仿宋_GB2312" w:cs="仿宋_GB2312"/>
          <w:color w:val="000000" w:themeColor="text1"/>
          <w:sz w:val="32"/>
          <w:szCs w:val="32"/>
        </w:rPr>
        <w:t>根据2020年12月15日区政府工作安排。</w:t>
      </w:r>
      <w:r>
        <w:rPr>
          <w:rFonts w:hint="eastAsia" w:ascii="仿宋_GB2312" w:hAnsi="Cambria" w:eastAsia="仿宋_GB2312" w:cs="仿宋_GB2312"/>
          <w:color w:val="000000" w:themeColor="text1"/>
          <w:sz w:val="32"/>
          <w:szCs w:val="32"/>
          <w:lang w:val="zh-CN"/>
        </w:rPr>
        <w:t>根据2021年2月6日区委主要领导调研城市景观提升工作安排。</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．资金</w:t>
      </w:r>
      <w:r>
        <w:rPr>
          <w:rFonts w:hint="eastAsia" w:ascii="仿宋_GB2312" w:hAnsi="Cambria" w:eastAsia="仿宋_GB2312" w:cs="仿宋_GB2312"/>
          <w:sz w:val="32"/>
          <w:szCs w:val="32"/>
        </w:rPr>
        <w:t>或项目</w:t>
      </w:r>
      <w:r>
        <w:rPr>
          <w:rFonts w:hint="eastAsia" w:ascii="仿宋_GB2312" w:hAnsi="Cambria" w:eastAsia="仿宋_GB2312" w:cs="仿宋_GB2312"/>
          <w:sz w:val="32"/>
          <w:szCs w:val="32"/>
          <w:lang w:val="zh-CN"/>
        </w:rPr>
        <w:t>管理办法制定情况，资金支持具体项目的条件、范围与支持方式概况：</w:t>
      </w:r>
      <w:r>
        <w:rPr>
          <w:rFonts w:hint="eastAsia" w:ascii="仿宋_GB2312" w:hAnsi="Cambria" w:eastAsia="仿宋_GB2312" w:cs="仿宋_GB2312"/>
          <w:color w:val="000000" w:themeColor="text1"/>
          <w:sz w:val="32"/>
          <w:szCs w:val="32"/>
        </w:rPr>
        <w:t>严格按照财政资金使用、管理要求进行办理</w:t>
      </w:r>
      <w:r>
        <w:rPr>
          <w:rFonts w:hint="eastAsia" w:ascii="仿宋_GB2312" w:hAnsi="Cambria" w:eastAsia="仿宋_GB2312" w:cs="仿宋_GB2312"/>
          <w:sz w:val="32"/>
          <w:szCs w:val="32"/>
          <w:lang w:val="zh-CN"/>
        </w:rPr>
        <w:t>。</w:t>
      </w:r>
    </w:p>
    <w:p>
      <w:pPr>
        <w:keepNext/>
        <w:keepLines/>
        <w:spacing w:line="353" w:lineRule="auto"/>
        <w:ind w:firstLine="640"/>
        <w:rPr>
          <w:rFonts w:ascii="仿宋_GB2312" w:hAnsi="Cambria" w:eastAsia="仿宋_GB2312" w:cs="仿宋_GB2312"/>
          <w:color w:val="000000" w:themeColor="text1"/>
          <w:sz w:val="32"/>
          <w:szCs w:val="32"/>
          <w:lang w:val="zh-CN"/>
        </w:rPr>
      </w:pPr>
      <w:r>
        <w:rPr>
          <w:rFonts w:ascii="仿宋_GB2312" w:hAnsi="Cambria" w:eastAsia="仿宋_GB2312" w:cs="仿宋_GB2312"/>
          <w:sz w:val="32"/>
          <w:szCs w:val="32"/>
          <w:lang w:val="zh-CN"/>
        </w:rPr>
        <w:t>4</w:t>
      </w:r>
      <w:r>
        <w:rPr>
          <w:rFonts w:hint="eastAsia" w:ascii="仿宋_GB2312" w:hAnsi="Cambria" w:eastAsia="仿宋_GB2312" w:cs="仿宋_GB2312"/>
          <w:sz w:val="32"/>
          <w:szCs w:val="32"/>
          <w:lang w:val="zh-CN"/>
        </w:rPr>
        <w:t>．资金分配的原则及考虑因素：</w:t>
      </w:r>
      <w:r>
        <w:rPr>
          <w:rFonts w:hint="eastAsia" w:ascii="仿宋_GB2312" w:hAnsi="Cambria" w:eastAsia="仿宋_GB2312" w:cs="仿宋_GB2312"/>
          <w:color w:val="000000" w:themeColor="text1"/>
          <w:sz w:val="32"/>
          <w:szCs w:val="32"/>
          <w:lang w:val="zh-CN"/>
        </w:rPr>
        <w:t>根据合同约定及审计结算进行支付。</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（二）项目绩效目标。</w:t>
      </w:r>
    </w:p>
    <w:p>
      <w:pPr>
        <w:keepNext/>
        <w:keepLines/>
        <w:spacing w:line="353" w:lineRule="auto"/>
        <w:ind w:firstLine="640"/>
        <w:rPr>
          <w:rFonts w:ascii="仿宋_GB2312" w:hAnsi="Cambria" w:eastAsia="仿宋_GB2312" w:cs="仿宋_GB2312"/>
          <w:color w:val="000000" w:themeColor="text1"/>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．项目主要内容：</w:t>
      </w:r>
      <w:r>
        <w:rPr>
          <w:rFonts w:ascii="仿宋_GB2312" w:hAnsi="Cambria" w:eastAsia="仿宋_GB2312" w:cs="仿宋_GB2312"/>
          <w:color w:val="000000" w:themeColor="text1"/>
          <w:sz w:val="32"/>
          <w:szCs w:val="32"/>
        </w:rPr>
        <w:t>主要对</w:t>
      </w:r>
      <w:r>
        <w:rPr>
          <w:rFonts w:hint="eastAsia" w:ascii="仿宋_GB2312" w:hAnsi="Cambria" w:eastAsia="仿宋_GB2312" w:cs="仿宋_GB2312"/>
          <w:color w:val="000000" w:themeColor="text1"/>
          <w:sz w:val="32"/>
          <w:szCs w:val="32"/>
        </w:rPr>
        <w:t>东区民政局大楼外墙（东区政府车站后大楼）脱层、污渍墙面进行粉刷。对“两江三岸”东区范围内的部分山体进行景观提升改造。</w:t>
      </w:r>
    </w:p>
    <w:p>
      <w:pPr>
        <w:keepNext/>
        <w:spacing w:line="353" w:lineRule="auto"/>
        <w:ind w:firstLine="641"/>
        <w:rPr>
          <w:rFonts w:ascii="仿宋_GB2312" w:hAnsi="Cambria" w:eastAsia="仿宋_GB2312" w:cs="仿宋_GB2312"/>
          <w:color w:val="000000" w:themeColor="text1"/>
          <w:sz w:val="32"/>
          <w:szCs w:val="32"/>
        </w:rPr>
      </w:pPr>
      <w:r>
        <w:rPr>
          <w:rFonts w:ascii="仿宋_GB2312" w:hAnsi="Cambria" w:eastAsia="仿宋_GB2312" w:cs="仿宋_GB2312"/>
          <w:color w:val="000000" w:themeColor="text1"/>
          <w:sz w:val="32"/>
          <w:szCs w:val="32"/>
          <w:lang w:val="zh-CN"/>
        </w:rPr>
        <w:t>2</w:t>
      </w:r>
      <w:r>
        <w:rPr>
          <w:rFonts w:hint="eastAsia" w:ascii="仿宋_GB2312" w:hAnsi="Cambria" w:eastAsia="仿宋_GB2312" w:cs="仿宋_GB2312"/>
          <w:color w:val="000000" w:themeColor="text1"/>
          <w:sz w:val="32"/>
          <w:szCs w:val="32"/>
          <w:lang w:val="zh-CN"/>
        </w:rPr>
        <w:t>．项目应实现的具体绩效目标：</w:t>
      </w:r>
      <w:r>
        <w:rPr>
          <w:rFonts w:hint="eastAsia" w:ascii="宋体" w:hAnsi="Cambria" w:eastAsia="宋体" w:cs="宋体"/>
          <w:color w:val="000000" w:themeColor="text1"/>
          <w:kern w:val="2"/>
          <w:sz w:val="32"/>
          <w:szCs w:val="32"/>
          <w:lang w:val="zh-CN"/>
        </w:rPr>
        <w:t>“</w:t>
      </w:r>
      <w:r>
        <w:rPr>
          <w:rFonts w:hint="eastAsia" w:ascii="仿宋_GB2312" w:hAnsi="Cambria" w:eastAsia="仿宋_GB2312" w:cs="仿宋_GB2312"/>
          <w:color w:val="000000" w:themeColor="text1"/>
          <w:sz w:val="32"/>
          <w:szCs w:val="32"/>
        </w:rPr>
        <w:t>两江三岸”山体亮化工作于2020年12月23日进场施工，2021年1月5日完工并竣工验收，2021年11月17日完成审计结算。区民政局等机关办公楼外墙粉刷该工作于2020年12月23日进场施工，2021年1月5日完工并竣工验收，2021年11月17日完成审计结算。</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w:t>
      </w:r>
      <w:r>
        <w:rPr>
          <w:rFonts w:hint="eastAsia" w:ascii="仿宋_GB2312" w:hAnsi="宋体" w:eastAsia="仿宋_GB2312"/>
          <w:sz w:val="32"/>
          <w:szCs w:val="32"/>
          <w:lang w:val="zh-CN"/>
        </w:rPr>
        <w:t>分析评价申报内容是否与实际相符，申报目标是否合理可行。通过自评，申报内容与实际相符，申报目标合理可行。</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（三）项目自评步骤及方法。</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按照区财政下达的项目支出绩效评价指标体系，针对申报内容、实施情况、资金兑现、财务管理、社会效益等做出自我评价。</w:t>
      </w:r>
    </w:p>
    <w:p>
      <w:pPr>
        <w:keepNext/>
        <w:keepLines/>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二、项目资金申报及使用情况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（一）项目资金申报及批复情况。</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宋体" w:eastAsia="仿宋_GB2312"/>
          <w:sz w:val="32"/>
          <w:szCs w:val="32"/>
          <w:lang w:val="zh-CN"/>
        </w:rPr>
        <w:t>该项目在上年末进行预算工作时申报，年初区财政下达批复及拨付经费。</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（二）资金计划、到位及使用情况（可用表格形式反映）。</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1．资金计划。</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该项目属区级预算项目经费。</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2．资金到位。</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已全部到位。</w:t>
      </w:r>
    </w:p>
    <w:p>
      <w:pPr>
        <w:keepNext/>
        <w:keepLines/>
        <w:spacing w:line="353" w:lineRule="auto"/>
        <w:ind w:firstLine="720"/>
        <w:jc w:val="both"/>
        <w:rPr>
          <w:rFonts w:ascii="仿宋_GB2312" w:hAnsi="Cambria" w:eastAsia="仿宋_GB2312" w:cs="仿宋_GB2312"/>
          <w:kern w:val="2"/>
          <w:sz w:val="32"/>
          <w:szCs w:val="32"/>
          <w:lang w:val="zh-CN"/>
        </w:rPr>
      </w:pPr>
      <w:r>
        <w:rPr>
          <w:rFonts w:hint="eastAsia" w:ascii="仿宋_GB2312" w:eastAsia="仿宋_GB2312" w:cs="Times New Roman"/>
          <w:kern w:val="2"/>
          <w:sz w:val="32"/>
          <w:szCs w:val="32"/>
          <w:lang w:val="zh-CN"/>
        </w:rPr>
        <w:t>3．资金使用。</w:t>
      </w:r>
    </w:p>
    <w:p>
      <w:pPr>
        <w:keepNext/>
        <w:keepLines/>
        <w:spacing w:line="353" w:lineRule="auto"/>
        <w:ind w:firstLine="640"/>
        <w:rPr>
          <w:rFonts w:ascii="仿宋_GB2312" w:hAnsi="Cambria" w:eastAsia="仿宋_GB2312" w:cs="仿宋_GB2312"/>
          <w:sz w:val="32"/>
          <w:szCs w:val="32"/>
          <w:lang w:val="zh-CN"/>
        </w:rPr>
      </w:pPr>
      <w:r>
        <w:rPr>
          <w:rFonts w:hint="eastAsia" w:ascii="仿宋_GB2312" w:eastAsia="仿宋_GB2312" w:cs="Times New Roman"/>
          <w:kern w:val="2"/>
          <w:sz w:val="32"/>
          <w:szCs w:val="32"/>
          <w:lang w:val="zh-CN"/>
        </w:rPr>
        <w:t>该项目资金已在2022年内按相关规定全部使用，资金的支付范围、支付标准、支付依据合法合规与预算相符</w:t>
      </w:r>
      <w:r>
        <w:rPr>
          <w:rFonts w:hint="eastAsia" w:ascii="仿宋_GB2312" w:hAnsi="Cambria" w:eastAsia="仿宋_GB2312" w:cs="仿宋_GB2312"/>
          <w:sz w:val="32"/>
          <w:szCs w:val="32"/>
          <w:lang w:val="zh-CN"/>
        </w:rPr>
        <w:t>。</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（三）项目财务管理情况。</w:t>
      </w:r>
    </w:p>
    <w:p>
      <w:pPr>
        <w:keepNext/>
        <w:keepLines/>
        <w:spacing w:line="353" w:lineRule="auto"/>
        <w:ind w:firstLine="720"/>
        <w:jc w:val="both"/>
        <w:rPr>
          <w:rFonts w:ascii="楷体_GB2312" w:hAnsi="Cambria" w:eastAsia="楷体_GB2312" w:cs="楷体_GB2312"/>
          <w:b/>
          <w:bCs/>
          <w:kern w:val="2"/>
          <w:sz w:val="32"/>
          <w:szCs w:val="32"/>
          <w:lang w:val="zh-CN"/>
        </w:rPr>
      </w:pPr>
      <w:r>
        <w:rPr>
          <w:rFonts w:ascii="仿宋_GB2312" w:hAnsi="宋体" w:eastAsia="仿宋_GB2312"/>
          <w:sz w:val="32"/>
          <w:szCs w:val="32"/>
          <w:lang w:val="zh-CN"/>
        </w:rPr>
        <w:t>财务管理制度健全，严格执行财务管理制度，账务处理及时，会计核算规范</w:t>
      </w:r>
      <w:r>
        <w:rPr>
          <w:rFonts w:hint="eastAsia" w:ascii="仿宋_GB2312" w:hAnsi="宋体" w:eastAsia="仿宋_GB2312"/>
          <w:sz w:val="32"/>
          <w:szCs w:val="32"/>
          <w:lang w:val="zh-CN"/>
        </w:rPr>
        <w:t>。</w:t>
      </w:r>
    </w:p>
    <w:p>
      <w:pPr>
        <w:keepNext/>
        <w:keepLines/>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三、项目实施及管理情况</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结合项目组织实施管理办法，重点围绕以下内容进行分析评价，并对自评中发现的问题分析说明。</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（一）项目组织架构及实施流程。</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1．区财政根据预算项目批复，下达项目经费，预算单位进行项目实施计划。</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2．资金支付时根据实际情况，报分管领导审批同意，呈报主要负责人审核并批复同意支付。</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（二）项目管理情况。</w:t>
      </w:r>
    </w:p>
    <w:p>
      <w:pPr>
        <w:keepNext/>
        <w:keepLines/>
        <w:spacing w:line="353" w:lineRule="auto"/>
        <w:ind w:firstLine="720"/>
        <w:jc w:val="both"/>
        <w:rPr>
          <w:rFonts w:ascii="仿宋_GB2312" w:hAnsi="Cambria" w:eastAsia="仿宋_GB2312" w:cs="仿宋_GB2312"/>
          <w:sz w:val="32"/>
          <w:szCs w:val="32"/>
          <w:lang w:val="zh-CN"/>
        </w:rPr>
      </w:pPr>
      <w:r>
        <w:rPr>
          <w:rFonts w:hint="eastAsia" w:ascii="仿宋_GB2312" w:eastAsia="仿宋_GB2312" w:cs="Times New Roman"/>
          <w:kern w:val="2"/>
          <w:sz w:val="32"/>
          <w:szCs w:val="32"/>
          <w:lang w:val="zh-CN"/>
        </w:rPr>
        <w:t>项目是区财政纳入年度预算，我局严格安照项目要求及财经法律法规等要求落实的。</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（三）项目监管情况。</w:t>
      </w:r>
    </w:p>
    <w:p>
      <w:pPr>
        <w:keepNext/>
        <w:keepLines/>
        <w:spacing w:line="353" w:lineRule="auto"/>
        <w:ind w:firstLine="720"/>
        <w:jc w:val="both"/>
        <w:rPr>
          <w:rFonts w:ascii="仿宋_GB2312" w:hAnsi="Cambria" w:eastAsia="仿宋_GB2312" w:cs="仿宋_GB2312"/>
          <w:sz w:val="32"/>
          <w:szCs w:val="32"/>
          <w:lang w:val="zh-CN"/>
        </w:rPr>
      </w:pPr>
      <w:r>
        <w:rPr>
          <w:rFonts w:hint="eastAsia" w:ascii="仿宋_GB2312" w:eastAsia="仿宋_GB2312" w:cs="Times New Roman"/>
          <w:kern w:val="2"/>
          <w:sz w:val="32"/>
          <w:szCs w:val="32"/>
          <w:lang w:val="zh-CN"/>
        </w:rPr>
        <w:t>项目完成情况每年都要向财政部门填写相关的绩效分析评价，并上报相关对口管理部门检查。</w:t>
      </w:r>
    </w:p>
    <w:p>
      <w:pPr>
        <w:keepNext/>
        <w:keepLines/>
        <w:spacing w:line="353" w:lineRule="auto"/>
        <w:ind w:firstLine="720"/>
        <w:jc w:val="both"/>
        <w:rPr>
          <w:rFonts w:ascii="仿宋_GB2312" w:hAnsi="Cambria" w:eastAsia="仿宋_GB2312" w:cs="仿宋_GB2312"/>
          <w:kern w:val="2"/>
          <w:sz w:val="32"/>
          <w:szCs w:val="32"/>
          <w:lang w:val="zh-CN"/>
        </w:rPr>
      </w:pPr>
      <w:r>
        <w:rPr>
          <w:rFonts w:hint="eastAsia" w:ascii="黑体" w:hAnsi="Cambria" w:eastAsia="黑体" w:cs="黑体"/>
          <w:kern w:val="2"/>
          <w:sz w:val="32"/>
          <w:szCs w:val="32"/>
        </w:rPr>
        <w:t>四、项目绩效情况</w:t>
      </w:r>
      <w:r>
        <w:rPr>
          <w:rFonts w:ascii="宋体" w:hAnsi="Cambria" w:eastAsia="宋体" w:cs="宋体"/>
          <w:kern w:val="2"/>
          <w:sz w:val="32"/>
          <w:szCs w:val="32"/>
          <w:lang w:val="zh-CN"/>
        </w:rPr>
        <w:tab/>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（一）项目完成情况。</w:t>
      </w:r>
    </w:p>
    <w:p>
      <w:pPr>
        <w:keepNext/>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1．数量指标：“两江三岸”部分山体提升改造工程款；区民政局等机关办公楼粉刷经费。</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2．质量指标： 达到国家现行质量标准。</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3．时效指标：项目实施时间为2022年1月至12月。</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4．成本指标：“两江三岸”部分山体提升改造工程款；区民政局等机关办公楼粉刷经费。</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（二）项目效益情况。</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1．社会效益指标：提高东区城市面貌。</w:t>
      </w:r>
    </w:p>
    <w:p>
      <w:pPr>
        <w:keepNext/>
        <w:keepLines/>
        <w:spacing w:line="353" w:lineRule="auto"/>
        <w:jc w:val="both"/>
        <w:rPr>
          <w:rFonts w:ascii="楷体_GB2312" w:hAnsi="Cambria" w:eastAsia="楷体_GB2312" w:cs="楷体_GB2312"/>
          <w:b/>
          <w:bCs/>
          <w:kern w:val="2"/>
          <w:sz w:val="32"/>
          <w:szCs w:val="32"/>
          <w:lang w:val="zh-CN"/>
        </w:rPr>
      </w:pPr>
      <w:r>
        <w:rPr>
          <w:rFonts w:hint="eastAsia" w:ascii="仿宋_GB2312" w:eastAsia="仿宋_GB2312" w:cs="Times New Roman"/>
          <w:kern w:val="2"/>
          <w:sz w:val="32"/>
          <w:szCs w:val="32"/>
          <w:lang w:val="zh-CN"/>
        </w:rPr>
        <w:t>　　２．可持续影响指标：提高东区城市面貌。</w:t>
      </w:r>
    </w:p>
    <w:p>
      <w:pPr>
        <w:keepNext/>
        <w:keepLines/>
        <w:spacing w:line="353" w:lineRule="auto"/>
        <w:ind w:firstLine="720"/>
        <w:jc w:val="both"/>
        <w:rPr>
          <w:rFonts w:ascii="仿宋_GB2312" w:eastAsia="仿宋_GB2312" w:cs="Times New Roman"/>
          <w:kern w:val="2"/>
          <w:sz w:val="32"/>
          <w:szCs w:val="32"/>
          <w:lang w:val="zh-CN"/>
        </w:rPr>
      </w:pPr>
      <w:r>
        <w:rPr>
          <w:rFonts w:hint="eastAsia" w:ascii="仿宋_GB2312" w:eastAsia="仿宋_GB2312" w:cs="Times New Roman"/>
          <w:kern w:val="2"/>
          <w:sz w:val="32"/>
          <w:szCs w:val="32"/>
          <w:lang w:val="zh-CN"/>
        </w:rPr>
        <w:t>３．服务对象满意度指标：服务对象和主管部门满意度大于90%。</w:t>
      </w:r>
    </w:p>
    <w:p>
      <w:pPr>
        <w:keepNext/>
        <w:keepLines/>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五、评价结论及建议</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（一）评价结论。</w:t>
      </w:r>
    </w:p>
    <w:p>
      <w:pPr>
        <w:keepNext/>
        <w:keepLines/>
        <w:spacing w:line="353" w:lineRule="auto"/>
        <w:ind w:firstLine="640"/>
        <w:rPr>
          <w:rFonts w:ascii="仿宋_GB2312" w:hAnsi="Cambria" w:eastAsia="仿宋_GB2312" w:cs="仿宋_GB2312"/>
          <w:sz w:val="32"/>
          <w:szCs w:val="32"/>
          <w:lang w:val="zh-CN"/>
        </w:rPr>
      </w:pPr>
      <w:r>
        <w:rPr>
          <w:rFonts w:ascii="Times New Roman" w:hAnsi="Times New Roman" w:eastAsia="仿宋_GB2312" w:cs="Times New Roman"/>
          <w:sz w:val="32"/>
          <w:szCs w:val="32"/>
          <w:lang w:val="zh-CN"/>
        </w:rPr>
        <w:t>2022年攀枝花市东区综合行政执法局自我绩效评价为：优秀。评价得分：</w:t>
      </w:r>
      <w:r>
        <w:rPr>
          <w:rFonts w:hint="eastAsia" w:ascii="Times New Roman" w:hAnsi="Times New Roman" w:eastAsia="仿宋_GB2312" w:cs="Times New Roman"/>
          <w:sz w:val="32"/>
          <w:szCs w:val="32"/>
        </w:rPr>
        <w:t>通用指标33分，共性指标20分，特性指标30分，个性指标10分，扣分项0分，合计93分。</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（二）存在的问题。</w:t>
      </w:r>
    </w:p>
    <w:p>
      <w:pPr>
        <w:keepNext/>
        <w:keepLines/>
        <w:spacing w:line="353" w:lineRule="auto"/>
        <w:ind w:firstLine="720"/>
        <w:jc w:val="both"/>
        <w:rPr>
          <w:rFonts w:ascii="楷体_GB2312" w:hAnsi="Cambria" w:eastAsia="楷体_GB2312" w:cs="楷体_GB2312"/>
          <w:b/>
          <w:bCs/>
          <w:kern w:val="2"/>
          <w:sz w:val="32"/>
          <w:szCs w:val="32"/>
          <w:lang w:val="zh-CN"/>
        </w:rPr>
      </w:pPr>
      <w:r>
        <w:rPr>
          <w:rFonts w:ascii="仿宋_GB2312" w:hAnsi="宋体" w:eastAsia="仿宋_GB2312"/>
          <w:sz w:val="32"/>
          <w:szCs w:val="32"/>
          <w:lang w:val="zh-CN"/>
        </w:rPr>
        <w:t>随着城市的发展，文明的进度，需进一步</w:t>
      </w:r>
      <w:r>
        <w:rPr>
          <w:rFonts w:hint="eastAsia" w:ascii="仿宋_GB2312" w:eastAsia="仿宋_GB2312" w:cs="Times New Roman"/>
          <w:kern w:val="2"/>
          <w:sz w:val="32"/>
          <w:szCs w:val="32"/>
          <w:lang w:val="zh-CN"/>
        </w:rPr>
        <w:t>提高东区城市面貌。</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（三）相关建议。</w:t>
      </w:r>
    </w:p>
    <w:p>
      <w:pPr>
        <w:keepNext/>
        <w:keepLines/>
        <w:spacing w:line="353" w:lineRule="auto"/>
        <w:ind w:firstLine="720"/>
        <w:jc w:val="both"/>
        <w:rPr>
          <w:rFonts w:ascii="仿宋_GB2312" w:eastAsia="仿宋_GB2312"/>
          <w:sz w:val="32"/>
          <w:szCs w:val="32"/>
        </w:rPr>
      </w:pPr>
      <w:r>
        <w:rPr>
          <w:rFonts w:hint="eastAsia" w:ascii="仿宋_GB2312" w:eastAsia="仿宋_GB2312"/>
          <w:sz w:val="32"/>
          <w:szCs w:val="32"/>
        </w:rPr>
        <w:t>加强资金监管，制定相应的资金使用计划，使之形成常态机制，加快资金使用进度。</w:t>
      </w:r>
    </w:p>
    <w:p>
      <w:pPr>
        <w:keepNext/>
        <w:keepLines/>
        <w:spacing w:line="353" w:lineRule="auto"/>
        <w:rPr>
          <w:rFonts w:ascii="仿宋_GB2312" w:hAnsi="Cambria" w:eastAsia="仿宋_GB2312" w:cs="仿宋_GB2312"/>
          <w:sz w:val="32"/>
          <w:szCs w:val="32"/>
        </w:rPr>
      </w:pPr>
    </w:p>
    <w:p>
      <w:pPr>
        <w:keepNext/>
        <w:keepLines/>
        <w:spacing w:line="353" w:lineRule="auto"/>
        <w:rPr>
          <w:rFonts w:ascii="仿宋_GB2312" w:hAnsi="Cambria" w:eastAsia="仿宋_GB2312" w:cs="仿宋_GB2312"/>
          <w:sz w:val="32"/>
          <w:szCs w:val="32"/>
        </w:rPr>
      </w:pPr>
      <w:r>
        <w:rPr>
          <w:rFonts w:hint="eastAsia" w:ascii="仿宋_GB2312" w:hAnsi="Cambria" w:eastAsia="仿宋_GB2312" w:cs="仿宋_GB2312"/>
          <w:sz w:val="32"/>
          <w:szCs w:val="32"/>
          <w:lang w:val="zh-CN"/>
        </w:rPr>
        <w:t>附件</w:t>
      </w:r>
      <w:r>
        <w:rPr>
          <w:rFonts w:ascii="仿宋_GB2312" w:hAnsi="Cambria" w:eastAsia="仿宋_GB2312" w:cs="仿宋_GB2312"/>
          <w:sz w:val="32"/>
          <w:szCs w:val="32"/>
        </w:rPr>
        <w:t>2</w:t>
      </w:r>
    </w:p>
    <w:p>
      <w:pPr>
        <w:keepNext/>
        <w:keepLines/>
        <w:spacing w:line="353" w:lineRule="auto"/>
        <w:jc w:val="center"/>
        <w:rPr>
          <w:rFonts w:hAnsi="Cambria" w:cs="方正小标宋简体"/>
          <w:kern w:val="2"/>
          <w:sz w:val="44"/>
          <w:szCs w:val="44"/>
        </w:rPr>
      </w:pPr>
      <w:r>
        <w:rPr>
          <w:rFonts w:hAnsi="Cambria" w:cs="方正小标宋简体"/>
          <w:kern w:val="2"/>
          <w:sz w:val="44"/>
          <w:szCs w:val="44"/>
        </w:rPr>
        <w:t>202</w:t>
      </w:r>
      <w:r>
        <w:rPr>
          <w:rFonts w:hint="eastAsia" w:hAnsi="Cambria" w:cs="方正小标宋简体"/>
          <w:kern w:val="2"/>
          <w:sz w:val="44"/>
          <w:szCs w:val="44"/>
        </w:rPr>
        <w:t>2年预算项目绩效自评报告</w:t>
      </w:r>
    </w:p>
    <w:p>
      <w:pPr>
        <w:keepNext/>
        <w:keepLines/>
        <w:spacing w:line="353" w:lineRule="auto"/>
        <w:ind w:firstLine="640"/>
        <w:jc w:val="center"/>
        <w:rPr>
          <w:rFonts w:ascii="仿宋_GB2312" w:hAnsi="Cambria" w:eastAsia="仿宋_GB2312" w:cs="仿宋_GB2312"/>
          <w:sz w:val="32"/>
          <w:szCs w:val="32"/>
        </w:rPr>
      </w:pPr>
      <w:r>
        <w:rPr>
          <w:rFonts w:hint="eastAsia" w:ascii="仿宋_GB2312" w:hAnsi="Cambria" w:eastAsia="仿宋_GB2312" w:cs="仿宋_GB2312"/>
          <w:sz w:val="32"/>
          <w:szCs w:val="32"/>
        </w:rPr>
        <w:t>（市城管监察支队和规建监察支队下沉人员经费）</w:t>
      </w:r>
    </w:p>
    <w:p>
      <w:pPr>
        <w:keepNext/>
        <w:keepLines/>
        <w:spacing w:line="353" w:lineRule="auto"/>
        <w:ind w:firstLine="720"/>
        <w:jc w:val="both"/>
        <w:rPr>
          <w:rFonts w:ascii="黑体" w:hAnsi="Cambria" w:eastAsia="黑体" w:cs="黑体"/>
          <w:kern w:val="2"/>
          <w:sz w:val="32"/>
          <w:szCs w:val="32"/>
          <w:lang w:val="zh-CN"/>
        </w:rPr>
      </w:pPr>
      <w:r>
        <w:rPr>
          <w:rFonts w:hint="eastAsia" w:ascii="黑体" w:hAnsi="Cambria" w:eastAsia="黑体" w:cs="黑体"/>
          <w:kern w:val="2"/>
          <w:sz w:val="32"/>
          <w:szCs w:val="32"/>
        </w:rPr>
        <w:t>一、</w:t>
      </w:r>
      <w:r>
        <w:rPr>
          <w:rFonts w:hint="eastAsia" w:ascii="黑体" w:hAnsi="Cambria" w:eastAsia="黑体" w:cs="黑体"/>
          <w:kern w:val="2"/>
          <w:sz w:val="32"/>
          <w:szCs w:val="32"/>
          <w:lang w:val="zh-CN"/>
        </w:rPr>
        <w:t>项目概况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（一）项目基本情况。</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w:t>
      </w:r>
      <w:r>
        <w:rPr>
          <w:rFonts w:hint="eastAsia" w:ascii="仿宋_GB2312" w:hAnsi="宋体" w:eastAsia="仿宋_GB2312"/>
          <w:sz w:val="32"/>
          <w:szCs w:val="32"/>
          <w:lang w:val="zh-CN"/>
        </w:rPr>
        <w:t>攀枝花市东区</w:t>
      </w:r>
      <w:r>
        <w:rPr>
          <w:rFonts w:hint="eastAsia" w:ascii="仿宋_GB2312" w:eastAsia="仿宋_GB2312"/>
          <w:sz w:val="32"/>
          <w:szCs w:val="32"/>
          <w:lang w:val="zh-CN"/>
        </w:rPr>
        <w:t>综合行政执法局</w:t>
      </w:r>
      <w:r>
        <w:rPr>
          <w:rFonts w:hint="eastAsia" w:ascii="仿宋_GB2312" w:hAnsi="宋体" w:eastAsia="仿宋_GB2312"/>
          <w:sz w:val="32"/>
          <w:szCs w:val="32"/>
          <w:lang w:val="zh-CN"/>
        </w:rPr>
        <w:t>是该项目的具体实施主体。</w:t>
      </w:r>
    </w:p>
    <w:p>
      <w:pPr>
        <w:keepNext/>
        <w:keepLines/>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2</w:t>
      </w:r>
      <w:r>
        <w:rPr>
          <w:rFonts w:hint="eastAsia" w:ascii="仿宋_GB2312" w:hAnsi="Cambria" w:eastAsia="仿宋_GB2312" w:cs="仿宋_GB2312"/>
          <w:sz w:val="32"/>
          <w:szCs w:val="32"/>
          <w:lang w:val="zh-CN"/>
        </w:rPr>
        <w:t>．项目立项、资金申报的依据</w:t>
      </w:r>
      <w:r>
        <w:rPr>
          <w:rFonts w:hint="eastAsia" w:ascii="宋体" w:hAnsi="Cambria" w:eastAsia="宋体" w:cs="宋体"/>
          <w:sz w:val="32"/>
          <w:szCs w:val="32"/>
        </w:rPr>
        <w:t>：</w:t>
      </w:r>
      <w:r>
        <w:rPr>
          <w:rFonts w:ascii="仿宋_GB2312" w:hAnsi="Cambria" w:eastAsia="仿宋_GB2312" w:cs="仿宋_GB2312"/>
          <w:sz w:val="32"/>
          <w:szCs w:val="32"/>
        </w:rPr>
        <w:t>保障</w:t>
      </w:r>
      <w:r>
        <w:rPr>
          <w:rFonts w:ascii="仿宋_GB2312" w:hAnsi="Cambria" w:eastAsia="仿宋_GB2312" w:cs="仿宋_GB2312"/>
          <w:bCs/>
          <w:sz w:val="32"/>
          <w:szCs w:val="32"/>
        </w:rPr>
        <w:t>东区城市管理工作正常运行</w:t>
      </w:r>
      <w:r>
        <w:rPr>
          <w:rFonts w:ascii="仿宋_GB2312" w:hAnsi="Cambria" w:eastAsia="仿宋_GB2312" w:cs="仿宋_GB2312"/>
          <w:sz w:val="32"/>
          <w:szCs w:val="32"/>
        </w:rPr>
        <w:t>。</w:t>
      </w:r>
      <w:r>
        <w:rPr>
          <w:rFonts w:hint="eastAsia" w:ascii="仿宋_GB2312" w:hAnsi="Cambria" w:eastAsia="仿宋_GB2312" w:cs="仿宋_GB2312"/>
          <w:sz w:val="32"/>
          <w:szCs w:val="32"/>
        </w:rPr>
        <w:t>一是下沉人员工资及福利待遇19*4.1万元/人/年=77.9万元；二是参照2021年11月计算：养老保险546.72元，医疗保险496.8元，失业保险20.78元，工伤保险27.71，公积金410元，月缴费合计1502.01元；1502.01元*12个月*19人=34.25万元。两项共计112.15万元。</w:t>
      </w:r>
    </w:p>
    <w:p>
      <w:pPr>
        <w:keepNext/>
        <w:keepLines/>
        <w:spacing w:line="353" w:lineRule="auto"/>
        <w:ind w:firstLine="640"/>
        <w:rPr>
          <w:rFonts w:ascii="仿宋_GB2312" w:hAnsi="Cambria" w:eastAsia="仿宋_GB2312" w:cs="仿宋_GB2312"/>
          <w:sz w:val="32"/>
          <w:szCs w:val="32"/>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．资金</w:t>
      </w:r>
      <w:r>
        <w:rPr>
          <w:rFonts w:hint="eastAsia" w:ascii="仿宋_GB2312" w:hAnsi="Cambria" w:eastAsia="仿宋_GB2312" w:cs="仿宋_GB2312"/>
          <w:sz w:val="32"/>
          <w:szCs w:val="32"/>
        </w:rPr>
        <w:t>或项目</w:t>
      </w:r>
      <w:r>
        <w:rPr>
          <w:rFonts w:hint="eastAsia" w:ascii="仿宋_GB2312" w:hAnsi="Cambria" w:eastAsia="仿宋_GB2312" w:cs="仿宋_GB2312"/>
          <w:sz w:val="32"/>
          <w:szCs w:val="32"/>
          <w:lang w:val="zh-CN"/>
        </w:rPr>
        <w:t>管理办法制定情况，资金支持具体项目的条件、范围与支持方式概况：</w:t>
      </w:r>
      <w:r>
        <w:rPr>
          <w:rFonts w:ascii="仿宋_GB2312" w:hAnsi="Cambria" w:eastAsia="仿宋_GB2312" w:cs="仿宋_GB2312"/>
          <w:sz w:val="32"/>
          <w:szCs w:val="32"/>
        </w:rPr>
        <w:t>保障</w:t>
      </w:r>
      <w:r>
        <w:rPr>
          <w:rFonts w:hint="eastAsia" w:ascii="仿宋_GB2312" w:hAnsi="Cambria" w:eastAsia="仿宋_GB2312" w:cs="仿宋_GB2312"/>
          <w:bCs/>
          <w:sz w:val="32"/>
          <w:szCs w:val="32"/>
        </w:rPr>
        <w:t>下沉</w:t>
      </w:r>
      <w:r>
        <w:rPr>
          <w:rFonts w:ascii="仿宋_GB2312" w:hAnsi="Cambria" w:eastAsia="仿宋_GB2312" w:cs="仿宋_GB2312"/>
          <w:bCs/>
          <w:sz w:val="32"/>
          <w:szCs w:val="32"/>
        </w:rPr>
        <w:t>人员</w:t>
      </w:r>
      <w:r>
        <w:rPr>
          <w:rFonts w:hint="eastAsia" w:ascii="仿宋_GB2312" w:hAnsi="Cambria" w:eastAsia="仿宋_GB2312" w:cs="仿宋_GB2312"/>
          <w:bCs/>
          <w:sz w:val="32"/>
          <w:szCs w:val="32"/>
        </w:rPr>
        <w:t>工资</w:t>
      </w:r>
      <w:r>
        <w:rPr>
          <w:rFonts w:ascii="仿宋_GB2312" w:hAnsi="Cambria" w:eastAsia="仿宋_GB2312" w:cs="仿宋_GB2312"/>
          <w:bCs/>
          <w:sz w:val="32"/>
          <w:szCs w:val="32"/>
        </w:rPr>
        <w:t>及福利待遇</w:t>
      </w:r>
      <w:r>
        <w:rPr>
          <w:rFonts w:ascii="仿宋_GB2312" w:hAnsi="Cambria" w:eastAsia="仿宋_GB2312" w:cs="仿宋_GB2312"/>
          <w:sz w:val="32"/>
          <w:szCs w:val="32"/>
        </w:rPr>
        <w:t>。</w:t>
      </w:r>
    </w:p>
    <w:p>
      <w:pPr>
        <w:keepNext/>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4</w:t>
      </w:r>
      <w:r>
        <w:rPr>
          <w:rFonts w:hint="eastAsia" w:ascii="仿宋_GB2312" w:hAnsi="Cambria" w:eastAsia="仿宋_GB2312" w:cs="仿宋_GB2312"/>
          <w:sz w:val="32"/>
          <w:szCs w:val="32"/>
          <w:lang w:val="zh-CN"/>
        </w:rPr>
        <w:t>．资金分配的原则及考虑因素：</w:t>
      </w:r>
      <w:r>
        <w:rPr>
          <w:rFonts w:ascii="仿宋_GB2312" w:hAnsi="Cambria" w:eastAsia="仿宋_GB2312" w:cs="仿宋_GB2312"/>
          <w:sz w:val="32"/>
          <w:szCs w:val="32"/>
        </w:rPr>
        <w:t>保障</w:t>
      </w:r>
      <w:r>
        <w:rPr>
          <w:rFonts w:hint="eastAsia" w:ascii="仿宋_GB2312" w:hAnsi="Cambria" w:eastAsia="仿宋_GB2312" w:cs="仿宋_GB2312"/>
          <w:bCs/>
          <w:sz w:val="32"/>
          <w:szCs w:val="32"/>
        </w:rPr>
        <w:t>下沉</w:t>
      </w:r>
      <w:r>
        <w:rPr>
          <w:rFonts w:ascii="仿宋_GB2312" w:hAnsi="Cambria" w:eastAsia="仿宋_GB2312" w:cs="仿宋_GB2312"/>
          <w:bCs/>
          <w:sz w:val="32"/>
          <w:szCs w:val="32"/>
        </w:rPr>
        <w:t>人员</w:t>
      </w:r>
      <w:r>
        <w:rPr>
          <w:rFonts w:hint="eastAsia" w:ascii="仿宋_GB2312" w:hAnsi="Cambria" w:eastAsia="仿宋_GB2312" w:cs="仿宋_GB2312"/>
          <w:bCs/>
          <w:sz w:val="32"/>
          <w:szCs w:val="32"/>
        </w:rPr>
        <w:t>工资</w:t>
      </w:r>
      <w:r>
        <w:rPr>
          <w:rFonts w:ascii="仿宋_GB2312" w:hAnsi="Cambria" w:eastAsia="仿宋_GB2312" w:cs="仿宋_GB2312"/>
          <w:bCs/>
          <w:sz w:val="32"/>
          <w:szCs w:val="32"/>
        </w:rPr>
        <w:t>及福利待遇</w:t>
      </w:r>
      <w:r>
        <w:rPr>
          <w:rFonts w:ascii="仿宋_GB2312" w:hAnsi="Cambria" w:eastAsia="仿宋_GB2312" w:cs="仿宋_GB2312"/>
          <w:sz w:val="32"/>
          <w:szCs w:val="32"/>
        </w:rPr>
        <w:t>。</w:t>
      </w:r>
      <w:r>
        <w:rPr>
          <w:rFonts w:hint="eastAsia" w:ascii="仿宋_GB2312" w:hAnsi="Cambria" w:eastAsia="仿宋_GB2312" w:cs="仿宋_GB2312"/>
          <w:sz w:val="32"/>
          <w:szCs w:val="32"/>
        </w:rPr>
        <w:t>下沉人员工资及福利待遇19*4.1万元/人/年=77.9万元；参照2021年11月计算：养老保险546.72元，医疗保险496.8元，失业保险20.78元，工伤保险27.71，公积金410元，月缴费合计1502.01元；1502.01元*12个月*19人=34.25万元。两项共计112.15万元。</w:t>
      </w:r>
    </w:p>
    <w:p>
      <w:pPr>
        <w:keepNext/>
        <w:tabs>
          <w:tab w:val="left" w:pos="851"/>
        </w:tabs>
        <w:spacing w:line="353" w:lineRule="auto"/>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 xml:space="preserve">   （二）项目绩效目标。</w:t>
      </w:r>
    </w:p>
    <w:p>
      <w:pPr>
        <w:keepNext/>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1</w:t>
      </w:r>
      <w:r>
        <w:rPr>
          <w:rFonts w:hint="eastAsia" w:ascii="仿宋_GB2312" w:hAnsi="Cambria" w:eastAsia="仿宋_GB2312" w:cs="仿宋_GB2312"/>
          <w:sz w:val="32"/>
          <w:szCs w:val="32"/>
          <w:lang w:val="zh-CN"/>
        </w:rPr>
        <w:t>．项目主要内容:</w:t>
      </w:r>
      <w:r>
        <w:rPr>
          <w:rFonts w:hint="eastAsia" w:ascii="仿宋_GB2312" w:hAnsi="Cambria" w:eastAsia="仿宋_GB2312" w:cs="仿宋_GB2312"/>
          <w:sz w:val="32"/>
          <w:szCs w:val="32"/>
        </w:rPr>
        <w:t>市城管监察支队和规建监察支队下沉人员经费112.15万元，主要用于：1.下沉人员工资及福利待遇19*4.1万元/人/年=77.9万元；2.参照2021年11月计算：养老保险546.72元，医疗保险496.8元，失业保险20.78元，工伤保险27.71，公积金410元，月缴费合计1502.01元；1502.01元*12个月*19人=34.25万元。两项共计112.15万元。</w:t>
      </w:r>
    </w:p>
    <w:p>
      <w:pPr>
        <w:keepNext/>
        <w:spacing w:line="353" w:lineRule="auto"/>
        <w:ind w:firstLine="640"/>
        <w:rPr>
          <w:rFonts w:ascii="仿宋_GB2312" w:hAnsi="Cambria" w:eastAsia="仿宋_GB2312" w:cs="仿宋_GB2312"/>
          <w:sz w:val="32"/>
          <w:szCs w:val="32"/>
        </w:rPr>
      </w:pPr>
      <w:r>
        <w:rPr>
          <w:rFonts w:ascii="仿宋_GB2312" w:hAnsi="Cambria" w:eastAsia="仿宋_GB2312" w:cs="仿宋_GB2312"/>
          <w:sz w:val="32"/>
          <w:szCs w:val="32"/>
          <w:lang w:val="zh-CN"/>
        </w:rPr>
        <w:t>2</w:t>
      </w:r>
      <w:r>
        <w:rPr>
          <w:rFonts w:hint="eastAsia" w:ascii="仿宋_GB2312" w:hAnsi="Cambria" w:eastAsia="仿宋_GB2312" w:cs="仿宋_GB2312"/>
          <w:sz w:val="32"/>
          <w:szCs w:val="32"/>
          <w:lang w:val="zh-CN"/>
        </w:rPr>
        <w:t>．项目应实现的具体绩效目标</w:t>
      </w:r>
      <w:r>
        <w:rPr>
          <w:rFonts w:hint="eastAsia" w:ascii="宋体" w:hAnsi="Cambria" w:eastAsia="宋体" w:cs="宋体"/>
          <w:sz w:val="32"/>
          <w:szCs w:val="32"/>
        </w:rPr>
        <w:t>：</w:t>
      </w:r>
      <w:r>
        <w:rPr>
          <w:rFonts w:ascii="仿宋_GB2312" w:hAnsi="Cambria" w:eastAsia="仿宋_GB2312" w:cs="仿宋_GB2312"/>
          <w:sz w:val="32"/>
          <w:szCs w:val="32"/>
        </w:rPr>
        <w:t>保障</w:t>
      </w:r>
      <w:r>
        <w:rPr>
          <w:rFonts w:hint="eastAsia" w:ascii="仿宋_GB2312" w:hAnsi="Cambria" w:eastAsia="仿宋_GB2312" w:cs="仿宋_GB2312"/>
          <w:bCs/>
          <w:sz w:val="32"/>
          <w:szCs w:val="32"/>
        </w:rPr>
        <w:t>下沉</w:t>
      </w:r>
      <w:r>
        <w:rPr>
          <w:rFonts w:ascii="仿宋_GB2312" w:hAnsi="Cambria" w:eastAsia="仿宋_GB2312" w:cs="仿宋_GB2312"/>
          <w:bCs/>
          <w:sz w:val="32"/>
          <w:szCs w:val="32"/>
        </w:rPr>
        <w:t>人员</w:t>
      </w:r>
      <w:r>
        <w:rPr>
          <w:rFonts w:hint="eastAsia" w:ascii="仿宋_GB2312" w:hAnsi="Cambria" w:eastAsia="仿宋_GB2312" w:cs="仿宋_GB2312"/>
          <w:bCs/>
          <w:sz w:val="32"/>
          <w:szCs w:val="32"/>
        </w:rPr>
        <w:t>工资</w:t>
      </w:r>
      <w:r>
        <w:rPr>
          <w:rFonts w:ascii="仿宋_GB2312" w:hAnsi="Cambria" w:eastAsia="仿宋_GB2312" w:cs="仿宋_GB2312"/>
          <w:bCs/>
          <w:sz w:val="32"/>
          <w:szCs w:val="32"/>
        </w:rPr>
        <w:t>及福利待遇</w:t>
      </w:r>
      <w:r>
        <w:rPr>
          <w:rFonts w:ascii="仿宋_GB2312" w:hAnsi="Cambria" w:eastAsia="仿宋_GB2312" w:cs="仿宋_GB2312"/>
          <w:sz w:val="32"/>
          <w:szCs w:val="32"/>
        </w:rPr>
        <w:t>。</w:t>
      </w:r>
    </w:p>
    <w:p>
      <w:pPr>
        <w:keepNext/>
        <w:spacing w:line="353" w:lineRule="auto"/>
        <w:ind w:firstLine="640"/>
        <w:rPr>
          <w:rFonts w:ascii="仿宋_GB2312" w:hAnsi="Cambria" w:eastAsia="仿宋_GB2312" w:cs="仿宋_GB2312"/>
          <w:sz w:val="32"/>
          <w:szCs w:val="32"/>
          <w:lang w:val="zh-CN"/>
        </w:rPr>
      </w:pPr>
      <w:r>
        <w:rPr>
          <w:rFonts w:ascii="仿宋_GB2312" w:hAnsi="Cambria" w:eastAsia="仿宋_GB2312" w:cs="仿宋_GB2312"/>
          <w:sz w:val="32"/>
          <w:szCs w:val="32"/>
          <w:lang w:val="zh-CN"/>
        </w:rPr>
        <w:t>3</w:t>
      </w:r>
      <w:r>
        <w:rPr>
          <w:rFonts w:hint="eastAsia" w:ascii="仿宋_GB2312" w:hAnsi="Cambria" w:eastAsia="仿宋_GB2312" w:cs="仿宋_GB2312"/>
          <w:sz w:val="32"/>
          <w:szCs w:val="32"/>
          <w:lang w:val="zh-CN"/>
        </w:rPr>
        <w:t>．分析评价申报内容是否与实际相符，申报目标是否合理可行。通过自评，申报内容与实际相符，申报目标合理可行。</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（三）项目自评步骤及方法。</w:t>
      </w:r>
    </w:p>
    <w:p>
      <w:pPr>
        <w:keepNext/>
        <w:spacing w:line="353" w:lineRule="auto"/>
        <w:ind w:firstLine="720"/>
        <w:jc w:val="both"/>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按照区财政下达的项目支出绩效评价指标体系，针对申报内容、实施情况、资金兑现、财务管理、社会效益等做出自我评价。</w:t>
      </w:r>
    </w:p>
    <w:p>
      <w:pPr>
        <w:keepNext/>
        <w:keepLines/>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二、项目资金申报及使用情况</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（一）项目资金申报及批复情况。</w:t>
      </w:r>
    </w:p>
    <w:p>
      <w:pPr>
        <w:keepNext/>
        <w:keepLines/>
        <w:spacing w:line="353" w:lineRule="auto"/>
        <w:ind w:firstLine="640"/>
        <w:rPr>
          <w:rFonts w:ascii="仿宋_GB2312" w:hAnsi="Cambria" w:eastAsia="仿宋_GB2312" w:cs="仿宋_GB2312"/>
          <w:b/>
          <w:bCs/>
          <w:sz w:val="32"/>
          <w:szCs w:val="32"/>
          <w:lang w:val="zh-CN"/>
        </w:rPr>
      </w:pPr>
      <w:r>
        <w:rPr>
          <w:rFonts w:hint="eastAsia" w:ascii="仿宋_GB2312" w:hAnsi="Cambria" w:eastAsia="仿宋_GB2312" w:cs="仿宋_GB2312"/>
          <w:sz w:val="32"/>
          <w:szCs w:val="32"/>
          <w:lang w:val="zh-CN"/>
        </w:rPr>
        <w:t>该项目在上年末进行预算工作时申报，年初区财政下达批复及拨付经费。</w:t>
      </w:r>
    </w:p>
    <w:p>
      <w:pPr>
        <w:keepNext/>
        <w:keepLines/>
        <w:spacing w:line="353" w:lineRule="auto"/>
        <w:ind w:firstLine="720"/>
        <w:jc w:val="both"/>
        <w:rPr>
          <w:rFonts w:ascii="仿宋_GB2312" w:hAnsi="Cambria" w:eastAsia="仿宋_GB2312" w:cs="仿宋_GB2312"/>
          <w:kern w:val="2"/>
          <w:sz w:val="32"/>
          <w:szCs w:val="32"/>
          <w:lang w:val="zh-CN"/>
        </w:rPr>
      </w:pPr>
      <w:r>
        <w:rPr>
          <w:rFonts w:hint="eastAsia" w:ascii="楷体_GB2312" w:hAnsi="Cambria" w:eastAsia="楷体_GB2312" w:cs="楷体_GB2312"/>
          <w:b/>
          <w:bCs/>
          <w:kern w:val="2"/>
          <w:sz w:val="32"/>
          <w:szCs w:val="32"/>
          <w:lang w:val="zh-CN"/>
        </w:rPr>
        <w:t>（二）资金计划、到位及使用情况（可用表格形式反映）。</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1．资金计划。</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该项目属区级预算项目经费。</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2．资金到位。</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已全部到位。</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3．资金使用。</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该项目资金已在2022年内按相关规定全部使用，资金的支付范围、支付标准、支付依据合法合规与预算相符。</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（三）项目财务管理情况。</w:t>
      </w:r>
    </w:p>
    <w:p>
      <w:pPr>
        <w:keepNext/>
        <w:keepLines/>
        <w:spacing w:line="353" w:lineRule="auto"/>
        <w:ind w:firstLine="720"/>
        <w:jc w:val="both"/>
        <w:rPr>
          <w:rFonts w:ascii="仿宋_GB2312" w:hAnsi="Cambria" w:eastAsia="仿宋_GB2312" w:cs="仿宋_GB2312"/>
          <w:sz w:val="32"/>
          <w:szCs w:val="32"/>
          <w:lang w:val="zh-CN"/>
        </w:rPr>
      </w:pPr>
      <w:r>
        <w:rPr>
          <w:rFonts w:ascii="仿宋_GB2312" w:hAnsi="Cambria" w:eastAsia="仿宋_GB2312" w:cs="仿宋_GB2312"/>
          <w:sz w:val="32"/>
          <w:szCs w:val="32"/>
          <w:lang w:val="zh-CN"/>
        </w:rPr>
        <w:t>财务管理制度健全，严格执行财务管理制度，账务处理及时，会计核算规范</w:t>
      </w:r>
      <w:r>
        <w:rPr>
          <w:rFonts w:hint="eastAsia" w:ascii="仿宋_GB2312" w:hAnsi="Cambria" w:eastAsia="仿宋_GB2312" w:cs="仿宋_GB2312"/>
          <w:sz w:val="32"/>
          <w:szCs w:val="32"/>
          <w:lang w:val="zh-CN"/>
        </w:rPr>
        <w:t>。</w:t>
      </w:r>
    </w:p>
    <w:p>
      <w:pPr>
        <w:keepNext/>
        <w:keepLines/>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三、项目实施及管理情况</w:t>
      </w:r>
    </w:p>
    <w:p>
      <w:pPr>
        <w:keepNext/>
        <w:keepLines/>
        <w:spacing w:line="353" w:lineRule="auto"/>
        <w:ind w:firstLine="640"/>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结合项目组织实施管理办法，重点围绕以下内容进行分析评价，并对自评中发现的问题分析说明。</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（一）项目组织架构及实施流程。</w:t>
      </w:r>
    </w:p>
    <w:p>
      <w:pPr>
        <w:keepNext/>
        <w:keepLines/>
        <w:spacing w:line="353" w:lineRule="auto"/>
        <w:ind w:firstLine="720"/>
        <w:jc w:val="both"/>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1．区财政根据预算项目批复，下达项目经费，预算单位进行项目实施计划。</w:t>
      </w:r>
    </w:p>
    <w:p>
      <w:pPr>
        <w:keepNext/>
        <w:keepLines/>
        <w:spacing w:line="353" w:lineRule="auto"/>
        <w:ind w:firstLine="720"/>
        <w:jc w:val="both"/>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2．资金支付时根据实际情况，报分管领导审批同意，呈报主要负责人审核并批复同意支付。</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（二）项目管理情况。</w:t>
      </w:r>
    </w:p>
    <w:p>
      <w:pPr>
        <w:keepNext/>
        <w:keepLines/>
        <w:spacing w:line="353" w:lineRule="auto"/>
        <w:ind w:firstLine="720"/>
        <w:jc w:val="both"/>
        <w:rPr>
          <w:rFonts w:ascii="仿宋_GB2312" w:hAnsi="Cambria" w:eastAsia="仿宋_GB2312" w:cs="仿宋_GB2312"/>
          <w:b/>
          <w:bCs/>
          <w:sz w:val="32"/>
          <w:szCs w:val="32"/>
          <w:lang w:val="zh-CN"/>
        </w:rPr>
      </w:pPr>
      <w:r>
        <w:rPr>
          <w:rFonts w:hint="eastAsia" w:ascii="仿宋_GB2312" w:hAnsi="Cambria" w:eastAsia="仿宋_GB2312" w:cs="仿宋_GB2312"/>
          <w:sz w:val="32"/>
          <w:szCs w:val="32"/>
          <w:lang w:val="zh-CN"/>
        </w:rPr>
        <w:t>项目是区财政纳入年度预算，我局严格安照项目要求及财经法律法规等要求落实的。</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（三）项目监管情况</w:t>
      </w:r>
    </w:p>
    <w:p>
      <w:pPr>
        <w:keepNext/>
        <w:keepLines/>
        <w:spacing w:line="353" w:lineRule="auto"/>
        <w:ind w:firstLine="720"/>
        <w:jc w:val="both"/>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项目完成情况每年都要向财政部门填写相关的绩效分析评价，并上报相关对口管理部门检查。</w:t>
      </w:r>
    </w:p>
    <w:p>
      <w:pPr>
        <w:keepNext/>
        <w:keepLines/>
        <w:spacing w:line="353" w:lineRule="auto"/>
        <w:ind w:firstLine="720"/>
        <w:jc w:val="both"/>
        <w:rPr>
          <w:rFonts w:ascii="仿宋_GB2312" w:hAnsi="Cambria" w:eastAsia="仿宋_GB2312" w:cs="仿宋_GB2312"/>
          <w:kern w:val="2"/>
          <w:sz w:val="32"/>
          <w:szCs w:val="32"/>
          <w:lang w:val="zh-CN"/>
        </w:rPr>
      </w:pPr>
      <w:r>
        <w:rPr>
          <w:rFonts w:hint="eastAsia" w:ascii="黑体" w:hAnsi="Cambria" w:eastAsia="黑体" w:cs="黑体"/>
          <w:kern w:val="2"/>
          <w:sz w:val="32"/>
          <w:szCs w:val="32"/>
        </w:rPr>
        <w:t>四、项目绩效情况</w:t>
      </w:r>
      <w:r>
        <w:rPr>
          <w:rFonts w:ascii="宋体" w:hAnsi="Cambria" w:eastAsia="宋体" w:cs="宋体"/>
          <w:kern w:val="2"/>
          <w:sz w:val="32"/>
          <w:szCs w:val="32"/>
          <w:lang w:val="zh-CN"/>
        </w:rPr>
        <w:tab/>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（一）项目完成情况。</w:t>
      </w:r>
    </w:p>
    <w:p>
      <w:pPr>
        <w:keepNext/>
        <w:keepLines/>
        <w:spacing w:line="353" w:lineRule="auto"/>
        <w:ind w:firstLine="720"/>
        <w:jc w:val="both"/>
        <w:rPr>
          <w:rFonts w:ascii="仿宋_GB2312" w:hAnsi="Cambria" w:eastAsia="仿宋_GB2312" w:cs="仿宋_GB2312"/>
          <w:sz w:val="32"/>
          <w:szCs w:val="32"/>
        </w:rPr>
      </w:pPr>
      <w:r>
        <w:rPr>
          <w:rFonts w:hint="eastAsia" w:ascii="仿宋_GB2312" w:hAnsi="Cambria" w:eastAsia="仿宋_GB2312" w:cs="仿宋_GB2312"/>
          <w:sz w:val="32"/>
          <w:szCs w:val="32"/>
        </w:rPr>
        <w:t>1．数量指标：下沉人员19人。工资及福利待遇19*4.1万元/人/年=77.9万元；参照2021年11月计算：养老保险546.72元，医疗保险496.8元，失业保险20.78元，工伤保险27.71，公积金410元，月缴费合计1502.01元。</w:t>
      </w:r>
    </w:p>
    <w:p>
      <w:pPr>
        <w:keepNext/>
        <w:keepLines/>
        <w:spacing w:line="353" w:lineRule="auto"/>
        <w:ind w:firstLine="640"/>
        <w:jc w:val="both"/>
        <w:rPr>
          <w:rFonts w:ascii="仿宋_GB2312" w:hAnsi="Cambria" w:eastAsia="仿宋_GB2312" w:cs="仿宋_GB2312"/>
          <w:sz w:val="32"/>
          <w:szCs w:val="32"/>
        </w:rPr>
      </w:pPr>
      <w:r>
        <w:rPr>
          <w:rFonts w:hint="eastAsia" w:ascii="仿宋_GB2312" w:hAnsi="Cambria" w:eastAsia="仿宋_GB2312" w:cs="仿宋_GB2312"/>
          <w:sz w:val="32"/>
          <w:szCs w:val="32"/>
        </w:rPr>
        <w:t>2．质量指标：</w:t>
      </w:r>
      <w:r>
        <w:rPr>
          <w:rFonts w:hint="eastAsia" w:ascii="仿宋_GB2312" w:hAnsi="宋体" w:eastAsia="仿宋_GB2312"/>
          <w:sz w:val="32"/>
          <w:szCs w:val="32"/>
          <w:lang w:val="zh-CN"/>
        </w:rPr>
        <w:t>提高下沉人员的工作积极性和工作效率，确保工作优质高效完成。</w:t>
      </w:r>
    </w:p>
    <w:p>
      <w:pPr>
        <w:keepNext/>
        <w:keepLines/>
        <w:spacing w:line="353" w:lineRule="auto"/>
        <w:ind w:firstLine="640"/>
        <w:jc w:val="both"/>
        <w:rPr>
          <w:rFonts w:ascii="仿宋_GB2312" w:hAnsi="宋体" w:eastAsia="仿宋_GB2312"/>
          <w:sz w:val="32"/>
          <w:szCs w:val="32"/>
          <w:lang w:val="zh-CN"/>
        </w:rPr>
      </w:pPr>
      <w:r>
        <w:rPr>
          <w:rFonts w:hint="eastAsia" w:ascii="仿宋_GB2312" w:hAnsi="Cambria" w:eastAsia="仿宋_GB2312" w:cs="仿宋_GB2312"/>
          <w:sz w:val="32"/>
          <w:szCs w:val="32"/>
        </w:rPr>
        <w:t>3．时效指标：</w:t>
      </w:r>
      <w:r>
        <w:rPr>
          <w:rFonts w:hint="eastAsia" w:ascii="仿宋_GB2312" w:hAnsi="宋体" w:eastAsia="仿宋_GB2312"/>
          <w:sz w:val="32"/>
          <w:szCs w:val="32"/>
          <w:lang w:val="zh-CN"/>
        </w:rPr>
        <w:t>项目实施时间为20</w:t>
      </w:r>
      <w:r>
        <w:rPr>
          <w:rFonts w:ascii="仿宋_GB2312" w:hAnsi="宋体" w:eastAsia="仿宋_GB2312"/>
          <w:sz w:val="32"/>
          <w:szCs w:val="32"/>
          <w:lang w:val="zh-CN"/>
        </w:rPr>
        <w:t>2</w:t>
      </w:r>
      <w:r>
        <w:rPr>
          <w:rFonts w:hint="eastAsia" w:ascii="仿宋_GB2312" w:hAnsi="宋体" w:eastAsia="仿宋_GB2312"/>
          <w:sz w:val="32"/>
          <w:szCs w:val="32"/>
          <w:lang w:val="zh-CN"/>
        </w:rPr>
        <w:t>2年1月至12月。</w:t>
      </w:r>
    </w:p>
    <w:p>
      <w:pPr>
        <w:keepNext/>
        <w:keepLines/>
        <w:spacing w:line="353" w:lineRule="auto"/>
        <w:ind w:firstLine="640"/>
        <w:jc w:val="both"/>
        <w:rPr>
          <w:rFonts w:ascii="仿宋_GB2312" w:hAnsi="Cambria" w:eastAsia="仿宋_GB2312" w:cs="仿宋_GB2312"/>
          <w:sz w:val="32"/>
          <w:szCs w:val="32"/>
          <w:lang w:val="zh-CN"/>
        </w:rPr>
      </w:pPr>
      <w:r>
        <w:rPr>
          <w:rFonts w:hint="eastAsia" w:ascii="仿宋_GB2312" w:hAnsi="宋体" w:eastAsia="仿宋_GB2312"/>
          <w:sz w:val="32"/>
          <w:szCs w:val="32"/>
          <w:lang w:val="zh-CN"/>
        </w:rPr>
        <w:t>4．成本指标：</w:t>
      </w:r>
      <w:r>
        <w:rPr>
          <w:rFonts w:hint="eastAsia" w:ascii="仿宋_GB2312" w:hAnsi="Cambria" w:eastAsia="仿宋_GB2312" w:cs="仿宋_GB2312"/>
          <w:sz w:val="32"/>
          <w:szCs w:val="32"/>
        </w:rPr>
        <w:t>市城管监察支队和规建监察支队下沉人员支付112.15万元。</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（二）项目效益情况。</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sz w:val="32"/>
          <w:szCs w:val="32"/>
          <w:lang w:val="zh-CN"/>
        </w:rPr>
        <w:t>1．社会效益指标：确保下沉人员工作优质高效完成，对下沉人员安全进行保障。</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sz w:val="32"/>
          <w:szCs w:val="32"/>
          <w:lang w:val="zh-CN"/>
        </w:rPr>
        <w:t>2．</w:t>
      </w:r>
      <w:r>
        <w:rPr>
          <w:rFonts w:ascii="仿宋_GB2312" w:hAnsi="宋体" w:eastAsia="仿宋_GB2312"/>
          <w:sz w:val="32"/>
          <w:szCs w:val="32"/>
          <w:lang w:val="zh-CN"/>
        </w:rPr>
        <w:t>可持续</w:t>
      </w:r>
      <w:r>
        <w:rPr>
          <w:rFonts w:hint="eastAsia" w:ascii="仿宋_GB2312" w:hAnsi="宋体" w:eastAsia="仿宋_GB2312"/>
          <w:sz w:val="32"/>
          <w:szCs w:val="32"/>
          <w:lang w:val="zh-CN"/>
        </w:rPr>
        <w:t>影响指标：提升下沉人员的综合业务素质，提高工作效率，营造良好的城市环境。</w:t>
      </w:r>
    </w:p>
    <w:p>
      <w:pPr>
        <w:keepNext/>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sz w:val="32"/>
          <w:szCs w:val="32"/>
          <w:lang w:val="zh-CN"/>
        </w:rPr>
        <w:t>3．服务对象满意度指标：服务对象和主管部门满意度大于90%以上。</w:t>
      </w:r>
    </w:p>
    <w:p>
      <w:pPr>
        <w:keepNext/>
        <w:spacing w:line="353" w:lineRule="auto"/>
        <w:ind w:firstLine="720"/>
        <w:jc w:val="both"/>
        <w:rPr>
          <w:rFonts w:ascii="黑体" w:hAnsi="Cambria" w:eastAsia="黑体" w:cs="黑体"/>
          <w:kern w:val="2"/>
          <w:sz w:val="32"/>
          <w:szCs w:val="32"/>
        </w:rPr>
      </w:pPr>
      <w:r>
        <w:rPr>
          <w:rFonts w:hint="eastAsia" w:ascii="黑体" w:hAnsi="Cambria" w:eastAsia="黑体" w:cs="黑体"/>
          <w:kern w:val="2"/>
          <w:sz w:val="32"/>
          <w:szCs w:val="32"/>
        </w:rPr>
        <w:t>五、评价结论及建议</w:t>
      </w:r>
    </w:p>
    <w:p>
      <w:pPr>
        <w:keepNext/>
        <w:spacing w:line="353" w:lineRule="auto"/>
        <w:ind w:firstLine="720"/>
        <w:jc w:val="both"/>
        <w:rPr>
          <w:rFonts w:ascii="仿宋_GB2312" w:hAnsi="Cambria" w:eastAsia="仿宋_GB2312" w:cs="仿宋_GB2312"/>
          <w:sz w:val="32"/>
          <w:szCs w:val="32"/>
          <w:lang w:val="zh-CN"/>
        </w:rPr>
      </w:pPr>
      <w:r>
        <w:rPr>
          <w:rFonts w:hint="eastAsia" w:ascii="仿宋_GB2312" w:hAnsi="Cambria" w:eastAsia="仿宋_GB2312" w:cs="仿宋_GB2312"/>
          <w:sz w:val="32"/>
          <w:szCs w:val="32"/>
          <w:lang w:val="zh-CN"/>
        </w:rPr>
        <w:t>2022年攀枝花市东区综合行政执法局自我绩效评价为：优秀。评价得分：通用指标36分，共性指标20分，特性指标30分，个性指标10分，扣分项0分，合计96分。</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（二）存在的问题。</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sz w:val="32"/>
          <w:szCs w:val="32"/>
          <w:lang w:val="zh-CN"/>
        </w:rPr>
        <w:t>继续加强市容秩序整治，严格加强考勤管理，进一步规范执法工作，进一步提升城市形象。</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楷体_GB2312" w:hAnsi="Cambria" w:eastAsia="楷体_GB2312" w:cs="楷体_GB2312"/>
          <w:b/>
          <w:bCs/>
          <w:kern w:val="2"/>
          <w:sz w:val="32"/>
          <w:szCs w:val="32"/>
          <w:lang w:val="zh-CN"/>
        </w:rPr>
        <w:t>（三）相关建议。</w:t>
      </w:r>
    </w:p>
    <w:p>
      <w:pPr>
        <w:keepNext/>
        <w:keepLines/>
        <w:spacing w:line="353" w:lineRule="auto"/>
        <w:ind w:firstLine="720"/>
        <w:jc w:val="both"/>
        <w:rPr>
          <w:rFonts w:ascii="楷体_GB2312" w:hAnsi="Cambria" w:eastAsia="楷体_GB2312" w:cs="楷体_GB2312"/>
          <w:b/>
          <w:bCs/>
          <w:kern w:val="2"/>
          <w:sz w:val="32"/>
          <w:szCs w:val="32"/>
          <w:lang w:val="zh-CN"/>
        </w:rPr>
      </w:pPr>
      <w:r>
        <w:rPr>
          <w:rFonts w:hint="eastAsia" w:ascii="仿宋_GB2312" w:hAnsi="宋体" w:eastAsia="仿宋_GB2312"/>
          <w:sz w:val="32"/>
          <w:szCs w:val="32"/>
          <w:lang w:val="zh-CN"/>
        </w:rPr>
        <w:t>加强资金监管，制定相应的资金使用计划，使之形成常态机制，加快资金使用进度。</w:t>
      </w:r>
    </w:p>
    <w:p>
      <w:pPr>
        <w:keepNext/>
        <w:keepLines/>
        <w:spacing w:line="353" w:lineRule="auto"/>
        <w:rPr>
          <w:rFonts w:ascii="黑体" w:hAnsi="Cambria" w:eastAsia="黑体" w:cs="黑体"/>
          <w:kern w:val="44"/>
          <w:sz w:val="44"/>
          <w:szCs w:val="44"/>
        </w:rPr>
      </w:pPr>
    </w:p>
    <w:p>
      <w:pPr>
        <w:keepNext/>
        <w:keepLines/>
        <w:spacing w:line="353" w:lineRule="auto"/>
        <w:rPr>
          <w:rFonts w:ascii="黑体" w:hAnsi="Cambria" w:eastAsia="黑体" w:cs="黑体"/>
          <w:kern w:val="44"/>
          <w:sz w:val="44"/>
          <w:szCs w:val="44"/>
        </w:rPr>
      </w:pPr>
    </w:p>
    <w:p>
      <w:pPr>
        <w:keepNext/>
        <w:keepLines/>
        <w:spacing w:line="353" w:lineRule="auto"/>
        <w:rPr>
          <w:rFonts w:ascii="黑体" w:hAnsi="Cambria" w:eastAsia="黑体" w:cs="黑体"/>
          <w:kern w:val="44"/>
          <w:sz w:val="44"/>
          <w:szCs w:val="44"/>
        </w:rPr>
      </w:pPr>
    </w:p>
    <w:p>
      <w:pPr>
        <w:keepNext/>
        <w:keepLines/>
        <w:spacing w:line="353" w:lineRule="auto"/>
        <w:rPr>
          <w:rFonts w:ascii="黑体" w:hAnsi="Cambria" w:eastAsia="黑体" w:cs="黑体"/>
          <w:kern w:val="44"/>
          <w:sz w:val="44"/>
          <w:szCs w:val="44"/>
        </w:rPr>
      </w:pPr>
    </w:p>
    <w:p>
      <w:pPr>
        <w:keepNext/>
        <w:keepLines/>
        <w:spacing w:line="353" w:lineRule="auto"/>
        <w:rPr>
          <w:rFonts w:ascii="黑体" w:hAnsi="Cambria" w:eastAsia="黑体" w:cs="黑体"/>
          <w:kern w:val="44"/>
          <w:sz w:val="44"/>
          <w:szCs w:val="44"/>
        </w:rPr>
      </w:pPr>
    </w:p>
    <w:p>
      <w:pPr>
        <w:keepNext/>
        <w:keepLines/>
        <w:spacing w:line="353" w:lineRule="auto"/>
        <w:rPr>
          <w:rFonts w:ascii="黑体" w:hAnsi="Cambria" w:eastAsia="黑体" w:cs="黑体"/>
          <w:kern w:val="44"/>
          <w:sz w:val="44"/>
          <w:szCs w:val="44"/>
        </w:rPr>
      </w:pPr>
    </w:p>
    <w:p>
      <w:pPr>
        <w:keepNext/>
        <w:keepLines/>
        <w:spacing w:line="353" w:lineRule="auto"/>
        <w:rPr>
          <w:rFonts w:ascii="黑体" w:hAnsi="Cambria" w:eastAsia="黑体" w:cs="黑体"/>
          <w:kern w:val="44"/>
          <w:sz w:val="44"/>
          <w:szCs w:val="44"/>
        </w:rPr>
      </w:pPr>
    </w:p>
    <w:p>
      <w:pPr>
        <w:keepNext/>
        <w:keepLines/>
        <w:spacing w:line="353" w:lineRule="auto"/>
        <w:rPr>
          <w:rFonts w:ascii="黑体" w:hAnsi="Cambria" w:eastAsia="黑体" w:cs="黑体"/>
          <w:kern w:val="44"/>
          <w:sz w:val="44"/>
          <w:szCs w:val="44"/>
        </w:rPr>
      </w:pPr>
    </w:p>
    <w:p>
      <w:pPr>
        <w:keepNext/>
        <w:keepLines/>
        <w:spacing w:line="353" w:lineRule="auto"/>
        <w:rPr>
          <w:rFonts w:ascii="仿宋_GB2312" w:hAnsi="Cambria" w:eastAsia="仿宋_GB2312" w:cs="仿宋_GB2312"/>
          <w:sz w:val="32"/>
          <w:szCs w:val="32"/>
        </w:rPr>
      </w:pPr>
    </w:p>
    <w:p>
      <w:pPr>
        <w:pStyle w:val="3"/>
        <w:keepNext/>
        <w:keepLines/>
        <w:spacing w:before="260" w:after="260" w:line="353" w:lineRule="auto"/>
        <w:jc w:val="center"/>
        <w:rPr>
          <w:rFonts w:ascii="仿宋" w:hAnsi="Cambria" w:eastAsia="仿宋" w:cs="仿宋"/>
          <w:kern w:val="2"/>
          <w:sz w:val="32"/>
          <w:szCs w:val="32"/>
        </w:rPr>
      </w:pPr>
      <w:r>
        <w:rPr>
          <w:rFonts w:hint="eastAsia" w:ascii="黑体" w:hAnsi="Cambria" w:eastAsia="黑体" w:cs="黑体"/>
          <w:kern w:val="2"/>
          <w:sz w:val="44"/>
          <w:szCs w:val="44"/>
        </w:rPr>
        <w:t>第</w:t>
      </w:r>
      <w:r>
        <w:rPr>
          <w:rFonts w:hint="eastAsia" w:ascii="黑体" w:hAnsi="Cambria" w:eastAsia="黑体" w:cs="黑体"/>
          <w:kern w:val="44"/>
          <w:sz w:val="44"/>
          <w:szCs w:val="44"/>
        </w:rPr>
        <w:t>五部分</w:t>
      </w:r>
      <w:r>
        <w:rPr>
          <w:rFonts w:ascii="黑体" w:hAnsi="Cambria" w:eastAsia="黑体" w:cs="黑体"/>
          <w:kern w:val="44"/>
          <w:sz w:val="44"/>
          <w:szCs w:val="44"/>
        </w:rPr>
        <w:t xml:space="preserve"> </w:t>
      </w:r>
      <w:r>
        <w:rPr>
          <w:rFonts w:hint="eastAsia" w:ascii="黑体" w:hAnsi="Cambria" w:eastAsia="黑体" w:cs="黑体"/>
          <w:kern w:val="44"/>
          <w:sz w:val="44"/>
          <w:szCs w:val="44"/>
        </w:rPr>
        <w:t>附表</w:t>
      </w:r>
    </w:p>
    <w:p>
      <w:pPr>
        <w:pStyle w:val="3"/>
        <w:keepNext/>
        <w:keepLines/>
        <w:spacing w:before="260" w:after="260" w:line="353" w:lineRule="auto"/>
        <w:jc w:val="both"/>
        <w:rPr>
          <w:rFonts w:ascii="仿宋" w:hAnsi="Cambria" w:eastAsia="仿宋" w:cs="仿宋"/>
          <w:b/>
          <w:bCs/>
          <w:kern w:val="2"/>
          <w:sz w:val="32"/>
          <w:szCs w:val="32"/>
        </w:rPr>
      </w:pPr>
      <w:r>
        <w:rPr>
          <w:rFonts w:hint="eastAsia" w:ascii="仿宋" w:hAnsi="Cambria" w:eastAsia="仿宋" w:cs="仿宋"/>
          <w:kern w:val="2"/>
          <w:sz w:val="32"/>
          <w:szCs w:val="32"/>
        </w:rPr>
        <w:t>一、</w:t>
      </w:r>
      <w:r>
        <w:rPr>
          <w:rFonts w:hint="eastAsia" w:ascii="仿宋_GB2312" w:hAnsi="Cambria" w:eastAsia="仿宋_GB2312" w:cs="仿宋"/>
          <w:kern w:val="2"/>
          <w:sz w:val="32"/>
          <w:szCs w:val="32"/>
        </w:rPr>
        <w:t>收入支出决算总表</w:t>
      </w:r>
    </w:p>
    <w:p>
      <w:pPr>
        <w:pStyle w:val="3"/>
        <w:keepNext/>
        <w:keepLines/>
        <w:spacing w:before="260" w:after="260" w:line="353" w:lineRule="auto"/>
        <w:jc w:val="both"/>
        <w:rPr>
          <w:rFonts w:ascii="仿宋_GB2312" w:hAnsi="Cambria" w:eastAsia="仿宋_GB2312" w:cs="仿宋"/>
          <w:b/>
          <w:bCs/>
          <w:kern w:val="2"/>
          <w:sz w:val="32"/>
          <w:szCs w:val="32"/>
        </w:rPr>
      </w:pPr>
      <w:r>
        <w:rPr>
          <w:rFonts w:hint="eastAsia" w:ascii="仿宋" w:hAnsi="Cambria" w:eastAsia="仿宋" w:cs="仿宋"/>
          <w:kern w:val="2"/>
          <w:sz w:val="32"/>
          <w:szCs w:val="32"/>
        </w:rPr>
        <w:t>二、</w:t>
      </w:r>
      <w:r>
        <w:rPr>
          <w:rFonts w:hint="eastAsia" w:ascii="仿宋_GB2312" w:hAnsi="Cambria" w:eastAsia="仿宋_GB2312" w:cs="仿宋"/>
          <w:kern w:val="2"/>
          <w:sz w:val="32"/>
          <w:szCs w:val="32"/>
        </w:rPr>
        <w:t>收入决算表</w:t>
      </w:r>
    </w:p>
    <w:p>
      <w:pPr>
        <w:pStyle w:val="3"/>
        <w:keepNext/>
        <w:keepLines/>
        <w:spacing w:before="260" w:after="260" w:line="353" w:lineRule="auto"/>
        <w:jc w:val="both"/>
        <w:rPr>
          <w:rFonts w:ascii="仿宋_GB2312" w:hAnsi="Cambria" w:eastAsia="仿宋_GB2312" w:cs="仿宋"/>
          <w:b/>
          <w:bCs/>
          <w:kern w:val="2"/>
          <w:sz w:val="32"/>
          <w:szCs w:val="32"/>
        </w:rPr>
      </w:pPr>
      <w:r>
        <w:rPr>
          <w:rFonts w:hint="eastAsia" w:ascii="仿宋_GB2312" w:hAnsi="Cambria" w:eastAsia="仿宋_GB2312" w:cs="仿宋"/>
          <w:kern w:val="2"/>
          <w:sz w:val="32"/>
          <w:szCs w:val="32"/>
        </w:rPr>
        <w:t>三、支出决算表</w:t>
      </w:r>
    </w:p>
    <w:p>
      <w:pPr>
        <w:pStyle w:val="3"/>
        <w:keepNext/>
        <w:keepLines/>
        <w:spacing w:before="260" w:after="260" w:line="353" w:lineRule="auto"/>
        <w:jc w:val="both"/>
        <w:rPr>
          <w:rFonts w:ascii="仿宋_GB2312" w:hAnsi="Cambria" w:eastAsia="仿宋_GB2312" w:cs="仿宋"/>
          <w:kern w:val="2"/>
          <w:sz w:val="32"/>
          <w:szCs w:val="32"/>
        </w:rPr>
      </w:pPr>
      <w:r>
        <w:rPr>
          <w:rFonts w:hint="eastAsia" w:ascii="仿宋_GB2312" w:hAnsi="Cambria" w:eastAsia="仿宋_GB2312" w:cs="仿宋"/>
          <w:kern w:val="2"/>
          <w:sz w:val="32"/>
          <w:szCs w:val="32"/>
        </w:rPr>
        <w:t>四、财政拨款收入支出决算总表</w:t>
      </w:r>
    </w:p>
    <w:p>
      <w:pPr>
        <w:pStyle w:val="3"/>
        <w:keepNext/>
        <w:keepLines/>
        <w:spacing w:before="260" w:after="260" w:line="353" w:lineRule="auto"/>
        <w:jc w:val="both"/>
        <w:rPr>
          <w:rFonts w:ascii="仿宋_GB2312" w:hAnsi="Cambria" w:eastAsia="仿宋_GB2312" w:cs="仿宋"/>
          <w:kern w:val="2"/>
          <w:sz w:val="32"/>
          <w:szCs w:val="32"/>
        </w:rPr>
      </w:pPr>
      <w:r>
        <w:rPr>
          <w:rFonts w:hint="eastAsia" w:ascii="仿宋_GB2312" w:hAnsi="Cambria" w:eastAsia="仿宋_GB2312" w:cs="仿宋"/>
          <w:kern w:val="2"/>
          <w:sz w:val="32"/>
          <w:szCs w:val="32"/>
        </w:rPr>
        <w:t>五、财政拨款支出决算明细表</w:t>
      </w:r>
    </w:p>
    <w:p>
      <w:pPr>
        <w:pStyle w:val="3"/>
        <w:keepNext/>
        <w:keepLines/>
        <w:spacing w:before="260" w:after="260" w:line="353" w:lineRule="auto"/>
        <w:jc w:val="both"/>
        <w:rPr>
          <w:rFonts w:ascii="仿宋_GB2312" w:hAnsi="Cambria" w:eastAsia="仿宋_GB2312" w:cs="仿宋"/>
          <w:b/>
          <w:bCs/>
          <w:kern w:val="2"/>
          <w:sz w:val="32"/>
          <w:szCs w:val="32"/>
        </w:rPr>
      </w:pPr>
      <w:r>
        <w:rPr>
          <w:rFonts w:hint="eastAsia" w:ascii="仿宋_GB2312" w:hAnsi="Cambria" w:eastAsia="仿宋_GB2312" w:cs="仿宋"/>
          <w:kern w:val="2"/>
          <w:sz w:val="32"/>
          <w:szCs w:val="32"/>
        </w:rPr>
        <w:t>六、一般公共预算财政拨款支出决算表</w:t>
      </w:r>
    </w:p>
    <w:p>
      <w:pPr>
        <w:pStyle w:val="3"/>
        <w:keepNext/>
        <w:keepLines/>
        <w:spacing w:before="260" w:after="260" w:line="353" w:lineRule="auto"/>
        <w:jc w:val="both"/>
        <w:rPr>
          <w:rFonts w:ascii="仿宋_GB2312" w:hAnsi="Cambria" w:eastAsia="仿宋_GB2312" w:cs="仿宋"/>
          <w:b/>
          <w:bCs/>
          <w:kern w:val="2"/>
          <w:sz w:val="32"/>
          <w:szCs w:val="32"/>
        </w:rPr>
      </w:pPr>
      <w:r>
        <w:rPr>
          <w:rFonts w:hint="eastAsia" w:ascii="仿宋_GB2312" w:hAnsi="Cambria" w:eastAsia="仿宋_GB2312" w:cs="仿宋"/>
          <w:kern w:val="2"/>
          <w:sz w:val="32"/>
          <w:szCs w:val="32"/>
        </w:rPr>
        <w:t>七、一般公共预算财政拨款支出决算明细表</w:t>
      </w:r>
    </w:p>
    <w:p>
      <w:pPr>
        <w:pStyle w:val="3"/>
        <w:keepNext/>
        <w:keepLines/>
        <w:spacing w:before="260" w:after="260" w:line="353" w:lineRule="auto"/>
        <w:jc w:val="both"/>
        <w:rPr>
          <w:rFonts w:ascii="仿宋_GB2312" w:hAnsi="Cambria" w:eastAsia="仿宋_GB2312" w:cs="仿宋"/>
          <w:b/>
          <w:bCs/>
          <w:kern w:val="2"/>
          <w:sz w:val="32"/>
          <w:szCs w:val="32"/>
        </w:rPr>
      </w:pPr>
      <w:r>
        <w:rPr>
          <w:rFonts w:hint="eastAsia" w:ascii="仿宋_GB2312" w:hAnsi="Cambria" w:eastAsia="仿宋_GB2312" w:cs="仿宋"/>
          <w:kern w:val="2"/>
          <w:sz w:val="32"/>
          <w:szCs w:val="32"/>
        </w:rPr>
        <w:t>八、一般公共预算财政拨款基本支出决算表</w:t>
      </w:r>
    </w:p>
    <w:p>
      <w:pPr>
        <w:pStyle w:val="3"/>
        <w:keepNext/>
        <w:keepLines/>
        <w:spacing w:before="260" w:after="260" w:line="353" w:lineRule="auto"/>
        <w:jc w:val="both"/>
        <w:rPr>
          <w:rFonts w:ascii="仿宋_GB2312" w:hAnsi="Cambria" w:eastAsia="仿宋_GB2312" w:cs="仿宋"/>
          <w:b/>
          <w:bCs/>
          <w:kern w:val="2"/>
          <w:sz w:val="32"/>
          <w:szCs w:val="32"/>
        </w:rPr>
      </w:pPr>
      <w:r>
        <w:rPr>
          <w:rFonts w:hint="eastAsia" w:ascii="仿宋_GB2312" w:hAnsi="Cambria" w:eastAsia="仿宋_GB2312" w:cs="仿宋"/>
          <w:kern w:val="2"/>
          <w:sz w:val="32"/>
          <w:szCs w:val="32"/>
        </w:rPr>
        <w:t>九、一般公共预算财政拨款项目支出决算表</w:t>
      </w:r>
    </w:p>
    <w:p>
      <w:pPr>
        <w:pStyle w:val="3"/>
        <w:keepNext/>
        <w:keepLines/>
        <w:spacing w:before="260" w:after="260" w:line="353" w:lineRule="auto"/>
        <w:jc w:val="both"/>
        <w:rPr>
          <w:rFonts w:ascii="仿宋_GB2312" w:hAnsi="Cambria" w:eastAsia="仿宋_GB2312" w:cs="仿宋"/>
          <w:b/>
          <w:bCs/>
          <w:kern w:val="2"/>
          <w:sz w:val="32"/>
          <w:szCs w:val="32"/>
        </w:rPr>
      </w:pPr>
      <w:r>
        <w:rPr>
          <w:rFonts w:hint="eastAsia" w:ascii="仿宋_GB2312" w:hAnsi="Cambria" w:eastAsia="仿宋_GB2312" w:cs="仿宋"/>
          <w:kern w:val="2"/>
          <w:sz w:val="32"/>
          <w:szCs w:val="32"/>
        </w:rPr>
        <w:t>十、政府性基金预算财政拨款收入支出决算表</w:t>
      </w:r>
    </w:p>
    <w:p>
      <w:pPr>
        <w:pStyle w:val="3"/>
        <w:keepNext/>
        <w:keepLines/>
        <w:spacing w:before="260" w:after="260" w:line="353" w:lineRule="auto"/>
        <w:jc w:val="both"/>
        <w:rPr>
          <w:rFonts w:ascii="仿宋_GB2312" w:hAnsi="Cambria" w:eastAsia="仿宋_GB2312" w:cs="仿宋"/>
          <w:b/>
          <w:bCs/>
          <w:kern w:val="2"/>
          <w:sz w:val="32"/>
          <w:szCs w:val="32"/>
        </w:rPr>
      </w:pPr>
      <w:r>
        <w:rPr>
          <w:rFonts w:hint="eastAsia" w:ascii="仿宋_GB2312" w:hAnsi="Cambria" w:eastAsia="仿宋_GB2312" w:cs="仿宋"/>
          <w:kern w:val="2"/>
          <w:sz w:val="32"/>
          <w:szCs w:val="32"/>
        </w:rPr>
        <w:t>十一、国有资本经营预算财政拨款收入支出决算表</w:t>
      </w:r>
    </w:p>
    <w:p>
      <w:pPr>
        <w:pStyle w:val="3"/>
        <w:keepNext/>
        <w:keepLines/>
        <w:spacing w:before="260" w:after="260" w:line="353" w:lineRule="auto"/>
        <w:jc w:val="both"/>
        <w:rPr>
          <w:rFonts w:ascii="仿宋_GB2312" w:hAnsi="Cambria" w:eastAsia="仿宋_GB2312" w:cs="仿宋"/>
          <w:b/>
          <w:bCs/>
          <w:kern w:val="2"/>
          <w:sz w:val="32"/>
          <w:szCs w:val="32"/>
        </w:rPr>
      </w:pPr>
      <w:r>
        <w:rPr>
          <w:rFonts w:hint="eastAsia" w:ascii="仿宋_GB2312" w:hAnsi="Cambria" w:eastAsia="仿宋_GB2312" w:cs="仿宋"/>
          <w:kern w:val="2"/>
          <w:sz w:val="32"/>
          <w:szCs w:val="32"/>
        </w:rPr>
        <w:t>十二、国有资本经营预算财政拨款支出决算表</w:t>
      </w:r>
    </w:p>
    <w:p>
      <w:pPr>
        <w:pStyle w:val="3"/>
        <w:keepNext/>
        <w:keepLines/>
        <w:spacing w:before="260" w:after="260" w:line="353" w:lineRule="auto"/>
        <w:jc w:val="both"/>
        <w:rPr>
          <w:rFonts w:ascii="仿宋_GB2312" w:hAnsi="Cambria" w:eastAsia="仿宋_GB2312" w:cs="仿宋"/>
          <w:b/>
          <w:bCs/>
          <w:kern w:val="2"/>
          <w:sz w:val="32"/>
          <w:szCs w:val="32"/>
        </w:rPr>
      </w:pPr>
      <w:r>
        <w:rPr>
          <w:rFonts w:hint="eastAsia" w:ascii="仿宋_GB2312" w:hAnsi="Cambria" w:eastAsia="仿宋_GB2312" w:cs="仿宋"/>
          <w:kern w:val="2"/>
          <w:sz w:val="32"/>
          <w:szCs w:val="32"/>
        </w:rPr>
        <w:t>十三、财政拨款“三公”经费支出决算表</w:t>
      </w:r>
    </w:p>
    <w:p>
      <w:pPr>
        <w:spacing w:line="353" w:lineRule="auto"/>
        <w:rPr>
          <w:rFonts w:ascii="华文中宋" w:hAnsi="Cambria" w:eastAsia="华文中宋" w:cs="华文中宋"/>
          <w:kern w:val="2"/>
          <w:sz w:val="36"/>
          <w:szCs w:val="36"/>
        </w:rPr>
      </w:pPr>
    </w:p>
    <w:sectPr>
      <w:headerReference r:id="rId3" w:type="default"/>
      <w:footerReference r:id="rId5" w:type="default"/>
      <w:headerReference r:id="rId4" w:type="even"/>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autofit"/>
      <w:tblCellMar>
        <w:top w:w="58" w:type="dxa"/>
        <w:left w:w="115" w:type="dxa"/>
        <w:bottom w:w="58" w:type="dxa"/>
        <w:right w:w="115" w:type="dxa"/>
      </w:tblCellMar>
    </w:tblPr>
    <w:tblGrid>
      <w:gridCol w:w="1330"/>
      <w:gridCol w:w="7540"/>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750" w:type="pct"/>
        </w:tcPr>
        <w:p>
          <w:pPr>
            <w:pStyle w:val="8"/>
            <w:jc w:val="right"/>
            <w:rPr>
              <w:color w:val="4F81BD" w:themeColor="accent1"/>
            </w:rPr>
          </w:pPr>
          <w:r>
            <w:fldChar w:fldCharType="begin"/>
          </w:r>
          <w:r>
            <w:instrText xml:space="preserve"> PAGE   \* MERGEFORMAT </w:instrText>
          </w:r>
          <w:r>
            <w:fldChar w:fldCharType="separate"/>
          </w:r>
          <w:r>
            <w:rPr>
              <w:color w:val="4F81BD" w:themeColor="accent1"/>
              <w:lang w:val="zh-CN"/>
            </w:rPr>
            <w:t>2</w:t>
          </w:r>
          <w:r>
            <w:fldChar w:fldCharType="end"/>
          </w:r>
        </w:p>
      </w:tc>
      <w:tc>
        <w:tcPr>
          <w:tcW w:w="4250" w:type="pct"/>
        </w:tcPr>
        <w:p>
          <w:pPr>
            <w:pStyle w:val="8"/>
            <w:rPr>
              <w:color w:val="4F81BD" w:themeColor="accent1"/>
            </w:rPr>
          </w:pPr>
        </w:p>
      </w:tc>
    </w:tr>
  </w:tbl>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9771E3"/>
    <w:rsid w:val="00054A98"/>
    <w:rsid w:val="000551CE"/>
    <w:rsid w:val="00092E2E"/>
    <w:rsid w:val="000B1E2D"/>
    <w:rsid w:val="000B72FD"/>
    <w:rsid w:val="00155388"/>
    <w:rsid w:val="00162F8A"/>
    <w:rsid w:val="00181D14"/>
    <w:rsid w:val="001A011C"/>
    <w:rsid w:val="001C4148"/>
    <w:rsid w:val="002430B1"/>
    <w:rsid w:val="00262DF9"/>
    <w:rsid w:val="00286020"/>
    <w:rsid w:val="002E6F6B"/>
    <w:rsid w:val="003403F4"/>
    <w:rsid w:val="0035623D"/>
    <w:rsid w:val="00360FC3"/>
    <w:rsid w:val="003741EB"/>
    <w:rsid w:val="00374B1C"/>
    <w:rsid w:val="003D06EE"/>
    <w:rsid w:val="00427682"/>
    <w:rsid w:val="00453CC7"/>
    <w:rsid w:val="004713DF"/>
    <w:rsid w:val="004810A8"/>
    <w:rsid w:val="005032DF"/>
    <w:rsid w:val="00587CFB"/>
    <w:rsid w:val="005C0F47"/>
    <w:rsid w:val="005E7185"/>
    <w:rsid w:val="0060799F"/>
    <w:rsid w:val="00615AF6"/>
    <w:rsid w:val="00630986"/>
    <w:rsid w:val="00656D60"/>
    <w:rsid w:val="00666733"/>
    <w:rsid w:val="006748ED"/>
    <w:rsid w:val="006763FF"/>
    <w:rsid w:val="00696F75"/>
    <w:rsid w:val="006A7AED"/>
    <w:rsid w:val="006B0736"/>
    <w:rsid w:val="006D347B"/>
    <w:rsid w:val="006F4C93"/>
    <w:rsid w:val="007123F0"/>
    <w:rsid w:val="00714957"/>
    <w:rsid w:val="0074372C"/>
    <w:rsid w:val="008522B2"/>
    <w:rsid w:val="00881353"/>
    <w:rsid w:val="008857F4"/>
    <w:rsid w:val="008C123D"/>
    <w:rsid w:val="009771E3"/>
    <w:rsid w:val="009B4CDA"/>
    <w:rsid w:val="009B5BF2"/>
    <w:rsid w:val="009F595D"/>
    <w:rsid w:val="00A82BFB"/>
    <w:rsid w:val="00AB4596"/>
    <w:rsid w:val="00AF0AFE"/>
    <w:rsid w:val="00B47856"/>
    <w:rsid w:val="00BB3423"/>
    <w:rsid w:val="00BE6E5B"/>
    <w:rsid w:val="00BF360E"/>
    <w:rsid w:val="00BF754B"/>
    <w:rsid w:val="00C20216"/>
    <w:rsid w:val="00C20DAE"/>
    <w:rsid w:val="00C42B17"/>
    <w:rsid w:val="00C54259"/>
    <w:rsid w:val="00CA2A43"/>
    <w:rsid w:val="00CB1BDC"/>
    <w:rsid w:val="00CD70E7"/>
    <w:rsid w:val="00CE1840"/>
    <w:rsid w:val="00D2240E"/>
    <w:rsid w:val="00D274F6"/>
    <w:rsid w:val="00D43F61"/>
    <w:rsid w:val="00D94596"/>
    <w:rsid w:val="00DA0F61"/>
    <w:rsid w:val="00DB4740"/>
    <w:rsid w:val="00DC6243"/>
    <w:rsid w:val="00DD3561"/>
    <w:rsid w:val="00E064F5"/>
    <w:rsid w:val="00E24356"/>
    <w:rsid w:val="00E31D83"/>
    <w:rsid w:val="00E37398"/>
    <w:rsid w:val="00E418CA"/>
    <w:rsid w:val="00E65515"/>
    <w:rsid w:val="00E97EDA"/>
    <w:rsid w:val="00ED1056"/>
    <w:rsid w:val="00EE1D22"/>
    <w:rsid w:val="00EE5490"/>
    <w:rsid w:val="00F213C0"/>
    <w:rsid w:val="00F5750B"/>
    <w:rsid w:val="00F65712"/>
    <w:rsid w:val="00F6761D"/>
    <w:rsid w:val="00F72E53"/>
    <w:rsid w:val="00F9130E"/>
    <w:rsid w:val="00FA10DB"/>
    <w:rsid w:val="00FA706E"/>
    <w:rsid w:val="00FA783A"/>
    <w:rsid w:val="33F85BE9"/>
    <w:rsid w:val="38DA3D16"/>
    <w:rsid w:val="51CA7CE2"/>
    <w:rsid w:val="595152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方正小标宋简体" w:eastAsia="方正小标宋简体" w:hAnsiTheme="minorHAnsi" w:cstheme="minorBidi"/>
      <w:kern w:val="0"/>
      <w:sz w:val="24"/>
      <w:szCs w:val="24"/>
      <w:lang w:val="en-US" w:eastAsia="zh-CN" w:bidi="ar-SA"/>
    </w:rPr>
  </w:style>
  <w:style w:type="paragraph" w:styleId="2">
    <w:name w:val="heading 1"/>
    <w:basedOn w:val="1"/>
    <w:next w:val="1"/>
    <w:link w:val="14"/>
    <w:qFormat/>
    <w:uiPriority w:val="99"/>
    <w:pPr>
      <w:outlineLvl w:val="0"/>
    </w:pPr>
  </w:style>
  <w:style w:type="paragraph" w:styleId="3">
    <w:name w:val="heading 2"/>
    <w:basedOn w:val="1"/>
    <w:next w:val="1"/>
    <w:link w:val="15"/>
    <w:qFormat/>
    <w:uiPriority w:val="99"/>
    <w:pPr>
      <w:outlineLvl w:val="1"/>
    </w:p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99"/>
    <w:pPr>
      <w:autoSpaceDE/>
      <w:autoSpaceDN/>
      <w:adjustRightInd/>
      <w:spacing w:beforeLines="30"/>
      <w:jc w:val="both"/>
    </w:pPr>
    <w:rPr>
      <w:rFonts w:ascii="仿宋_GB2312" w:hAnsi="Times New Roman" w:eastAsia="仿宋_GB2312" w:cs="Times New Roman"/>
      <w:szCs w:val="20"/>
    </w:rPr>
  </w:style>
  <w:style w:type="paragraph" w:styleId="5">
    <w:name w:val="Plain Text"/>
    <w:basedOn w:val="1"/>
    <w:link w:val="22"/>
    <w:qFormat/>
    <w:uiPriority w:val="0"/>
    <w:pPr>
      <w:autoSpaceDE/>
      <w:autoSpaceDN/>
      <w:adjustRightInd/>
      <w:jc w:val="both"/>
    </w:pPr>
    <w:rPr>
      <w:rFonts w:ascii="宋体" w:hAnsi="Courier New" w:eastAsia="宋体" w:cs="Times New Roman"/>
      <w:kern w:val="2"/>
      <w:sz w:val="21"/>
    </w:rPr>
  </w:style>
  <w:style w:type="paragraph" w:styleId="6">
    <w:name w:val="Body Text Indent 2"/>
    <w:basedOn w:val="1"/>
    <w:link w:val="21"/>
    <w:semiHidden/>
    <w:unhideWhenUsed/>
    <w:qFormat/>
    <w:uiPriority w:val="99"/>
    <w:pPr>
      <w:spacing w:after="120" w:line="480" w:lineRule="auto"/>
      <w:ind w:left="420" w:leftChars="200"/>
    </w:p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autoSpaceDE/>
      <w:autoSpaceDN/>
      <w:adjustRightInd/>
      <w:spacing w:before="100" w:beforeAutospacing="1" w:after="100" w:afterAutospacing="1"/>
    </w:pPr>
    <w:rPr>
      <w:rFonts w:ascii="宋体" w:hAnsi="宋体" w:eastAsia="宋体" w:cs="宋体"/>
    </w:rPr>
  </w:style>
  <w:style w:type="character" w:styleId="13">
    <w:name w:val="Strong"/>
    <w:qFormat/>
    <w:uiPriority w:val="99"/>
    <w:rPr>
      <w:rFonts w:cs="Times New Roman"/>
      <w:b/>
    </w:rPr>
  </w:style>
  <w:style w:type="character" w:customStyle="1" w:styleId="14">
    <w:name w:val="标题 1 Char"/>
    <w:basedOn w:val="12"/>
    <w:link w:val="2"/>
    <w:qFormat/>
    <w:uiPriority w:val="9"/>
    <w:rPr>
      <w:rFonts w:ascii="方正小标宋简体" w:eastAsia="方正小标宋简体"/>
      <w:b/>
      <w:bCs/>
      <w:kern w:val="44"/>
      <w:sz w:val="44"/>
      <w:szCs w:val="44"/>
    </w:rPr>
  </w:style>
  <w:style w:type="character" w:customStyle="1" w:styleId="15">
    <w:name w:val="标题 2 Char"/>
    <w:basedOn w:val="12"/>
    <w:link w:val="3"/>
    <w:semiHidden/>
    <w:qFormat/>
    <w:uiPriority w:val="9"/>
    <w:rPr>
      <w:rFonts w:asciiTheme="majorHAnsi" w:hAnsiTheme="majorHAnsi" w:eastAsiaTheme="majorEastAsia" w:cstheme="majorBidi"/>
      <w:b/>
      <w:bCs/>
      <w:kern w:val="0"/>
      <w:sz w:val="32"/>
      <w:szCs w:val="32"/>
    </w:rPr>
  </w:style>
  <w:style w:type="character" w:customStyle="1" w:styleId="16">
    <w:name w:val="页眉 Char"/>
    <w:basedOn w:val="12"/>
    <w:link w:val="9"/>
    <w:qFormat/>
    <w:uiPriority w:val="99"/>
    <w:rPr>
      <w:rFonts w:ascii="方正小标宋简体" w:eastAsia="方正小标宋简体"/>
      <w:kern w:val="0"/>
      <w:sz w:val="18"/>
      <w:szCs w:val="18"/>
    </w:rPr>
  </w:style>
  <w:style w:type="character" w:customStyle="1" w:styleId="17">
    <w:name w:val="页脚 Char"/>
    <w:basedOn w:val="12"/>
    <w:link w:val="8"/>
    <w:qFormat/>
    <w:uiPriority w:val="99"/>
    <w:rPr>
      <w:rFonts w:ascii="方正小标宋简体" w:eastAsia="方正小标宋简体"/>
      <w:kern w:val="0"/>
      <w:sz w:val="18"/>
      <w:szCs w:val="18"/>
    </w:rPr>
  </w:style>
  <w:style w:type="character" w:customStyle="1" w:styleId="18">
    <w:name w:val="批注框文本 Char"/>
    <w:basedOn w:val="12"/>
    <w:link w:val="7"/>
    <w:semiHidden/>
    <w:qFormat/>
    <w:uiPriority w:val="99"/>
    <w:rPr>
      <w:rFonts w:ascii="方正小标宋简体" w:eastAsia="方正小标宋简体"/>
      <w:kern w:val="0"/>
      <w:sz w:val="18"/>
      <w:szCs w:val="18"/>
    </w:rPr>
  </w:style>
  <w:style w:type="paragraph" w:customStyle="1" w:styleId="19">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character" w:customStyle="1" w:styleId="20">
    <w:name w:val="正文文本 Char"/>
    <w:basedOn w:val="12"/>
    <w:link w:val="4"/>
    <w:qFormat/>
    <w:uiPriority w:val="99"/>
    <w:rPr>
      <w:rFonts w:ascii="仿宋_GB2312" w:hAnsi="Times New Roman" w:eastAsia="仿宋_GB2312" w:cs="Times New Roman"/>
      <w:kern w:val="0"/>
      <w:sz w:val="24"/>
      <w:szCs w:val="20"/>
    </w:rPr>
  </w:style>
  <w:style w:type="character" w:customStyle="1" w:styleId="21">
    <w:name w:val="正文文本缩进 2 Char"/>
    <w:basedOn w:val="12"/>
    <w:link w:val="6"/>
    <w:semiHidden/>
    <w:qFormat/>
    <w:uiPriority w:val="99"/>
    <w:rPr>
      <w:rFonts w:ascii="方正小标宋简体" w:eastAsia="方正小标宋简体"/>
      <w:kern w:val="0"/>
      <w:sz w:val="24"/>
      <w:szCs w:val="24"/>
    </w:rPr>
  </w:style>
  <w:style w:type="character" w:customStyle="1" w:styleId="22">
    <w:name w:val="纯文本 Char"/>
    <w:basedOn w:val="12"/>
    <w:link w:val="5"/>
    <w:uiPriority w:val="0"/>
    <w:rPr>
      <w:rFonts w:ascii="宋体" w:hAnsi="Courier New" w:eastAsia="宋体" w:cs="Times New Roman"/>
      <w:szCs w:val="24"/>
    </w:rPr>
  </w:style>
  <w:style w:type="paragraph" w:styleId="23">
    <w:name w:val="List Paragraph"/>
    <w:basedOn w:val="1"/>
    <w:qFormat/>
    <w:uiPriority w:val="34"/>
    <w:pPr>
      <w:ind w:firstLine="420" w:firstLineChars="200"/>
    </w:pPr>
  </w:style>
  <w:style w:type="paragraph" w:styleId="24">
    <w:name w:val="No Spacing"/>
    <w:link w:val="25"/>
    <w:qFormat/>
    <w:uiPriority w:val="1"/>
    <w:rPr>
      <w:rFonts w:asciiTheme="minorHAnsi" w:hAnsiTheme="minorHAnsi" w:eastAsiaTheme="minorEastAsia" w:cstheme="minorBidi"/>
      <w:kern w:val="0"/>
      <w:sz w:val="22"/>
      <w:szCs w:val="22"/>
      <w:lang w:val="en-US" w:eastAsia="zh-CN" w:bidi="ar-SA"/>
    </w:rPr>
  </w:style>
  <w:style w:type="character" w:customStyle="1" w:styleId="25">
    <w:name w:val="无间隔 Char"/>
    <w:basedOn w:val="12"/>
    <w:link w:val="24"/>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4\&#26032;&#24314;%20Microsoft%20Office%20Excel%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24\&#26032;&#24314;%20Microsoft%20Office%20Excel%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24\&#26032;&#24314;%20Microsoft%20Office%20Excel%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24\&#26032;&#24314;%20Microsoft%20Office%20Excel%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24\&#26032;&#24314;%20Microsoft%20Office%20Excel%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4\&#26032;&#24314;%20Microsoft%20Office%20Excel%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4\&#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a:t>
            </a:r>
            <a:r>
              <a:rPr lang="en-US" altLang="zh-CN"/>
              <a:t>2022</a:t>
            </a:r>
            <a:r>
              <a:rPr altLang="en-US"/>
              <a:t>年收支决算总计变动情况图</a:t>
            </a: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r>
              <a:rPr altLang="en-US"/>
              <a:t>　　　　　　　　　　　</a:t>
            </a:r>
            <a:r>
              <a:rPr altLang="en-US" sz="900"/>
              <a:t>　单位：万元</a:t>
            </a:r>
            <a:endParaRPr altLang="en-US" sz="9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'[新建 Microsoft Office Excel 工作表.xlsx]Sheet2'!$F$15:$G$15</c:f>
              <c:strCache>
                <c:ptCount val="2"/>
                <c:pt idx="0">
                  <c:v>2022年度收、支总计</c:v>
                </c:pt>
                <c:pt idx="1">
                  <c:v>2021年度收、支总计</c:v>
                </c:pt>
              </c:strCache>
            </c:strRef>
          </c:cat>
          <c:val>
            <c:numRef>
              <c:f>'[新建 Microsoft Office Excel 工作表.xlsx]Sheet2'!$F$16:$G$16</c:f>
              <c:numCache>
                <c:formatCode>#,##0.00</c:formatCode>
                <c:ptCount val="2"/>
                <c:pt idx="0">
                  <c:v>2266.36</c:v>
                </c:pt>
                <c:pt idx="1" c:formatCode="General">
                  <c:v>2056.42</c:v>
                </c:pt>
              </c:numCache>
            </c:numRef>
          </c:val>
        </c:ser>
        <c:dLbls>
          <c:showLegendKey val="0"/>
          <c:showVal val="0"/>
          <c:showCatName val="0"/>
          <c:showSerName val="0"/>
          <c:showPercent val="0"/>
          <c:showBubbleSize val="0"/>
        </c:dLbls>
        <c:gapWidth val="219"/>
        <c:overlap val="-27"/>
        <c:axId val="68921189"/>
        <c:axId val="454282812"/>
      </c:barChart>
      <c:catAx>
        <c:axId val="6892118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4282812"/>
        <c:crosses val="autoZero"/>
        <c:auto val="1"/>
        <c:lblAlgn val="ctr"/>
        <c:lblOffset val="100"/>
        <c:noMultiLvlLbl val="0"/>
      </c:catAx>
      <c:valAx>
        <c:axId val="4542828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9211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2,228.62</a:t>
                    </a:r>
                  </a:p>
                  <a:p>
                    <a:pPr defTabSz="914400">
                      <a:defRPr lang="zh-CN" sz="1000" b="1" i="0" u="none" strike="noStrike" kern="1200" baseline="0">
                        <a:solidFill>
                          <a:schemeClr val="lt1"/>
                        </a:solidFill>
                        <a:latin typeface="+mn-lt"/>
                        <a:ea typeface="+mn-ea"/>
                        <a:cs typeface="+mn-cs"/>
                      </a:defRPr>
                    </a:pPr>
                    <a:r>
                      <a:rPr lang="en-US" altLang="zh-CN"/>
                      <a:t>98.9</a:t>
                    </a:r>
                    <a:r>
                      <a:t>%</a:t>
                    </a:r>
                  </a:p>
                </c:rich>
              </c:tx>
              <c:dLblPos val="ctr"/>
              <c:showLegendKey val="0"/>
              <c:showVal val="1"/>
              <c:showCatName val="0"/>
              <c:showSerName val="0"/>
              <c:showPercent val="1"/>
              <c:showBubbleSize val="0"/>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25.611</a:t>
                    </a:r>
                    <a:r>
                      <a:rPr lang="en-US" altLang="zh-CN"/>
                      <a:t>.1</a:t>
                    </a:r>
                    <a:r>
                      <a:t>%</a:t>
                    </a:r>
                  </a:p>
                </c:rich>
              </c:tx>
              <c:dLblPos val="ctr"/>
              <c:showLegendKey val="0"/>
              <c:showVal val="1"/>
              <c:showCatName val="0"/>
              <c:showSerName val="0"/>
              <c:showPercent val="1"/>
              <c:showBubbleSize val="0"/>
              <c:separator>
</c:separator>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eparator>
</c:separator>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'[新建 Microsoft Office Excel 工作表.xlsx]Sheet2'!$E$39:$G$39</c:f>
              <c:strCache>
                <c:ptCount val="3"/>
                <c:pt idx="0">
                  <c:v>单位：万元</c:v>
                </c:pt>
                <c:pt idx="1">
                  <c:v>一般公共预算财政拨款收入</c:v>
                </c:pt>
                <c:pt idx="2">
                  <c:v>政府性基金预算财政拨款收入</c:v>
                </c:pt>
              </c:strCache>
            </c:strRef>
          </c:cat>
          <c:val>
            <c:numRef>
              <c:f>'[新建 Microsoft Office Excel 工作表.xlsx]Sheet2'!$E$40:$G$40</c:f>
              <c:numCache>
                <c:formatCode>General</c:formatCode>
                <c:ptCount val="3"/>
                <c:pt idx="1" c:formatCode="#,##0.00">
                  <c:v>2228.62</c:v>
                </c:pt>
                <c:pt idx="2">
                  <c:v>25.61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支出决算结构图</a:t>
            </a:r>
          </a:p>
        </c:rich>
      </c:tx>
      <c:layout>
        <c:manualLayout>
          <c:xMode val="edge"/>
          <c:yMode val="edge"/>
          <c:x val="0.416666666666667"/>
          <c:y val="0.0277777777777778"/>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eparator>
</c:separator>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'[新建 Microsoft Office Excel 工作表.xlsx]Sheet2'!$E$64:$G$64</c:f>
              <c:strCache>
                <c:ptCount val="3"/>
                <c:pt idx="0">
                  <c:v>单位：万元</c:v>
                </c:pt>
                <c:pt idx="1">
                  <c:v>基本支出</c:v>
                </c:pt>
                <c:pt idx="2">
                  <c:v>项目支出</c:v>
                </c:pt>
              </c:strCache>
            </c:strRef>
          </c:cat>
          <c:val>
            <c:numRef>
              <c:f>'[新建 Microsoft Office Excel 工作表.xlsx]Sheet2'!$E$65:$G$65</c:f>
              <c:numCache>
                <c:formatCode>General</c:formatCode>
                <c:ptCount val="3"/>
                <c:pt idx="1" c:formatCode="#,##0.00">
                  <c:v>1584.75</c:v>
                </c:pt>
                <c:pt idx="2">
                  <c:v>680.12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财政拨款收、支总计变动图</a:t>
            </a:r>
          </a:p>
          <a:p>
            <a:pPr defTabSz="914400">
              <a:defRPr lang="zh-CN" sz="1400" b="0" i="0" u="none" strike="noStrike" kern="1200" spc="0" baseline="0">
                <a:solidFill>
                  <a:schemeClr val="tx1">
                    <a:lumMod val="65000"/>
                    <a:lumOff val="35000"/>
                  </a:schemeClr>
                </a:solidFill>
                <a:latin typeface="+mn-lt"/>
                <a:ea typeface="+mn-ea"/>
                <a:cs typeface="+mn-cs"/>
              </a:defRPr>
            </a:pPr>
            <a:r>
              <a:t>　　　　　　　　</a:t>
            </a:r>
            <a:r>
              <a:rPr sz="900"/>
              <a:t>单位：万元</a:t>
            </a:r>
            <a:endParaRPr sz="9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Microsoft Office Excel 工作表.xlsx]Sheet2'!$F$91:$G$91</c:f>
              <c:strCache>
                <c:ptCount val="2"/>
                <c:pt idx="0">
                  <c:v>2022年财政拨款收、支总计</c:v>
                </c:pt>
                <c:pt idx="1">
                  <c:v>2021年财政拨款收、支总计</c:v>
                </c:pt>
              </c:strCache>
            </c:strRef>
          </c:cat>
          <c:val>
            <c:numRef>
              <c:f>'[新建 Microsoft Office Excel 工作表.xlsx]Sheet2'!$F$92:$G$92</c:f>
              <c:numCache>
                <c:formatCode>#,##0.00</c:formatCode>
                <c:ptCount val="2"/>
                <c:pt idx="0">
                  <c:v>2266.36</c:v>
                </c:pt>
                <c:pt idx="1" c:formatCode="General">
                  <c:v>2056.42</c:v>
                </c:pt>
              </c:numCache>
            </c:numRef>
          </c:val>
        </c:ser>
        <c:dLbls>
          <c:showLegendKey val="0"/>
          <c:showVal val="0"/>
          <c:showCatName val="0"/>
          <c:showSerName val="0"/>
          <c:showPercent val="0"/>
          <c:showBubbleSize val="0"/>
        </c:dLbls>
        <c:gapWidth val="219"/>
        <c:overlap val="-27"/>
        <c:axId val="133069017"/>
        <c:axId val="40254341"/>
      </c:barChart>
      <c:catAx>
        <c:axId val="13306901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54341"/>
        <c:crosses val="autoZero"/>
        <c:auto val="1"/>
        <c:lblAlgn val="ctr"/>
        <c:lblOffset val="100"/>
        <c:noMultiLvlLbl val="0"/>
      </c:catAx>
      <c:valAx>
        <c:axId val="4025434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306901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r>
              <a:rPr sz="1200"/>
              <a:t>一般公共预算财政拨支出变动情况</a:t>
            </a:r>
            <a:endParaRPr sz="1200"/>
          </a:p>
          <a:p>
            <a:pPr defTabSz="914400">
              <a:defRPr lang="zh-CN" sz="1200" b="0" i="0" u="none" strike="noStrike" kern="1200" spc="0" baseline="0">
                <a:solidFill>
                  <a:schemeClr val="tx1">
                    <a:lumMod val="65000"/>
                    <a:lumOff val="35000"/>
                  </a:schemeClr>
                </a:solidFill>
                <a:latin typeface="+mn-lt"/>
                <a:ea typeface="+mn-ea"/>
                <a:cs typeface="+mn-cs"/>
              </a:defRPr>
            </a:pPr>
            <a:r>
              <a:rPr sz="1200"/>
              <a:t>　　　　　　　　　　　</a:t>
            </a:r>
            <a:r>
              <a:rPr sz="900"/>
              <a:t>单位：万元</a:t>
            </a:r>
            <a:endParaRPr sz="900"/>
          </a:p>
        </c:rich>
      </c:tx>
      <c:layout/>
      <c:overlay val="0"/>
      <c:spPr>
        <a:noFill/>
        <a:ln>
          <a:noFill/>
        </a:ln>
        <a:effectLst/>
      </c:spPr>
    </c:title>
    <c:autoTitleDeleted val="0"/>
    <c:plotArea>
      <c:layout>
        <c:manualLayout>
          <c:layoutTarget val="inner"/>
          <c:xMode val="edge"/>
          <c:yMode val="edge"/>
          <c:x val="0.151611111111111"/>
          <c:y val="0.22037037037037"/>
          <c:w val="0.844222222222222"/>
          <c:h val="0.71166666666666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Microsoft Office Excel 工作表.xlsx]Sheet2'!$F$128:$G$128</c:f>
              <c:strCache>
                <c:ptCount val="2"/>
                <c:pt idx="0">
                  <c:v>2022年一般公共预算财政拨款支出</c:v>
                </c:pt>
                <c:pt idx="1">
                  <c:v>2021年一般公共预算财政拨款支出</c:v>
                </c:pt>
              </c:strCache>
            </c:strRef>
          </c:cat>
          <c:val>
            <c:numRef>
              <c:f>'[新建 Microsoft Office Excel 工作表.xlsx]Sheet2'!$F$129:$G$129</c:f>
              <c:numCache>
                <c:formatCode>#,##0.00</c:formatCode>
                <c:ptCount val="2"/>
                <c:pt idx="0">
                  <c:v>2239.27</c:v>
                </c:pt>
                <c:pt idx="1">
                  <c:v>1763.53</c:v>
                </c:pt>
              </c:numCache>
            </c:numRef>
          </c:val>
        </c:ser>
        <c:dLbls>
          <c:showLegendKey val="0"/>
          <c:showVal val="1"/>
          <c:showCatName val="0"/>
          <c:showSerName val="0"/>
          <c:showPercent val="0"/>
          <c:showBubbleSize val="0"/>
        </c:dLbls>
        <c:gapWidth val="219"/>
        <c:overlap val="-27"/>
        <c:axId val="511180196"/>
        <c:axId val="502191598"/>
      </c:barChart>
      <c:catAx>
        <c:axId val="5111801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502191598"/>
        <c:crosses val="autoZero"/>
        <c:auto val="1"/>
        <c:lblAlgn val="ctr"/>
        <c:lblOffset val="100"/>
        <c:noMultiLvlLbl val="0"/>
      </c:catAx>
      <c:valAx>
        <c:axId val="50219159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crossAx val="5111801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rPr sz="1400"/>
              <a:t>一般公共预算财政拨款支出结构图</a:t>
            </a:r>
            <a:endParaRPr sz="1400"/>
          </a:p>
        </c:rich>
      </c:tx>
      <c:layout>
        <c:manualLayout>
          <c:xMode val="edge"/>
          <c:yMode val="edge"/>
          <c:x val="0.469685979993667"/>
          <c:y val="0.0309374673324074"/>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dLbl>
              <c:idx val="1"/>
              <c:layout>
                <c:manualLayout>
                  <c:x val="0.0548704433878378"/>
                  <c:y val="0.0616277859946407"/>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144.036</a:t>
                    </a:r>
                    <a:r>
                      <a:rPr lang="en-US" altLang="zh-CN"/>
                      <a:t>.4</a:t>
                    </a:r>
                    <a:r>
                      <a:t>%</a:t>
                    </a:r>
                  </a:p>
                </c:rich>
              </c:tx>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dLbl>
              <c:idx val="2"/>
              <c:layout>
                <c:manualLayout>
                  <c:x val="0.0327194970508539"/>
                  <c:y val="0.112977468412937"/>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132.22</a:t>
                    </a:r>
                  </a:p>
                  <a:p>
                    <a:pPr defTabSz="914400">
                      <a:defRPr lang="zh-CN" sz="1000" b="1" i="0" u="none" strike="noStrike" kern="1200" baseline="0">
                        <a:solidFill>
                          <a:schemeClr val="lt1"/>
                        </a:solidFill>
                        <a:latin typeface="+mn-lt"/>
                        <a:ea typeface="+mn-ea"/>
                        <a:cs typeface="+mn-cs"/>
                      </a:defRPr>
                    </a:pPr>
                    <a:r>
                      <a:rPr lang="en-US" altLang="zh-CN"/>
                      <a:t>5.9</a:t>
                    </a:r>
                    <a:r>
                      <a:t>%</a:t>
                    </a:r>
                  </a:p>
                </c:rich>
              </c:tx>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1,825.598</a:t>
                    </a:r>
                    <a:r>
                      <a:rPr lang="en-US" altLang="zh-CN"/>
                      <a:t>1.5</a:t>
                    </a:r>
                    <a:r>
                      <a:t>%</a:t>
                    </a:r>
                  </a:p>
                </c:rich>
              </c:tx>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4"/>
              <c:layout>
                <c:manualLayout>
                  <c:x val="-0.0727873174954256"/>
                  <c:y val="0.0650942969930152"/>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126.78</a:t>
                    </a:r>
                  </a:p>
                  <a:p>
                    <a:pPr defTabSz="914400">
                      <a:defRPr lang="zh-CN" sz="1000" b="1" i="0" u="none" strike="noStrike" kern="1200" baseline="0">
                        <a:solidFill>
                          <a:schemeClr val="lt1"/>
                        </a:solidFill>
                        <a:latin typeface="+mn-lt"/>
                        <a:ea typeface="+mn-ea"/>
                        <a:cs typeface="+mn-cs"/>
                      </a:defRPr>
                    </a:pPr>
                    <a:r>
                      <a:rPr lang="en-US" altLang="zh-CN"/>
                      <a:t>5.7</a:t>
                    </a:r>
                    <a:r>
                      <a:t>%</a:t>
                    </a:r>
                  </a:p>
                </c:rich>
              </c:tx>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dLbl>
              <c:idx val="5"/>
              <c:layout>
                <c:manualLayout>
                  <c:x val="0.013469019638339"/>
                  <c:y val="-0.000772252789443763"/>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10.65</a:t>
                    </a:r>
                  </a:p>
                  <a:p>
                    <a:pPr defTabSz="914400">
                      <a:defRPr lang="zh-CN" sz="1000" b="1" i="0" u="none" strike="noStrike" kern="1200" baseline="0">
                        <a:solidFill>
                          <a:schemeClr val="lt1"/>
                        </a:solidFill>
                        <a:latin typeface="+mn-lt"/>
                        <a:ea typeface="+mn-ea"/>
                        <a:cs typeface="+mn-cs"/>
                      </a:defRPr>
                    </a:pPr>
                    <a:r>
                      <a:rPr lang="en-US" altLang="zh-CN"/>
                      <a:t>0.5</a:t>
                    </a:r>
                    <a:r>
                      <a:t>%</a:t>
                    </a:r>
                  </a:p>
                </c:rich>
              </c:tx>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1"/>
            <c:showBubbleSize val="0"/>
            <c:separator>
</c:separator>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'[新建 Microsoft Office Excel 工作表.xlsx]Sheet2'!$E$158:$J$158</c:f>
              <c:strCache>
                <c:ptCount val="6"/>
                <c:pt idx="0">
                  <c:v>单位：万元</c:v>
                </c:pt>
                <c:pt idx="1">
                  <c:v>社会保障和就业支出</c:v>
                </c:pt>
                <c:pt idx="2">
                  <c:v>卫生健康支出</c:v>
                </c:pt>
                <c:pt idx="3">
                  <c:v>城乡社区支出</c:v>
                </c:pt>
                <c:pt idx="4">
                  <c:v>住房保障支出</c:v>
                </c:pt>
                <c:pt idx="5">
                  <c:v>其他支出</c:v>
                </c:pt>
              </c:strCache>
            </c:strRef>
          </c:cat>
          <c:val>
            <c:numRef>
              <c:f>'[新建 Microsoft Office Excel 工作表.xlsx]Sheet2'!$E$159:$J$159</c:f>
              <c:numCache>
                <c:formatCode>General</c:formatCode>
                <c:ptCount val="6"/>
                <c:pt idx="1">
                  <c:v>144.03</c:v>
                </c:pt>
                <c:pt idx="2">
                  <c:v>132.22</c:v>
                </c:pt>
                <c:pt idx="3" c:formatCode="#,##0.00">
                  <c:v>1825.59</c:v>
                </c:pt>
                <c:pt idx="4">
                  <c:v>126.78</c:v>
                </c:pt>
                <c:pt idx="5">
                  <c:v>10.65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rPr lang="en-US" altLang="zh-CN"/>
              <a:t>“</a:t>
            </a:r>
            <a:r>
              <a:rPr altLang="en-US"/>
              <a:t>三公</a:t>
            </a:r>
            <a:r>
              <a:rPr lang="en-US" altLang="zh-CN"/>
              <a:t>”</a:t>
            </a:r>
            <a:r>
              <a:rPr altLang="en-US"/>
              <a:t>经费财政拨款支出结构图</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eparator>
</c:separator>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'[新建 Microsoft Office Excel 工作表.xlsx]Sheet2'!$E$196:$G$196</c:f>
              <c:strCache>
                <c:ptCount val="3"/>
                <c:pt idx="0">
                  <c:v>单位：万元</c:v>
                </c:pt>
                <c:pt idx="1">
                  <c:v>公务用车购置及运行维护费支出决算</c:v>
                </c:pt>
                <c:pt idx="2">
                  <c:v>公务接待费支出决算</c:v>
                </c:pt>
              </c:strCache>
            </c:strRef>
          </c:cat>
          <c:val>
            <c:numRef>
              <c:f>'[新建 Microsoft Office Excel 工作表.xlsx]Sheet2'!$E$197:$G$197</c:f>
              <c:numCache>
                <c:formatCode>General</c:formatCode>
                <c:ptCount val="3"/>
                <c:pt idx="1">
                  <c:v>5.35</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85755-BDD0-41D6-9B7A-7D729A6924A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87</Pages>
  <Words>4940</Words>
  <Characters>28162</Characters>
  <Lines>234</Lines>
  <Paragraphs>66</Paragraphs>
  <TotalTime>3</TotalTime>
  <ScaleCrop>false</ScaleCrop>
  <LinksUpToDate>false</LinksUpToDate>
  <CharactersWithSpaces>33036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2023-10-30T01:13:00Z</dcterms:created>
  <dc:creator>高相宝</dc:creator>
  <cp:lastModifiedBy>Administrator</cp:lastModifiedBy>
  <dcterms:modified xsi:type="dcterms:W3CDTF">2024-05-30T03:38:06Z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F7CC8B136B5B4727A4C3A497E5E01D6C</vt:lpwstr>
  </property>
</Properties>
</file>