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150" w:beforeAutospacing="0" w:after="150" w:afterAutospacing="0" w:line="56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预算</w:t>
      </w:r>
      <w:r>
        <w:rPr>
          <w:rFonts w:ascii="Times New Roman" w:hAnsi="Times New Roman" w:eastAsia="方正小标宋简体" w:cs="Times New Roman"/>
          <w:color w:val="000000"/>
          <w:sz w:val="44"/>
          <w:szCs w:val="44"/>
        </w:rPr>
        <w:t>名词解释</w:t>
      </w:r>
    </w:p>
    <w:p>
      <w:pPr>
        <w:pStyle w:val="4"/>
        <w:shd w:val="clear" w:color="auto" w:fill="FFFFFF"/>
        <w:spacing w:before="150" w:beforeAutospacing="0" w:after="150" w:afterAutospacing="0" w:line="560" w:lineRule="exact"/>
        <w:jc w:val="center"/>
        <w:rPr>
          <w:rFonts w:ascii="Times New Roman" w:hAnsi="Times New Roman" w:eastAsia="方正小标宋_GBK" w:cs="Times New Roman"/>
          <w:color w:val="000000"/>
          <w:sz w:val="44"/>
          <w:szCs w:val="44"/>
        </w:rPr>
      </w:pP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 财政拨款收入：</w:t>
      </w:r>
      <w:r>
        <w:rPr>
          <w:rFonts w:ascii="Times New Roman" w:hAnsi="Times New Roman" w:eastAsia="仿宋_GB2312" w:cs="Times New Roman"/>
          <w:color w:val="000000"/>
          <w:sz w:val="32"/>
          <w:szCs w:val="32"/>
        </w:rPr>
        <w:t>指财政当年拨付的资金。</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 事业收入：</w:t>
      </w:r>
      <w:r>
        <w:rPr>
          <w:rFonts w:ascii="Times New Roman" w:hAnsi="Times New Roman" w:eastAsia="仿宋_GB2312" w:cs="Times New Roman"/>
          <w:color w:val="000000"/>
          <w:sz w:val="32"/>
          <w:szCs w:val="32"/>
        </w:rPr>
        <w:t>指事业单位开展专业业务活动及辅助活动所取得的收入。</w:t>
      </w:r>
    </w:p>
    <w:p>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 事业单位经营收入：</w:t>
      </w:r>
      <w:r>
        <w:rPr>
          <w:rFonts w:ascii="Times New Roman" w:hAnsi="Times New Roman" w:eastAsia="仿宋_GB2312" w:cs="Times New Roman"/>
          <w:color w:val="000000"/>
          <w:sz w:val="32"/>
          <w:szCs w:val="32"/>
        </w:rPr>
        <w:t>指事业单位在专业业务活动及其辅助活动之外开展非独立核算经营活动取得的收入。</w:t>
      </w:r>
    </w:p>
    <w:p>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 其他收入：</w:t>
      </w:r>
      <w:r>
        <w:rPr>
          <w:rFonts w:ascii="Times New Roman" w:hAnsi="Times New Roman" w:eastAsia="仿宋_GB2312" w:cs="Times New Roman"/>
          <w:color w:val="000000"/>
          <w:sz w:val="32"/>
          <w:szCs w:val="32"/>
        </w:rPr>
        <w:t>指除上述“财政拨款收入”、“事业收入”、“经营收入”等以外的收入。</w:t>
      </w:r>
    </w:p>
    <w:p>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5. 用事业基金弥补收支差额：</w:t>
      </w:r>
      <w:r>
        <w:rPr>
          <w:rFonts w:ascii="Times New Roman"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4"/>
        <w:shd w:val="clear" w:color="auto" w:fill="FFFFFF"/>
        <w:spacing w:before="150" w:beforeAutospacing="0" w:after="150" w:afterAutospacing="0" w:line="540" w:lineRule="exact"/>
        <w:ind w:firstLine="645"/>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6. 年初结转和结余：</w:t>
      </w:r>
      <w:r>
        <w:rPr>
          <w:rFonts w:ascii="Times New Roman" w:hAnsi="Times New Roman" w:eastAsia="仿宋_GB2312" w:cs="Times New Roman"/>
          <w:color w:val="000000"/>
          <w:sz w:val="32"/>
          <w:szCs w:val="32"/>
        </w:rPr>
        <w:t>指以前年度尚未完成、结转到本年按有关规定继续使用的资金。</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7. 结余分配：</w:t>
      </w:r>
      <w:r>
        <w:rPr>
          <w:rFonts w:ascii="Times New Roman"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8. 年末结转和结余：</w:t>
      </w:r>
      <w:r>
        <w:rPr>
          <w:rFonts w:ascii="Times New Roman"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9. 基本支出：</w:t>
      </w:r>
      <w:r>
        <w:rPr>
          <w:rFonts w:ascii="Times New Roman" w:hAnsi="Times New Roman" w:eastAsia="仿宋_GB2312" w:cs="Times New Roman"/>
          <w:color w:val="000000"/>
          <w:sz w:val="32"/>
          <w:szCs w:val="32"/>
        </w:rPr>
        <w:t>指为保障机构正常运转、完成日常工作任务而发生的人员支出和公用支出。</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10. 项目支出：</w:t>
      </w:r>
      <w:r>
        <w:rPr>
          <w:rFonts w:ascii="Times New Roman" w:hAnsi="Times New Roman" w:eastAsia="仿宋_GB2312" w:cs="Times New Roman"/>
          <w:color w:val="000000"/>
          <w:sz w:val="32"/>
          <w:szCs w:val="32"/>
        </w:rPr>
        <w:t>指在基本支出之外为完成特定行政任务和事业发展目标所发生的支出。</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11. 经营支出：</w:t>
      </w:r>
      <w:r>
        <w:rPr>
          <w:rFonts w:ascii="Times New Roman" w:hAnsi="Times New Roman" w:eastAsia="仿宋_GB2312" w:cs="Times New Roman"/>
          <w:color w:val="000000"/>
          <w:sz w:val="32"/>
          <w:szCs w:val="32"/>
        </w:rPr>
        <w:t>指事业单位在专业业务活动及其辅助活动之外开展非独立核算经营活动发生的支出。</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12. “三公”经费：</w:t>
      </w:r>
      <w:r>
        <w:rPr>
          <w:rFonts w:ascii="Times New Roman"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13. 机关运行经费：</w:t>
      </w:r>
      <w:r>
        <w:rPr>
          <w:rFonts w:ascii="Times New Roman"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14. 政府采购：</w:t>
      </w:r>
      <w:r>
        <w:rPr>
          <w:rFonts w:ascii="Times New Roman" w:hAnsi="Times New Roman" w:eastAsia="仿宋_GB2312" w:cs="Times New Roman"/>
          <w:sz w:val="32"/>
          <w:szCs w:val="32"/>
        </w:rPr>
        <w:t>指各级国家机关、事业单位和团体组织，使用财政性资金采购依法制定的集中采购目录以内的或者采购限额标准以上的货物、工程和服务的行为。</w:t>
      </w:r>
    </w:p>
    <w:p>
      <w:pPr>
        <w:pStyle w:val="4"/>
        <w:shd w:val="clear" w:color="auto" w:fill="FFFFFF"/>
        <w:spacing w:before="150" w:beforeAutospacing="0" w:after="150" w:afterAutospacing="0"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15. </w:t>
      </w:r>
      <w:r>
        <w:rPr>
          <w:rFonts w:ascii="Times New Roman" w:hAnsi="Times New Roman" w:eastAsia="仿宋_GB2312" w:cs="Times New Roman"/>
          <w:b/>
          <w:color w:val="000000"/>
          <w:sz w:val="32"/>
          <w:szCs w:val="32"/>
        </w:rPr>
        <w:t>区级部门预算绩效目标：</w:t>
      </w:r>
      <w:r>
        <w:rPr>
          <w:rFonts w:ascii="Times New Roman" w:hAnsi="Times New Roman" w:eastAsia="仿宋_GB2312" w:cs="Times New Roman"/>
          <w:color w:val="000000"/>
          <w:sz w:val="32"/>
          <w:szCs w:val="32"/>
        </w:rPr>
        <w:t>指区级部门依据部门职责和事业发展要求，使用预算安排的资金，在一定期限内预期达到的产出和效果，</w:t>
      </w:r>
      <w:r>
        <w:rPr>
          <w:rFonts w:ascii="Times New Roman" w:hAnsi="Times New Roman" w:eastAsia="仿宋_GB2312" w:cs="Times New Roman"/>
          <w:sz w:val="32"/>
          <w:szCs w:val="32"/>
        </w:rPr>
        <w:t>是建设项目库、编制部门预算、实施绩效监控、开展绩效评价的重要基础和依据。</w:t>
      </w:r>
    </w:p>
    <w:p>
      <w:pPr>
        <w:pStyle w:val="4"/>
        <w:shd w:val="clear" w:color="auto" w:fill="FFFFFF"/>
        <w:spacing w:before="150" w:beforeAutospacing="0" w:after="150" w:afterAutospacing="0" w:line="540" w:lineRule="exact"/>
        <w:ind w:firstLine="643" w:firstLineChars="200"/>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16.科目解释：</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教育管理事务</w:t>
      </w:r>
      <w:r>
        <w:rPr>
          <w:rFonts w:hint="default" w:ascii="Times New Roman" w:hAnsi="Times New Roman" w:eastAsia="仿宋_GB2312" w:cs="Times New Roman"/>
          <w:color w:val="auto"/>
          <w:kern w:val="0"/>
          <w:sz w:val="32"/>
          <w:szCs w:val="32"/>
          <w:lang w:val="en-US" w:eastAsia="zh-CN" w:bidi="ar-SA"/>
        </w:rPr>
        <w:t>（款）行政运行（项）</w:t>
      </w:r>
      <w:r>
        <w:rPr>
          <w:rFonts w:hint="eastAsia" w:ascii="Times New Roman" w:hAnsi="Times New Roman" w:eastAsia="仿宋_GB2312" w:cs="Times New Roman"/>
          <w:color w:val="auto"/>
          <w:kern w:val="0"/>
          <w:sz w:val="32"/>
          <w:szCs w:val="32"/>
          <w:lang w:val="en-US" w:eastAsia="zh-CN" w:bidi="ar-SA"/>
        </w:rPr>
        <w:t>：反映行政单位（包括实行公务员管理的事业单位）的支出。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教育管理事务</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一般行政管理事务</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：反映行政单位（包括实行公务员管理的事业单位）设置项级科目的其他项目支出。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教育管理事务</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机关服务</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为行政单位（包括实行公务员管理的事业单位）提供后勤服务的各类后勤服务中心、医务室等附属事业单位的支出。其他事业单位的支出，凡单独设置了项级科目的，在单独设置的项级科目中反映。未单独设项级科目的，在“其他”项级科目中反映。</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教育管理事务</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其他教育管理事务支出</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：反映除上述项目以外其他用于教育管理事务方面的支出。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普通教育</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学前教育</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：反映各部门举办的学前教育支出。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普通教育</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小学教育</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：反映各部门举办的小学教育支出。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普通教育</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初中教育</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：反映各部门举办的初中教育支出。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普通教育</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高中教育</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：反映各部门举办的高中教育支出。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职业教育</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其他职业教育支出</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：反映除上述项目以外其他用于职业教育方面的支出。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教育费附加安排的支出</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其他教育费附加安排的支出</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：反映除上述项目以外的教育费附加支出。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教育支出（类）</w:t>
      </w:r>
      <w:r>
        <w:rPr>
          <w:rFonts w:hint="eastAsia" w:ascii="Times New Roman" w:hAnsi="Times New Roman" w:eastAsia="仿宋_GB2312" w:cs="Times New Roman"/>
          <w:color w:val="auto"/>
          <w:kern w:val="0"/>
          <w:sz w:val="32"/>
          <w:szCs w:val="32"/>
          <w:lang w:val="en-US" w:eastAsia="zh-CN" w:bidi="ar-SA"/>
        </w:rPr>
        <w:t>其他教育支出</w:t>
      </w:r>
      <w:r>
        <w:rPr>
          <w:rFonts w:hint="default" w:ascii="Times New Roman" w:hAnsi="Times New Roman" w:eastAsia="仿宋_GB2312" w:cs="Times New Roman"/>
          <w:color w:val="auto"/>
          <w:kern w:val="0"/>
          <w:sz w:val="32"/>
          <w:szCs w:val="32"/>
          <w:lang w:val="en-US" w:eastAsia="zh-CN" w:bidi="ar-SA"/>
        </w:rPr>
        <w:t>（款）</w:t>
      </w:r>
      <w:r>
        <w:rPr>
          <w:rFonts w:hint="eastAsia" w:ascii="Times New Roman" w:hAnsi="Times New Roman" w:eastAsia="仿宋_GB2312" w:cs="Times New Roman"/>
          <w:color w:val="auto"/>
          <w:kern w:val="0"/>
          <w:sz w:val="32"/>
          <w:szCs w:val="32"/>
          <w:lang w:val="en-US" w:eastAsia="zh-CN" w:bidi="ar-SA"/>
        </w:rPr>
        <w:t>其他教育支出</w:t>
      </w:r>
      <w:r>
        <w:rPr>
          <w:rFonts w:hint="default" w:ascii="Times New Roman" w:hAnsi="Times New Roman" w:eastAsia="仿宋_GB2312" w:cs="Times New Roman"/>
          <w:color w:val="auto"/>
          <w:kern w:val="0"/>
          <w:sz w:val="32"/>
          <w:szCs w:val="32"/>
          <w:lang w:val="en-US" w:eastAsia="zh-CN" w:bidi="ar-SA"/>
        </w:rPr>
        <w:t>（项）</w:t>
      </w:r>
      <w:r>
        <w:rPr>
          <w:rFonts w:hint="eastAsia" w:ascii="Times New Roman" w:hAnsi="Times New Roman" w:eastAsia="仿宋_GB2312" w:cs="Times New Roman"/>
          <w:color w:val="auto"/>
          <w:kern w:val="0"/>
          <w:sz w:val="32"/>
          <w:szCs w:val="32"/>
          <w:lang w:val="en-US" w:eastAsia="zh-CN" w:bidi="ar-SA"/>
        </w:rPr>
        <w:t>：</w:t>
      </w:r>
    </w:p>
    <w:p>
      <w:pPr>
        <w:pStyle w:val="4"/>
        <w:shd w:val="clear" w:color="auto" w:fill="FFFFFF"/>
        <w:spacing w:before="150" w:beforeAutospacing="0" w:after="150" w:afterAutospacing="0" w:line="540" w:lineRule="exact"/>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反映除上述项目以外其他用于教育方面的支出。</w:t>
      </w:r>
    </w:p>
    <w:p>
      <w:pPr>
        <w:pStyle w:val="4"/>
        <w:shd w:val="clear" w:color="auto" w:fill="FFFFFF"/>
        <w:spacing w:before="150" w:beforeAutospacing="0" w:after="150" w:afterAutospacing="0" w:line="540" w:lineRule="exact"/>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 xml:space="preserve">    文化旅游体育与传媒支出（类）体育（款）体育竞赛（项）：反映综合性运动会及单项体育比赛支出。</w:t>
      </w:r>
      <w:bookmarkStart w:id="0" w:name="_GoBack"/>
      <w:bookmarkEnd w:id="0"/>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社会保障和就业（类）行政事业单位养老（款）机关事业单位基本养老保险（项）: 指机关事业单位实施养老保险制度由单位缴纳的基本养老保险费支出。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社会保障和就业（类）行政事业单位养老（款）机关事业单位职业年金（项）: 指机关事业单位实施养老保险制度由单位实际缴纳的职业年金支出。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卫生健康支出（类）公共卫生（款）其他公共卫生支出（项）：反映除上述项目以外的其他用于公共卫生方面的支出。</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卫生健康支出（类）行政事业单位医疗（款）行政单位医疗（项）：反映财政部门安排的行政单位（包括实行公务员管理的事业单位）基本医疗保险缴费经费。</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卫生健康支出（类）行政事业单位医疗（款）事业单位医疗（项）：反映财政部门安排的事业单位基本医疗保险缴费经费。</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卫生健康支出（类）行政事业单位医疗（款）公务员医疗补助（项）：反映财政部门安排的公务员医疗补助经费。</w:t>
      </w:r>
    </w:p>
    <w:p>
      <w:pPr>
        <w:pStyle w:val="4"/>
        <w:shd w:val="clear" w:color="auto" w:fill="FFFFFF"/>
        <w:spacing w:before="150" w:beforeAutospacing="0" w:after="150" w:afterAutospacing="0"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住房保障支出（类）住房改革支出（款）住房公积金（项）：反映行政事业单位按人力资源和社会保障部、财政部规定的基本工资和津贴补贴以及规定比例为职工缴纳的住房公积金。</w:t>
      </w:r>
    </w:p>
    <w:p>
      <w:pPr>
        <w:pStyle w:val="4"/>
        <w:shd w:val="clear" w:color="auto" w:fill="FFFFFF"/>
        <w:spacing w:before="150" w:beforeAutospacing="0" w:after="150" w:afterAutospacing="0" w:line="540" w:lineRule="exact"/>
        <w:ind w:firstLine="643" w:firstLineChars="200"/>
        <w:rPr>
          <w:rFonts w:hint="eastAsia" w:ascii="Times New Roman" w:hAnsi="Times New Roman" w:eastAsia="仿宋_GB2312" w:cs="Times New Roman"/>
          <w:b/>
          <w:sz w:val="32"/>
          <w:szCs w:val="32"/>
          <w:lang w:val="en-US" w:eastAsia="zh-CN"/>
        </w:rPr>
      </w:pPr>
    </w:p>
    <w:p>
      <w:pPr>
        <w:pStyle w:val="4"/>
        <w:shd w:val="clear" w:color="auto" w:fill="FFFFFF"/>
        <w:spacing w:before="150" w:beforeAutospacing="0" w:after="150" w:afterAutospacing="0" w:line="540" w:lineRule="exact"/>
        <w:ind w:firstLine="640" w:firstLineChars="200"/>
        <w:rPr>
          <w:rFonts w:hint="default" w:ascii="Times New Roman" w:hAnsi="Times New Roman" w:eastAsia="仿宋_GB2312" w:cs="Times New Roman"/>
          <w:sz w:val="32"/>
          <w:szCs w:val="32"/>
          <w:lang w:val="en-US" w:eastAsia="zh-CN"/>
        </w:rPr>
      </w:pP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kNDcxYmE3NDA3ZGFhOWRhODJhMWFlM2QzODg4MTQifQ=="/>
  </w:docVars>
  <w:rsids>
    <w:rsidRoot w:val="009B1AE4"/>
    <w:rsid w:val="00006564"/>
    <w:rsid w:val="00234AD1"/>
    <w:rsid w:val="006E7697"/>
    <w:rsid w:val="006F6330"/>
    <w:rsid w:val="008848B5"/>
    <w:rsid w:val="009B1AE4"/>
    <w:rsid w:val="00FD0F0B"/>
    <w:rsid w:val="00FE4414"/>
    <w:rsid w:val="1B026062"/>
    <w:rsid w:val="1BD1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2027</Words>
  <Characters>2050</Characters>
  <Lines>7</Lines>
  <Paragraphs>2</Paragraphs>
  <TotalTime>22</TotalTime>
  <ScaleCrop>false</ScaleCrop>
  <LinksUpToDate>false</LinksUpToDate>
  <CharactersWithSpaces>2067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2023-02-22T06:13:00Z</dcterms:created>
  <dc:creator>user</dc:creator>
  <cp:lastModifiedBy>WPS_1528163051</cp:lastModifiedBy>
  <dcterms:modified xsi:type="dcterms:W3CDTF">2024-05-30T02:20:11Z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C8376949734940AFBE9BA1C11F3AC5F1_12</vt:lpwstr>
  </property>
</Properties>
</file>