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微软雅黑" w:hAnsi="微软雅黑" w:eastAsia="微软雅黑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东区经济合作局2023年部门预算公开目录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一、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202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年部门预算编制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情况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主要职责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基本情况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202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年主要工作任务</w:t>
      </w:r>
    </w:p>
    <w:p>
      <w:pPr>
        <w:spacing w:line="560" w:lineRule="exact"/>
        <w:ind w:firstLine="240" w:firstLineChars="100"/>
        <w:rPr>
          <w:rFonts w:hint="default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4.</w:t>
      </w:r>
      <w:r>
        <w:rPr>
          <w:rFonts w:hint="default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收支预算总体情况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default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5.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财政拨款收支预算安排情况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default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6.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一般公共预算当年拨款情况说明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default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7.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一般公共预算基本支出情况说明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default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8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、“三公”经费财政拨款预算安排情况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default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9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、政府性基金预算支出情况说明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default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10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、国有资本经营预算支出情况说明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11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、其他重要事项的情况说明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二、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附表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部门收支总表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部门收入总表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部门支出总表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4.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财政拨款收支预算总表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5.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财政拨款支出预算表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6.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7.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一般公共预算基本支出预算表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8.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一般公共预算项目支出预算表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9.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一般公共预算“三公”经费支出预算表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10.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政府性基金支出预算表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政府性基金 “三公”经费支出预算表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国有资本经营预算支出预算表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13.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部门预算项目绩效目标表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14.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部门整体支出绩效目标表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三、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名词解释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F7"/>
    <w:rsid w:val="00943DF7"/>
    <w:rsid w:val="00CB3B7B"/>
    <w:rsid w:val="00ED0F9B"/>
    <w:rsid w:val="248F4327"/>
    <w:rsid w:val="3A9621B7"/>
    <w:rsid w:val="444C3308"/>
    <w:rsid w:val="590836CD"/>
    <w:rsid w:val="645E210B"/>
    <w:rsid w:val="6C2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424</Characters>
  <Lines>3</Lines>
  <Paragraphs>1</Paragraphs>
  <TotalTime>1</TotalTime>
  <ScaleCrop>false</ScaleCrop>
  <LinksUpToDate>false</LinksUpToDate>
  <CharactersWithSpaces>497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2023-02-15T07:29:00Z</dcterms:created>
  <dc:creator>ASUS</dc:creator>
  <cp:lastModifiedBy>铜角大王</cp:lastModifiedBy>
  <dcterms:modified xsi:type="dcterms:W3CDTF">2024-05-06T02:22:43Z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C612CAD19F9E47C79D73571FBF579418</vt:lpwstr>
  </property>
</Properties>
</file>