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</w:pPr>
      <w:r>
        <w:rPr>
          <w:rFonts w:hint="eastAsia" w:ascii="微软雅黑" w:hAnsi="微软雅黑" w:eastAsia="微软雅黑" w:cs="微软雅黑"/>
          <w:color w:val="000000"/>
          <w:kern w:val="0"/>
          <w:sz w:val="43"/>
          <w:szCs w:val="43"/>
          <w:lang w:val="en-US" w:eastAsia="zh-CN" w:bidi="ar"/>
        </w:rPr>
        <w:t>橙色预警期间响应措施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在黄色预警响应措施基础上，进一步采取下列响应措施：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1.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在媒体播报橙色预警信号，及时通知到街道（镇）、社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区（村组）干部及护林人员。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2.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巡山护林员、瞭望员加大防火巡护、监测巡察频度和密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度。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3.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区政府及时发布禁火命令，禁止野外用火。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4.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增设临时检查卡点，加大检查力度。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5.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有条件的地区开展空中巡护。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6.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各类扑灭火机具、装备、物资保持完好率。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7.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森林消防队伍、专业扑火队伍集中或靠前驻防、带装巡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护。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8.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气象部门发布大风预警后，可视情对林区内和林区边缘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的高压输变电线路实施拉闸断电。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9.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各级森防指督导预警地区森林草原防灭火工作，区分片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包干领导和责任单位有关负责同志 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 xml:space="preserve">24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小时蹲点值守、靠前办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公。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10.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区级指挥长离开本辖区须提前报上一级指挥长批准同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意，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 xml:space="preserve">2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名指挥长不得同时离开。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11.有必要采取的其他严格管控措施。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jM2M2Y2EzZWQ3ZWYwOTk2ZDY2ZTg4YjE1MmRlNmQifQ=="/>
  </w:docVars>
  <w:rsids>
    <w:rsidRoot w:val="65A338E2"/>
    <w:rsid w:val="65A33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2024-02-20T11:54:00Z</dcterms:created>
  <dc:creator>TongPapa</dc:creator>
  <cp:lastModifiedBy>TongPapa</cp:lastModifiedBy>
  <dcterms:modified xsi:type="dcterms:W3CDTF">2024-02-20T11:55:26Z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265036EAE18C40258D8681A16E69CD8F_11</vt:lpwstr>
  </property>
</Properties>
</file>