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lang w:eastAsia="zh-CN"/>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96597"/>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06268"/>
      <w:bookmarkStart w:id="8" w:name="_Toc15396476"/>
      <w:bookmarkStart w:id="9" w:name="_Toc15378442"/>
      <w:bookmarkStart w:id="10" w:name="_Toc15377426"/>
      <w:bookmarkStart w:id="11" w:name="_Toc15396598"/>
      <w:r>
        <w:rPr>
          <w:rFonts w:hint="eastAsia" w:ascii="方正小标宋简体" w:hAnsi="宋体" w:eastAsia="方正小标宋简体"/>
          <w:color w:val="000000"/>
          <w:sz w:val="72"/>
          <w:szCs w:val="72"/>
        </w:rPr>
        <w:t>攀枝花市东区林业局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   月  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000000" w:themeColor="text1"/>
          <w:sz w:val="24"/>
        </w:rPr>
      </w:pPr>
      <w:r>
        <w:rPr>
          <w:rFonts w:ascii="仿宋" w:hAnsi="仿宋" w:eastAsia="仿宋"/>
          <w:color w:val="000000" w:themeColor="text1"/>
          <w:sz w:val="24"/>
        </w:rPr>
        <w:t>(注：</w:t>
      </w:r>
      <w:r>
        <w:rPr>
          <w:rFonts w:hint="eastAsia" w:ascii="仿宋" w:hAnsi="仿宋" w:eastAsia="仿宋"/>
          <w:color w:val="000000" w:themeColor="text1"/>
          <w:sz w:val="24"/>
        </w:rPr>
        <w:t>请部门根据实际注明页码</w:t>
      </w:r>
      <w:r>
        <w:rPr>
          <w:rFonts w:ascii="仿宋" w:hAnsi="仿宋" w:eastAsia="仿宋"/>
          <w:color w:val="000000" w:themeColor="text1"/>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（一）主要职能。（职能参照省政府批准的三定方案）</w:t>
      </w:r>
      <w:bookmarkEnd w:id="16"/>
      <w:bookmarkEnd w:id="17"/>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(1)负责全区林业及生态建设的监督管理。贯彻执行国家和省、市有关林业的方针、政策和法律、法规，制定相应的实施意见并组织实施，完善林业政策和管理制度。拟订全区林业发展及生态建设中长期规划，监督检查规划的实施完成情况。组织开展全区森林资源、陆生野生动植物资源和荒漠的调查、动态监测和评估。承担林业生态文明建设的有关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(2)组织、协调、指导和监督全区绿化和造林工作。拟订全区绿化和造林规划、年度指导性计划并组织实施，指导各类公益林和商品林的培育，指导植树造林、封山育林和以植树种草等生物措施防治水土流失工作，组织、指导全民义务植树、造林绿化工作，监督检查各项造林绿化项目、计划的实施完成情况。编制我区森林城市建设规划和方案，组织、指导、协调和监督规划、方案的实施，统筹规划城乡绿化一体化建设。负责全区种苗管理。承担区绿化委员会和区退耕还林领导小组的日常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(3)承担全区森林资源保护发展和监督管理的职责。贯彻执行国家和省、市关于森林采伐限额和林地保护利用规划，监督执行森林采伐限额，监督管理林木、竹林的凭证采伐、运输和经营加工。组织全区森林资源调查、动态监测和统计。指导监督林地和林权管理，组织实施林权登记、发证工作，依法承担林地征用、占用的初审工作及权限范围内的临时征用、占用林地的审批工作；加强对林区的森林资源管理。承担区天然林资源保护工程领导小组的日常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(4)组织、协调、指导和监督全区林地荒漠化防治工作。贯彻执行国家和省、市有关防沙治沙、石漠化防治及沙化土地封禁保护区建设规划及其标准和规定。</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(5)宣传贯彻陆生野生动植物保护、管理的有关政策、法规；组织、指导全区陆生野生动植物的保护和合理开发利用。依法开展陆生野生动植物的救护繁育、栖息地恢复发展、疫源疫病监测，监督管理全区陆生野生动植物猎捕或采集、驯养繁殖或培植、经营利用，监督管理野生动植物进出口。承担国家、省保护的陆生野生动物、珍稀树种、珍稀野生植物及其产品的初审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(6)承担推进全区林业改革，依法维护农民和其他经营者经营林业合法权益的责任。贯彻执行国家、省、市有关集体林权制度、重点国有林区等重大林业改革意见和政策，拟订全区重大林业改革的相关实施意见并指导监督实施。贯彻执行国家、省、市推进农村林业发展、维护农民和其他经营者经营林业合法权益的政策措施，指导监督农村林地承包经营和林权流转，指导林权纠纷调处和林地承包合同纠纷仲裁。</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(7)监督检查全区各产业对森林、荒漠和陆生野生动植物资源的开发利用。贯彻执行国家和省、市有关林业资源优化配置政策及其产业标准，拟订全区林业产业发展规化并监督实施，组织指导林产品质量监督。指导全区林业综合开发。</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(8)负责组织、协调、指导和监督全区森林防火工作。组织、指导、监督全区林业有害生物的防治、检疫工作，负责林业行政案件的查处和林业执法体系建设；协调森林公安工作。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(9)负责指导、协调全区林业经济工作。贯彻执行国家、省、市、区有关林业及其生态建设的财政、金融、价格、贸易等经济调节政策，贯彻执行林业及其生态建设补偿制度。提出区级林业专项资金的预算建议，管理监督国家、省、市、区级林业专项资金，负责全区林业固定资产投资规模和方向，提出区财政资金的安排意见，编制全区林业及其生态建设、产业发展、重点工程发展规划、计划并监督实施。</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(10)负责全区林业及其生态建设的科技、宣传、教育、培训工作，加强生态文化建设。</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(11)承担权限内行政审批事项。</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(12)承办区政府交办的其他事项。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tabs>
          <w:tab w:val="left" w:pos="9156"/>
        </w:tabs>
        <w:spacing w:before="93" w:line="353" w:lineRule="auto"/>
        <w:ind w:firstLine="640" w:firstLineChars="200"/>
        <w:rPr>
          <w:color w:val="FF0000"/>
          <w:sz w:val="32"/>
          <w:szCs w:val="32"/>
        </w:rPr>
      </w:pPr>
      <w:r>
        <w:rPr>
          <w:rFonts w:hint="eastAsia" w:ascii="仿宋" w:hAnsi="仿宋" w:eastAsia="仿宋"/>
          <w:bCs/>
          <w:color w:val="000000"/>
          <w:sz w:val="32"/>
          <w:szCs w:val="32"/>
        </w:rPr>
        <w:t xml:space="preserve"> </w:t>
      </w:r>
      <w:r>
        <w:rPr>
          <w:rFonts w:hint="eastAsia"/>
          <w:sz w:val="32"/>
          <w:szCs w:val="32"/>
        </w:rPr>
        <w:t>1.</w:t>
      </w:r>
      <w:r>
        <w:rPr>
          <w:sz w:val="32"/>
          <w:szCs w:val="32"/>
        </w:rPr>
        <w:t>造林绿化工作。2019年，东区造林绿化工作以项目为载体，围绕各项森林资源保护发展目标，加大推进力度，筑牢绿色生态屏障，全面促进森林资源发展。一是重点项目有序推进。花城森林公园项目。项目前期招商投资部分已完成前期投入清算，已确定投资意向企业并签订框架协议，目前正就投资细节进行磋商，正式合作协议已经区委财经领导小组审议，并将相关优惠政策执行事宜报请市政府研究。马坎森林公园提升改造工程，已</w:t>
      </w:r>
      <w:r>
        <w:rPr>
          <w:rFonts w:hint="eastAsia"/>
          <w:sz w:val="32"/>
          <w:szCs w:val="32"/>
        </w:rPr>
        <w:t>完成了管护用房、人行步道、观景平台，公园厕所等改造提升，准备进入工程验收阶段</w:t>
      </w:r>
      <w:r>
        <w:rPr>
          <w:sz w:val="32"/>
          <w:szCs w:val="32"/>
        </w:rPr>
        <w:t>。2018年国家重点生态功能区建设项目，现已完成</w:t>
      </w:r>
      <w:r>
        <w:rPr>
          <w:rFonts w:hint="eastAsia"/>
          <w:sz w:val="32"/>
          <w:szCs w:val="32"/>
        </w:rPr>
        <w:t>项目立项，设计单位招标工作，目前正在进行施工图纸设计，预计年底进场施工</w:t>
      </w:r>
      <w:r>
        <w:rPr>
          <w:sz w:val="32"/>
          <w:szCs w:val="32"/>
        </w:rPr>
        <w:t>。二是全民义务植树活动广泛开展。201</w:t>
      </w:r>
      <w:r>
        <w:rPr>
          <w:rFonts w:hint="eastAsia"/>
          <w:sz w:val="32"/>
          <w:szCs w:val="32"/>
        </w:rPr>
        <w:t>9</w:t>
      </w:r>
      <w:r>
        <w:rPr>
          <w:sz w:val="32"/>
          <w:szCs w:val="32"/>
        </w:rPr>
        <w:t>年义务植树以堡坎绿化为主，结合乡村花景打造试点工作统筹实施，按照每个社区补贴5000元的标准，将义务植树活动任务分解到辖区69个社区（村），全区计划完成10公里堡坎绿化工作。目前已完成“6.29”集中义务植树活动，栽植羊蹄甲、红枫、三角梅、爬山虎、炮仗花、黑荆树等植物3万余株。</w:t>
      </w:r>
      <w:r>
        <w:rPr>
          <w:rFonts w:hint="eastAsia"/>
          <w:sz w:val="32"/>
          <w:szCs w:val="32"/>
          <w:lang w:eastAsia="zh-CN"/>
        </w:rPr>
        <w:t>截至目前</w:t>
      </w:r>
      <w:r>
        <w:rPr>
          <w:sz w:val="32"/>
          <w:szCs w:val="32"/>
        </w:rPr>
        <w:t>，全区完成新造林830亩，义务植树完成55.6万株。</w:t>
      </w:r>
      <w:r>
        <w:rPr>
          <w:bCs/>
          <w:sz w:val="32"/>
          <w:szCs w:val="32"/>
        </w:rPr>
        <w:t>林木种质资源普查工作加快推进。</w:t>
      </w:r>
      <w:r>
        <w:rPr>
          <w:rFonts w:hint="eastAsia"/>
          <w:sz w:val="32"/>
          <w:szCs w:val="32"/>
        </w:rPr>
        <w:t>东区种质资源</w:t>
      </w:r>
      <w:r>
        <w:rPr>
          <w:sz w:val="32"/>
          <w:szCs w:val="32"/>
        </w:rPr>
        <w:t>外业调查工作</w:t>
      </w:r>
      <w:r>
        <w:rPr>
          <w:rFonts w:hint="eastAsia"/>
          <w:sz w:val="32"/>
          <w:szCs w:val="32"/>
        </w:rPr>
        <w:t>已经全面结束，正在进行资料整理，植物辨别等内业工作</w:t>
      </w:r>
      <w:r>
        <w:rPr>
          <w:sz w:val="32"/>
          <w:szCs w:val="32"/>
        </w:rPr>
        <w:t>。</w:t>
      </w:r>
    </w:p>
    <w:p>
      <w:pPr>
        <w:spacing w:line="353" w:lineRule="auto"/>
        <w:ind w:firstLine="640" w:firstLineChars="200"/>
        <w:jc w:val="left"/>
        <w:rPr>
          <w:rFonts w:ascii="仿宋_GB2312" w:eastAsia="仿宋_GB2312"/>
          <w:sz w:val="32"/>
          <w:szCs w:val="32"/>
        </w:rPr>
      </w:pPr>
      <w:r>
        <w:rPr>
          <w:rFonts w:hint="eastAsia" w:eastAsia="仿宋_GB2312"/>
          <w:sz w:val="32"/>
          <w:szCs w:val="32"/>
        </w:rPr>
        <w:t>2.</w:t>
      </w:r>
      <w:r>
        <w:rPr>
          <w:rFonts w:eastAsia="仿宋_GB2312"/>
          <w:sz w:val="32"/>
          <w:szCs w:val="32"/>
        </w:rPr>
        <w:t>森林资源保护管理工作。</w:t>
      </w:r>
      <w:r>
        <w:rPr>
          <w:rFonts w:hint="eastAsia" w:ascii="仿宋_GB2312" w:eastAsia="仿宋_GB2312"/>
          <w:sz w:val="32"/>
          <w:szCs w:val="32"/>
        </w:rPr>
        <w:t>一是严格林地征占用管理。认真执行林地征占用申报审批制度，</w:t>
      </w:r>
      <w:r>
        <w:rPr>
          <w:rFonts w:hint="eastAsia" w:ascii="仿宋_GB2312" w:eastAsia="仿宋_GB2312"/>
          <w:sz w:val="32"/>
          <w:szCs w:val="32"/>
          <w:lang w:eastAsia="zh-CN"/>
        </w:rPr>
        <w:t>截至目前</w:t>
      </w:r>
      <w:r>
        <w:rPr>
          <w:rFonts w:hint="eastAsia" w:ascii="仿宋_GB2312" w:eastAsia="仿宋_GB2312"/>
          <w:sz w:val="32"/>
          <w:szCs w:val="32"/>
        </w:rPr>
        <w:t>共审核临时占用林地2件，面积1.449公顷；审核直接为林业生产服务的工程设施占用林地2件，面积0.3701公顷；办理木材运输许可证17件，</w:t>
      </w:r>
      <w:r>
        <w:rPr>
          <w:rFonts w:ascii="仿宋_GB2312" w:eastAsia="仿宋_GB2312"/>
          <w:sz w:val="32"/>
          <w:szCs w:val="32"/>
        </w:rPr>
        <w:t>林木种子生产经营许可2件</w:t>
      </w:r>
      <w:r>
        <w:rPr>
          <w:rFonts w:hint="eastAsia" w:ascii="仿宋_GB2312" w:eastAsia="仿宋_GB2312"/>
          <w:sz w:val="32"/>
          <w:szCs w:val="32"/>
        </w:rPr>
        <w:t>，植物检疫18件, 森林防火期内在森林防火区野外用火活动审批1件。二是积极开展野生动物保护相关工作。</w:t>
      </w:r>
      <w:r>
        <w:rPr>
          <w:rFonts w:hint="eastAsia" w:ascii="仿宋_GB2312" w:eastAsia="仿宋_GB2312"/>
          <w:sz w:val="32"/>
          <w:szCs w:val="32"/>
          <w:lang w:eastAsia="zh-CN"/>
        </w:rPr>
        <w:t>截至目前</w:t>
      </w:r>
      <w:r>
        <w:rPr>
          <w:rFonts w:hint="eastAsia" w:ascii="仿宋_GB2312" w:eastAsia="仿宋_GB2312"/>
          <w:sz w:val="32"/>
          <w:szCs w:val="32"/>
        </w:rPr>
        <w:t>，共救助猫头鹰5只。三是强化木材运输管理。</w:t>
      </w:r>
      <w:r>
        <w:rPr>
          <w:rFonts w:hint="eastAsia" w:ascii="仿宋_GB2312" w:eastAsia="仿宋_GB2312"/>
          <w:sz w:val="32"/>
          <w:szCs w:val="32"/>
          <w:lang w:eastAsia="zh-CN"/>
        </w:rPr>
        <w:t>截至目前</w:t>
      </w:r>
      <w:r>
        <w:rPr>
          <w:rFonts w:hint="eastAsia" w:ascii="仿宋_GB2312" w:eastAsia="仿宋_GB2312"/>
          <w:sz w:val="32"/>
          <w:szCs w:val="32"/>
        </w:rPr>
        <w:t>全区依法运输木材170立方米，其中160立方米为市内运输，10立方米为市外运输。四是完成2019年森林督查工作，积极开展森林资源管理“一张图”年度更新工作。五是完成东区森林保险工作。于4月中旬将东区46423亩公益林全部参保。六是开展“大棚房”和重点区域违规违法占用国家资源挤占生态空间问题清理整治工作。七</w:t>
      </w:r>
      <w:r>
        <w:rPr>
          <w:rFonts w:ascii="仿宋_GB2312" w:eastAsia="仿宋_GB2312"/>
          <w:sz w:val="32"/>
          <w:szCs w:val="32"/>
        </w:rPr>
        <w:t>是落实森林保险工作</w:t>
      </w:r>
      <w:r>
        <w:rPr>
          <w:rFonts w:hint="eastAsia" w:ascii="仿宋_GB2312" w:eastAsia="仿宋_GB2312"/>
          <w:sz w:val="32"/>
          <w:szCs w:val="32"/>
        </w:rPr>
        <w:t>。</w:t>
      </w:r>
      <w:r>
        <w:rPr>
          <w:rFonts w:ascii="仿宋_GB2312" w:eastAsia="仿宋_GB2312"/>
          <w:sz w:val="32"/>
          <w:szCs w:val="32"/>
        </w:rPr>
        <w:t>东区46423亩公益林全部参保</w:t>
      </w:r>
      <w:r>
        <w:rPr>
          <w:rFonts w:hint="eastAsia" w:ascii="仿宋_GB2312" w:eastAsia="仿宋_GB2312"/>
          <w:sz w:val="32"/>
          <w:szCs w:val="32"/>
        </w:rPr>
        <w:t>，</w:t>
      </w:r>
      <w:r>
        <w:rPr>
          <w:rFonts w:ascii="仿宋_GB2312" w:eastAsia="仿宋_GB2312"/>
          <w:sz w:val="32"/>
          <w:szCs w:val="32"/>
        </w:rPr>
        <w:t>今年没有受灾情况，因此没有理赔。</w:t>
      </w:r>
      <w:r>
        <w:rPr>
          <w:rFonts w:hint="eastAsia" w:ascii="仿宋_GB2312" w:eastAsia="仿宋_GB2312"/>
          <w:sz w:val="32"/>
          <w:szCs w:val="32"/>
        </w:rPr>
        <w:t>八是</w:t>
      </w:r>
      <w:r>
        <w:rPr>
          <w:rFonts w:eastAsia="仿宋_GB2312"/>
          <w:sz w:val="32"/>
          <w:szCs w:val="32"/>
        </w:rPr>
        <w:t>扎实开展毁林开垦整治专项行动。</w:t>
      </w:r>
      <w:r>
        <w:rPr>
          <w:rFonts w:ascii="仿宋_GB2312" w:eastAsia="仿宋_GB2312"/>
          <w:sz w:val="32"/>
          <w:szCs w:val="32"/>
        </w:rPr>
        <w:t>九是</w:t>
      </w:r>
      <w:r>
        <w:rPr>
          <w:rFonts w:hint="eastAsia" w:ascii="仿宋_GB2312" w:eastAsia="仿宋_GB2312"/>
          <w:sz w:val="32"/>
          <w:szCs w:val="32"/>
        </w:rPr>
        <w:t>落实东区森林资源“双增长”目标工作。</w:t>
      </w:r>
      <w:r>
        <w:rPr>
          <w:rFonts w:ascii="仿宋_GB2312" w:eastAsia="仿宋_GB2312"/>
          <w:sz w:val="32"/>
          <w:szCs w:val="32"/>
        </w:rPr>
        <w:t>东区201</w:t>
      </w:r>
      <w:r>
        <w:rPr>
          <w:rFonts w:hint="eastAsia" w:ascii="仿宋_GB2312" w:eastAsia="仿宋_GB2312"/>
          <w:sz w:val="32"/>
          <w:szCs w:val="32"/>
        </w:rPr>
        <w:t>9</w:t>
      </w:r>
      <w:r>
        <w:rPr>
          <w:rFonts w:ascii="仿宋_GB2312" w:eastAsia="仿宋_GB2312"/>
          <w:sz w:val="32"/>
          <w:szCs w:val="32"/>
        </w:rPr>
        <w:t>年度森林资源增长量：森林面积增长</w:t>
      </w:r>
      <w:r>
        <w:rPr>
          <w:rFonts w:hint="eastAsia" w:ascii="仿宋_GB2312" w:eastAsia="仿宋_GB2312"/>
          <w:sz w:val="32"/>
          <w:szCs w:val="32"/>
        </w:rPr>
        <w:t>5</w:t>
      </w:r>
      <w:r>
        <w:rPr>
          <w:rFonts w:ascii="仿宋_GB2312" w:eastAsia="仿宋_GB2312"/>
          <w:sz w:val="32"/>
          <w:szCs w:val="32"/>
        </w:rPr>
        <w:t>00亩，森林蓄积增长</w:t>
      </w:r>
      <w:r>
        <w:rPr>
          <w:rFonts w:hint="eastAsia" w:ascii="仿宋_GB2312" w:eastAsia="仿宋_GB2312"/>
          <w:sz w:val="32"/>
          <w:szCs w:val="32"/>
        </w:rPr>
        <w:t>3400</w:t>
      </w:r>
      <w:r>
        <w:rPr>
          <w:rFonts w:ascii="仿宋_GB2312" w:eastAsia="仿宋_GB2312"/>
          <w:sz w:val="32"/>
          <w:szCs w:val="32"/>
        </w:rPr>
        <w:t>立方米，林地保有量为1185</w:t>
      </w:r>
      <w:r>
        <w:rPr>
          <w:rFonts w:hint="eastAsia" w:ascii="仿宋_GB2312" w:eastAsia="仿宋_GB2312"/>
          <w:sz w:val="32"/>
          <w:szCs w:val="32"/>
        </w:rPr>
        <w:t>00</w:t>
      </w:r>
      <w:r>
        <w:rPr>
          <w:rFonts w:ascii="仿宋_GB2312" w:eastAsia="仿宋_GB2312"/>
          <w:sz w:val="32"/>
          <w:szCs w:val="32"/>
        </w:rPr>
        <w:t>亩。为确保完成年度目标任务，区政府与银江镇、区林业局与银江镇城乡建设管理服务中心签订了年度目标责任书，层层落实管护责任，大力实施植树造林，并加强森林管护力度,按时圆满完成年度目标任务。</w:t>
      </w:r>
    </w:p>
    <w:p>
      <w:pPr>
        <w:spacing w:line="353" w:lineRule="auto"/>
        <w:ind w:firstLine="640" w:firstLineChars="200"/>
        <w:rPr>
          <w:rFonts w:eastAsia="仿宋_GB2312"/>
          <w:b/>
          <w:sz w:val="32"/>
          <w:szCs w:val="32"/>
        </w:rPr>
      </w:pPr>
      <w:r>
        <w:rPr>
          <w:rFonts w:hint="eastAsia" w:eastAsia="仿宋_GB2312"/>
          <w:sz w:val="32"/>
          <w:szCs w:val="32"/>
        </w:rPr>
        <w:t>3.</w:t>
      </w:r>
      <w:r>
        <w:rPr>
          <w:rFonts w:eastAsia="仿宋_GB2312"/>
          <w:sz w:val="32"/>
          <w:szCs w:val="32"/>
        </w:rPr>
        <w:t>涉林民生工作。认真组织实施天然林保护工程，切实加强天然林资源保护管理，区政府与银江镇政府、区林业局与银江镇城乡建设管理服务中心签订了天保二期目标责任书，管护森林面积</w:t>
      </w:r>
      <w:r>
        <w:rPr>
          <w:rFonts w:hint="eastAsia" w:eastAsia="仿宋_GB2312"/>
          <w:sz w:val="32"/>
          <w:szCs w:val="32"/>
        </w:rPr>
        <w:t>65253</w:t>
      </w:r>
      <w:r>
        <w:rPr>
          <w:rFonts w:eastAsia="仿宋_GB2312"/>
          <w:sz w:val="32"/>
          <w:szCs w:val="32"/>
        </w:rPr>
        <w:t>亩（其中国有林9646亩，集体国家级公益林</w:t>
      </w:r>
      <w:r>
        <w:rPr>
          <w:rFonts w:hint="eastAsia" w:eastAsia="仿宋_GB2312"/>
          <w:sz w:val="32"/>
          <w:szCs w:val="32"/>
        </w:rPr>
        <w:t>36707</w:t>
      </w:r>
      <w:r>
        <w:rPr>
          <w:rFonts w:eastAsia="仿宋_GB2312"/>
          <w:sz w:val="32"/>
          <w:szCs w:val="32"/>
        </w:rPr>
        <w:t>亩，集体所有天然商品林18900亩）</w:t>
      </w:r>
      <w:r>
        <w:rPr>
          <w:rFonts w:hint="eastAsia" w:eastAsia="仿宋_GB2312"/>
          <w:sz w:val="32"/>
          <w:szCs w:val="32"/>
        </w:rPr>
        <w:t>。</w:t>
      </w:r>
      <w:r>
        <w:rPr>
          <w:rFonts w:eastAsia="仿宋_GB2312"/>
          <w:b/>
          <w:sz w:val="32"/>
          <w:szCs w:val="32"/>
        </w:rPr>
        <w:t>一是</w:t>
      </w:r>
      <w:r>
        <w:rPr>
          <w:rFonts w:eastAsia="仿宋_GB2312"/>
          <w:sz w:val="32"/>
          <w:szCs w:val="32"/>
        </w:rPr>
        <w:t>及时兑现集体公益林森林生态效益补偿资金。对今年森林管护进行了全面自查，结果显示为合格。根据相关规定于</w:t>
      </w:r>
      <w:r>
        <w:rPr>
          <w:rFonts w:hint="eastAsia" w:eastAsia="仿宋_GB2312"/>
          <w:sz w:val="32"/>
          <w:szCs w:val="32"/>
        </w:rPr>
        <w:t>11</w:t>
      </w:r>
      <w:r>
        <w:rPr>
          <w:rFonts w:eastAsia="仿宋_GB2312"/>
          <w:sz w:val="32"/>
          <w:szCs w:val="32"/>
        </w:rPr>
        <w:t>月底前将森林生态效益补偿资金</w:t>
      </w:r>
      <w:r>
        <w:rPr>
          <w:rFonts w:hint="eastAsia" w:eastAsia="仿宋_GB2312"/>
          <w:sz w:val="32"/>
          <w:szCs w:val="32"/>
        </w:rPr>
        <w:t>57.81</w:t>
      </w:r>
      <w:r>
        <w:rPr>
          <w:rFonts w:eastAsia="仿宋_GB2312"/>
          <w:sz w:val="32"/>
          <w:szCs w:val="32"/>
        </w:rPr>
        <w:t>万元拨付</w:t>
      </w:r>
      <w:r>
        <w:rPr>
          <w:rFonts w:hint="eastAsia" w:eastAsia="仿宋_GB2312"/>
          <w:sz w:val="32"/>
          <w:szCs w:val="32"/>
        </w:rPr>
        <w:t>中国农业银行攀枝花分行炳草岗支行</w:t>
      </w:r>
      <w:r>
        <w:rPr>
          <w:rFonts w:eastAsia="仿宋_GB2312"/>
          <w:sz w:val="32"/>
          <w:szCs w:val="32"/>
        </w:rPr>
        <w:t>，由</w:t>
      </w:r>
      <w:r>
        <w:rPr>
          <w:rFonts w:hint="eastAsia" w:eastAsia="仿宋_GB2312"/>
          <w:sz w:val="32"/>
          <w:szCs w:val="32"/>
        </w:rPr>
        <w:t>银行</w:t>
      </w:r>
      <w:r>
        <w:rPr>
          <w:rFonts w:eastAsia="仿宋_GB2312"/>
          <w:sz w:val="32"/>
          <w:szCs w:val="32"/>
        </w:rPr>
        <w:t>通过</w:t>
      </w:r>
      <w:r>
        <w:rPr>
          <w:rFonts w:hint="eastAsia" w:eastAsia="仿宋_GB2312"/>
          <w:sz w:val="32"/>
          <w:szCs w:val="32"/>
        </w:rPr>
        <w:t>社保卡</w:t>
      </w:r>
      <w:r>
        <w:rPr>
          <w:rFonts w:eastAsia="仿宋_GB2312"/>
          <w:sz w:val="32"/>
          <w:szCs w:val="32"/>
        </w:rPr>
        <w:t>兑现到农户。</w:t>
      </w:r>
      <w:r>
        <w:rPr>
          <w:rFonts w:eastAsia="仿宋_GB2312"/>
          <w:b/>
          <w:sz w:val="32"/>
          <w:szCs w:val="32"/>
        </w:rPr>
        <w:t>二是</w:t>
      </w:r>
      <w:r>
        <w:rPr>
          <w:rFonts w:eastAsia="仿宋_GB2312"/>
          <w:sz w:val="32"/>
          <w:szCs w:val="32"/>
        </w:rPr>
        <w:t>及时兑现天然起源商品林管护资金。对今年森林管护进行了全面自查，结果显示为合格。根据相关规定于</w:t>
      </w:r>
      <w:r>
        <w:rPr>
          <w:rFonts w:hint="eastAsia" w:eastAsia="仿宋_GB2312"/>
          <w:sz w:val="32"/>
          <w:szCs w:val="32"/>
        </w:rPr>
        <w:t>11</w:t>
      </w:r>
      <w:r>
        <w:rPr>
          <w:rFonts w:eastAsia="仿宋_GB2312"/>
          <w:sz w:val="32"/>
          <w:szCs w:val="32"/>
        </w:rPr>
        <w:t>月底前将天然起源商品林管护</w:t>
      </w:r>
      <w:r>
        <w:rPr>
          <w:rFonts w:hint="eastAsia" w:eastAsia="仿宋_GB2312"/>
          <w:sz w:val="32"/>
          <w:szCs w:val="32"/>
        </w:rPr>
        <w:t>18.87</w:t>
      </w:r>
      <w:r>
        <w:rPr>
          <w:rFonts w:eastAsia="仿宋_GB2312"/>
          <w:sz w:val="32"/>
          <w:szCs w:val="32"/>
        </w:rPr>
        <w:t>万元拨付</w:t>
      </w:r>
      <w:r>
        <w:rPr>
          <w:rFonts w:hint="eastAsia" w:eastAsia="仿宋_GB2312"/>
          <w:sz w:val="32"/>
          <w:szCs w:val="32"/>
        </w:rPr>
        <w:t>银江镇</w:t>
      </w:r>
      <w:r>
        <w:rPr>
          <w:rFonts w:eastAsia="仿宋_GB2312"/>
          <w:sz w:val="32"/>
          <w:szCs w:val="32"/>
        </w:rPr>
        <w:t>，由</w:t>
      </w:r>
      <w:r>
        <w:rPr>
          <w:rFonts w:hint="eastAsia" w:eastAsia="仿宋_GB2312"/>
          <w:sz w:val="32"/>
          <w:szCs w:val="32"/>
        </w:rPr>
        <w:t>银江镇公示后通过“一卡通”</w:t>
      </w:r>
      <w:r>
        <w:rPr>
          <w:rFonts w:eastAsia="仿宋_GB2312"/>
          <w:sz w:val="32"/>
          <w:szCs w:val="32"/>
        </w:rPr>
        <w:t>兑现到农户。</w:t>
      </w:r>
    </w:p>
    <w:p>
      <w:pPr>
        <w:ind w:firstLine="640" w:firstLineChars="200"/>
        <w:rPr>
          <w:rFonts w:ascii="仿宋_GB2312" w:eastAsia="仿宋_GB2312"/>
          <w:sz w:val="32"/>
          <w:szCs w:val="32"/>
        </w:rPr>
      </w:pPr>
      <w:r>
        <w:rPr>
          <w:rFonts w:hint="eastAsia" w:ascii="仿宋_GB2312" w:eastAsia="仿宋_GB2312"/>
          <w:sz w:val="32"/>
          <w:szCs w:val="32"/>
        </w:rPr>
        <w:t>4.依法治林工作。主要开展了行政执法主体和行政执法人员资格清理工作到；推行规范性文件合法性审核机制；全面推进行政执法公示制度、执法全过程记录制度、重大执法决定法制审核制度；全面推行“双随机、一公开”监管；严格落实并执行行政处罚裁量权标准。重点建立学法机制，坚持领导讲法，集中学法等，学习掌握以宪法为核心的中国特色社会主义法律体系，学习与本部门密切相关的法律法规；开展行政执法人员培训，积极参加学习、交流、研讨等活动；进一步改进行政执法作风，有效预防和解决执法不严格、不公正、不文明、不规范等问题，做到严格执法、规范执法、公正执法、文明执法。开展行政执法大督查：对近年来的行政案件进行清理，2016至2018年，我局共办理林业行政案件50件，办案率达100%，擅自改变林地用途案件占总体案件的66%，擅自开垦林地案件占总体案件的20%，我局牵头，联合市森林公安局东区分局、银江镇、国营林场总场相关工作人员，共同对历年案件的“恢复原状”相关工作进行监管。</w:t>
      </w:r>
    </w:p>
    <w:p>
      <w:pPr>
        <w:spacing w:line="560" w:lineRule="exact"/>
        <w:ind w:firstLine="640" w:firstLineChars="200"/>
        <w:rPr>
          <w:rFonts w:eastAsia="仿宋_GB2312"/>
          <w:color w:val="FF0000"/>
          <w:sz w:val="32"/>
          <w:szCs w:val="32"/>
        </w:rPr>
      </w:pPr>
      <w:r>
        <w:rPr>
          <w:rFonts w:hint="eastAsia" w:eastAsia="仿宋_GB2312"/>
          <w:sz w:val="32"/>
          <w:szCs w:val="32"/>
        </w:rPr>
        <w:t>5.</w:t>
      </w:r>
      <w:r>
        <w:rPr>
          <w:rFonts w:eastAsia="仿宋_GB2312"/>
          <w:sz w:val="32"/>
          <w:szCs w:val="32"/>
        </w:rPr>
        <w:t>森林防火工作。</w:t>
      </w:r>
      <w:r>
        <w:rPr>
          <w:rFonts w:hint="eastAsia" w:ascii="仿宋_GB2312" w:eastAsia="仿宋_GB2312"/>
          <w:sz w:val="32"/>
          <w:szCs w:val="32"/>
        </w:rPr>
        <w:t>自</w:t>
      </w:r>
      <w:r>
        <w:rPr>
          <w:rFonts w:ascii="仿宋_GB2312" w:eastAsia="仿宋_GB2312"/>
          <w:sz w:val="32"/>
          <w:szCs w:val="32"/>
        </w:rPr>
        <w:t>2019</w:t>
      </w:r>
      <w:r>
        <w:rPr>
          <w:rFonts w:hint="eastAsia" w:ascii="仿宋_GB2312" w:eastAsia="仿宋_GB2312"/>
          <w:sz w:val="32"/>
          <w:szCs w:val="32"/>
        </w:rPr>
        <w:t>年森林防火期以来，东区共发生火情</w:t>
      </w:r>
      <w:r>
        <w:rPr>
          <w:rFonts w:ascii="仿宋_GB2312" w:eastAsia="仿宋_GB2312"/>
          <w:sz w:val="32"/>
          <w:szCs w:val="32"/>
        </w:rPr>
        <w:t>8</w:t>
      </w:r>
      <w:r>
        <w:rPr>
          <w:rFonts w:hint="eastAsia" w:ascii="仿宋_GB2312" w:eastAsia="仿宋_GB2312"/>
          <w:sz w:val="32"/>
          <w:szCs w:val="32"/>
        </w:rPr>
        <w:t>起，（吸烟</w:t>
      </w:r>
      <w:r>
        <w:rPr>
          <w:rFonts w:ascii="仿宋_GB2312" w:eastAsia="仿宋_GB2312"/>
          <w:sz w:val="32"/>
          <w:szCs w:val="32"/>
        </w:rPr>
        <w:t>1</w:t>
      </w:r>
      <w:r>
        <w:rPr>
          <w:rFonts w:hint="eastAsia" w:ascii="仿宋_GB2312" w:eastAsia="仿宋_GB2312"/>
          <w:sz w:val="32"/>
          <w:szCs w:val="32"/>
        </w:rPr>
        <w:t>起、焚烧垃圾</w:t>
      </w:r>
      <w:r>
        <w:rPr>
          <w:rFonts w:ascii="仿宋_GB2312" w:eastAsia="仿宋_GB2312"/>
          <w:sz w:val="32"/>
          <w:szCs w:val="32"/>
        </w:rPr>
        <w:t>1</w:t>
      </w:r>
      <w:r>
        <w:rPr>
          <w:rFonts w:hint="eastAsia" w:ascii="仿宋_GB2312" w:eastAsia="仿宋_GB2312"/>
          <w:sz w:val="32"/>
          <w:szCs w:val="32"/>
        </w:rPr>
        <w:t>起、电焊</w:t>
      </w:r>
      <w:r>
        <w:rPr>
          <w:rFonts w:ascii="仿宋_GB2312" w:eastAsia="仿宋_GB2312"/>
          <w:sz w:val="32"/>
          <w:szCs w:val="32"/>
        </w:rPr>
        <w:t>3</w:t>
      </w:r>
      <w:r>
        <w:rPr>
          <w:rFonts w:hint="eastAsia" w:ascii="仿宋_GB2312" w:eastAsia="仿宋_GB2312"/>
          <w:sz w:val="32"/>
          <w:szCs w:val="32"/>
        </w:rPr>
        <w:t>起、输电线碰线</w:t>
      </w:r>
      <w:r>
        <w:rPr>
          <w:rFonts w:ascii="仿宋_GB2312" w:eastAsia="仿宋_GB2312"/>
          <w:sz w:val="32"/>
          <w:szCs w:val="32"/>
        </w:rPr>
        <w:t>3</w:t>
      </w:r>
      <w:r>
        <w:rPr>
          <w:rFonts w:hint="eastAsia" w:ascii="仿宋_GB2312" w:eastAsia="仿宋_GB2312"/>
          <w:sz w:val="32"/>
          <w:szCs w:val="32"/>
        </w:rPr>
        <w:t>起、）易引发林区森林火灾，隐患较大。对已发生的火情，森林公安机关已依法开展调查处理。其中森林火灾</w:t>
      </w:r>
      <w:r>
        <w:rPr>
          <w:rFonts w:ascii="仿宋_GB2312" w:eastAsia="仿宋_GB2312"/>
          <w:sz w:val="32"/>
          <w:szCs w:val="32"/>
        </w:rPr>
        <w:t>1</w:t>
      </w:r>
      <w:r>
        <w:rPr>
          <w:rFonts w:hint="eastAsia" w:ascii="仿宋_GB2312" w:eastAsia="仿宋_GB2312"/>
          <w:sz w:val="32"/>
          <w:szCs w:val="32"/>
        </w:rPr>
        <w:t>起，过火面积</w:t>
      </w:r>
      <w:r>
        <w:rPr>
          <w:rFonts w:ascii="仿宋_GB2312" w:eastAsia="仿宋_GB2312"/>
          <w:sz w:val="32"/>
          <w:szCs w:val="32"/>
        </w:rPr>
        <w:t>0.13</w:t>
      </w:r>
      <w:r>
        <w:rPr>
          <w:rFonts w:hint="eastAsia" w:ascii="仿宋_GB2312" w:eastAsia="仿宋_GB2312"/>
          <w:sz w:val="32"/>
          <w:szCs w:val="32"/>
        </w:rPr>
        <w:t>公顷，无森林受害面积；其余为非林地火灾。一是提高政治站位。认真组织传达学习了习近平总书记、李克强总理等中央领导同志关于森林防火工作的批示指示精神，彭清华书记、尹力省长等领导批示精神，全省加强森林草原和城乡防火安全工作电视电话会议精神，市委、市政府，区委、区政府领导同志关于森林和城乡防火安全工作的讲话、批示精神，学习传达全市林业系统森林防火工作会议精神，进一步提高做好森林防火工作的思想意识、责任意识。二是加强经费保障。年度森林防火经费全部列入了区、镇级财政预算，全区</w:t>
      </w:r>
      <w:r>
        <w:rPr>
          <w:rFonts w:ascii="仿宋_GB2312" w:eastAsia="仿宋_GB2312"/>
          <w:sz w:val="32"/>
          <w:szCs w:val="32"/>
        </w:rPr>
        <w:t>2019</w:t>
      </w:r>
      <w:r>
        <w:rPr>
          <w:rFonts w:hint="eastAsia" w:ascii="仿宋_GB2312" w:eastAsia="仿宋_GB2312"/>
          <w:sz w:val="32"/>
          <w:szCs w:val="32"/>
        </w:rPr>
        <w:t>年合计投入防火经费</w:t>
      </w:r>
      <w:r>
        <w:rPr>
          <w:rFonts w:ascii="仿宋_GB2312" w:eastAsia="仿宋_GB2312"/>
          <w:sz w:val="32"/>
          <w:szCs w:val="32"/>
        </w:rPr>
        <w:t>370</w:t>
      </w:r>
      <w:r>
        <w:rPr>
          <w:rFonts w:hint="eastAsia" w:ascii="仿宋_GB2312" w:eastAsia="仿宋_GB2312"/>
          <w:sz w:val="32"/>
          <w:szCs w:val="32"/>
        </w:rPr>
        <w:t>余万元，其中区专业扑火队运行保障经费</w:t>
      </w:r>
      <w:r>
        <w:rPr>
          <w:rFonts w:ascii="仿宋_GB2312" w:eastAsia="仿宋_GB2312"/>
          <w:sz w:val="32"/>
          <w:szCs w:val="32"/>
        </w:rPr>
        <w:t>168</w:t>
      </w:r>
      <w:r>
        <w:rPr>
          <w:rFonts w:hint="eastAsia" w:ascii="仿宋_GB2312" w:eastAsia="仿宋_GB2312"/>
          <w:sz w:val="32"/>
          <w:szCs w:val="32"/>
        </w:rPr>
        <w:t>万元，银江镇森林火灾预防和扑救补助</w:t>
      </w:r>
      <w:r>
        <w:rPr>
          <w:rFonts w:ascii="仿宋_GB2312" w:eastAsia="仿宋_GB2312"/>
          <w:sz w:val="32"/>
          <w:szCs w:val="32"/>
        </w:rPr>
        <w:t>100</w:t>
      </w:r>
      <w:r>
        <w:rPr>
          <w:rFonts w:hint="eastAsia" w:ascii="仿宋_GB2312" w:eastAsia="仿宋_GB2312"/>
          <w:sz w:val="32"/>
          <w:szCs w:val="32"/>
        </w:rPr>
        <w:t>万元，各部门单位宣传、预防等工作经费</w:t>
      </w:r>
      <w:r>
        <w:rPr>
          <w:rFonts w:ascii="仿宋_GB2312" w:eastAsia="仿宋_GB2312"/>
          <w:sz w:val="32"/>
          <w:szCs w:val="32"/>
        </w:rPr>
        <w:t>40</w:t>
      </w:r>
      <w:r>
        <w:rPr>
          <w:rFonts w:hint="eastAsia" w:ascii="仿宋_GB2312" w:eastAsia="仿宋_GB2312"/>
          <w:sz w:val="32"/>
          <w:szCs w:val="32"/>
        </w:rPr>
        <w:t>余万元；镇级财政预算保障镇半专业扑火队运行经费等</w:t>
      </w:r>
      <w:r>
        <w:rPr>
          <w:rFonts w:ascii="仿宋_GB2312" w:eastAsia="仿宋_GB2312"/>
          <w:sz w:val="32"/>
          <w:szCs w:val="32"/>
        </w:rPr>
        <w:t>60</w:t>
      </w:r>
      <w:r>
        <w:rPr>
          <w:rFonts w:hint="eastAsia" w:ascii="仿宋_GB2312" w:eastAsia="仿宋_GB2312"/>
          <w:sz w:val="32"/>
          <w:szCs w:val="32"/>
        </w:rPr>
        <w:t>余万元。三是加强队伍管理。按照上级要求，在</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月底之前，我区组建了</w:t>
      </w:r>
      <w:r>
        <w:rPr>
          <w:rFonts w:ascii="仿宋_GB2312" w:eastAsia="仿宋_GB2312"/>
          <w:sz w:val="32"/>
          <w:szCs w:val="32"/>
        </w:rPr>
        <w:t>1</w:t>
      </w:r>
      <w:r>
        <w:rPr>
          <w:rFonts w:hint="eastAsia" w:ascii="仿宋_GB2312" w:eastAsia="仿宋_GB2312"/>
          <w:sz w:val="32"/>
          <w:szCs w:val="32"/>
        </w:rPr>
        <w:t>支专业扑火队（区民兵训练基地</w:t>
      </w:r>
      <w:r>
        <w:rPr>
          <w:rFonts w:ascii="仿宋_GB2312" w:eastAsia="仿宋_GB2312"/>
          <w:sz w:val="32"/>
          <w:szCs w:val="32"/>
        </w:rPr>
        <w:t>30</w:t>
      </w:r>
      <w:r>
        <w:rPr>
          <w:rFonts w:hint="eastAsia" w:ascii="仿宋_GB2312" w:eastAsia="仿宋_GB2312"/>
          <w:sz w:val="32"/>
          <w:szCs w:val="32"/>
        </w:rPr>
        <w:t>人）</w:t>
      </w:r>
      <w:r>
        <w:rPr>
          <w:rFonts w:ascii="仿宋_GB2312" w:eastAsia="仿宋_GB2312"/>
          <w:sz w:val="32"/>
          <w:szCs w:val="32"/>
        </w:rPr>
        <w:t>,1</w:t>
      </w:r>
      <w:r>
        <w:rPr>
          <w:rFonts w:hint="eastAsia" w:ascii="仿宋_GB2312" w:eastAsia="仿宋_GB2312"/>
          <w:sz w:val="32"/>
          <w:szCs w:val="32"/>
        </w:rPr>
        <w:t>支半专业扑火队（银江镇</w:t>
      </w:r>
      <w:r>
        <w:rPr>
          <w:rFonts w:ascii="仿宋_GB2312" w:eastAsia="仿宋_GB2312"/>
          <w:sz w:val="32"/>
          <w:szCs w:val="32"/>
        </w:rPr>
        <w:t>10</w:t>
      </w:r>
      <w:r>
        <w:rPr>
          <w:rFonts w:hint="eastAsia" w:ascii="仿宋_GB2312" w:eastAsia="仿宋_GB2312"/>
          <w:sz w:val="32"/>
          <w:szCs w:val="32"/>
        </w:rPr>
        <w:t>人）</w:t>
      </w:r>
      <w:r>
        <w:rPr>
          <w:rFonts w:ascii="仿宋_GB2312" w:eastAsia="仿宋_GB2312"/>
          <w:sz w:val="32"/>
          <w:szCs w:val="32"/>
        </w:rPr>
        <w:t>,</w:t>
      </w:r>
      <w:r>
        <w:rPr>
          <w:rFonts w:hint="eastAsia" w:ascii="仿宋_GB2312" w:eastAsia="仿宋_GB2312"/>
          <w:sz w:val="32"/>
          <w:szCs w:val="32"/>
        </w:rPr>
        <w:t>村社义务扑火队</w:t>
      </w:r>
      <w:r>
        <w:rPr>
          <w:rFonts w:ascii="仿宋_GB2312" w:eastAsia="仿宋_GB2312"/>
          <w:sz w:val="32"/>
          <w:szCs w:val="32"/>
        </w:rPr>
        <w:t>9</w:t>
      </w:r>
      <w:r>
        <w:rPr>
          <w:rFonts w:hint="eastAsia" w:ascii="仿宋_GB2312" w:eastAsia="仿宋_GB2312"/>
          <w:sz w:val="32"/>
          <w:szCs w:val="32"/>
        </w:rPr>
        <w:t>支共计</w:t>
      </w:r>
      <w:r>
        <w:rPr>
          <w:rFonts w:ascii="仿宋_GB2312" w:eastAsia="仿宋_GB2312"/>
          <w:sz w:val="32"/>
          <w:szCs w:val="32"/>
        </w:rPr>
        <w:t>180</w:t>
      </w:r>
      <w:r>
        <w:rPr>
          <w:rFonts w:hint="eastAsia" w:ascii="仿宋_GB2312" w:eastAsia="仿宋_GB2312"/>
          <w:sz w:val="32"/>
          <w:szCs w:val="32"/>
        </w:rPr>
        <w:t>人。队伍组建后，对所有人员都开展了防火安全知识和扑火技能培训。在防火期内，专业（半专业）队伍一律实行半军事化管理。四是强化宣传教育。在政府网站、</w:t>
      </w:r>
      <w:r>
        <w:rPr>
          <w:rFonts w:ascii="仿宋_GB2312" w:eastAsia="仿宋_GB2312"/>
          <w:sz w:val="32"/>
          <w:szCs w:val="32"/>
        </w:rPr>
        <w:t>hello</w:t>
      </w:r>
      <w:r>
        <w:rPr>
          <w:rFonts w:hint="eastAsia" w:ascii="仿宋_GB2312" w:eastAsia="仿宋_GB2312"/>
          <w:sz w:val="32"/>
          <w:szCs w:val="32"/>
        </w:rPr>
        <w:t>攀枝花微信公众号等媒体，刊发森林防火知识、工作动态等，</w:t>
      </w:r>
      <w:r>
        <w:rPr>
          <w:rFonts w:ascii="仿宋_GB2312" w:eastAsia="仿宋_GB2312"/>
          <w:sz w:val="32"/>
          <w:szCs w:val="32"/>
        </w:rPr>
        <w:t>“</w:t>
      </w:r>
      <w:r>
        <w:rPr>
          <w:rFonts w:hint="eastAsia" w:ascii="仿宋_GB2312" w:eastAsia="仿宋_GB2312"/>
          <w:sz w:val="32"/>
          <w:szCs w:val="32"/>
        </w:rPr>
        <w:t>春节</w:t>
      </w:r>
      <w:r>
        <w:rPr>
          <w:rFonts w:ascii="仿宋_GB2312" w:eastAsia="仿宋_GB2312"/>
          <w:sz w:val="32"/>
          <w:szCs w:val="32"/>
        </w:rPr>
        <w:t>”“</w:t>
      </w:r>
      <w:r>
        <w:rPr>
          <w:rFonts w:hint="eastAsia" w:ascii="仿宋_GB2312" w:eastAsia="仿宋_GB2312"/>
          <w:sz w:val="32"/>
          <w:szCs w:val="32"/>
        </w:rPr>
        <w:t>清明</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五一</w:t>
      </w:r>
      <w:r>
        <w:rPr>
          <w:rFonts w:ascii="仿宋_GB2312" w:eastAsia="仿宋_GB2312"/>
          <w:sz w:val="32"/>
          <w:szCs w:val="32"/>
        </w:rPr>
        <w:t>”</w:t>
      </w:r>
      <w:r>
        <w:rPr>
          <w:rFonts w:hint="eastAsia" w:ascii="仿宋_GB2312" w:eastAsia="仿宋_GB2312"/>
          <w:sz w:val="32"/>
          <w:szCs w:val="32"/>
        </w:rPr>
        <w:t>等重点时段，在攀枝花广播电台</w:t>
      </w:r>
      <w:r>
        <w:rPr>
          <w:rFonts w:ascii="仿宋_GB2312" w:eastAsia="仿宋_GB2312"/>
          <w:sz w:val="32"/>
          <w:szCs w:val="32"/>
        </w:rPr>
        <w:t>FM910</w:t>
      </w:r>
      <w:r>
        <w:rPr>
          <w:rFonts w:hint="eastAsia" w:ascii="仿宋_GB2312" w:eastAsia="仿宋_GB2312"/>
          <w:sz w:val="32"/>
          <w:szCs w:val="32"/>
        </w:rPr>
        <w:t>进行全时段森林防火广播宣传，努力营造全民防火氛围。同时，进一步扩大宣传范围，做好辖区全体学校师生防火宣传教育，确保宣传到每一个学生、家长。对辖区旅游景区和游客，通过多种方式进行森林防火知识宣传。在辖区集中坟场及重点林区设立防火警示标牌</w:t>
      </w:r>
      <w:r>
        <w:rPr>
          <w:rFonts w:ascii="仿宋_GB2312" w:eastAsia="仿宋_GB2312"/>
          <w:sz w:val="32"/>
          <w:szCs w:val="32"/>
        </w:rPr>
        <w:t>332</w:t>
      </w:r>
      <w:r>
        <w:rPr>
          <w:rFonts w:hint="eastAsia" w:ascii="仿宋_GB2312" w:eastAsia="仿宋_GB2312"/>
          <w:sz w:val="32"/>
          <w:szCs w:val="32"/>
        </w:rPr>
        <w:t>条，清明祭祀禁止一切上坟烧纸用火。通过林区播放和发放宣传册的方式，对</w:t>
      </w:r>
      <w:r>
        <w:rPr>
          <w:rFonts w:ascii="仿宋_GB2312" w:eastAsia="仿宋_GB2312"/>
          <w:sz w:val="32"/>
          <w:szCs w:val="32"/>
        </w:rPr>
        <w:t>7</w:t>
      </w:r>
      <w:r>
        <w:rPr>
          <w:rFonts w:hint="eastAsia" w:ascii="仿宋_GB2312" w:eastAsia="仿宋_GB2312"/>
          <w:sz w:val="32"/>
          <w:szCs w:val="32"/>
        </w:rPr>
        <w:t>起火灾典型案例进行宣传，发放典型案例宣传册</w:t>
      </w:r>
      <w:r>
        <w:rPr>
          <w:rFonts w:ascii="仿宋_GB2312" w:eastAsia="仿宋_GB2312"/>
          <w:sz w:val="32"/>
          <w:szCs w:val="32"/>
        </w:rPr>
        <w:t>2000</w:t>
      </w:r>
      <w:r>
        <w:rPr>
          <w:rFonts w:hint="eastAsia" w:ascii="仿宋_GB2312" w:eastAsia="仿宋_GB2312"/>
          <w:sz w:val="32"/>
          <w:szCs w:val="32"/>
        </w:rPr>
        <w:t>余份。五是实施防火隔离带烧铲除。完成全长</w:t>
      </w:r>
      <w:r>
        <w:rPr>
          <w:rFonts w:ascii="仿宋_GB2312" w:eastAsia="仿宋_GB2312"/>
          <w:sz w:val="32"/>
          <w:szCs w:val="32"/>
        </w:rPr>
        <w:t>108</w:t>
      </w:r>
      <w:r>
        <w:rPr>
          <w:rFonts w:hint="eastAsia" w:ascii="仿宋_GB2312" w:eastAsia="仿宋_GB2312"/>
          <w:sz w:val="32"/>
          <w:szCs w:val="32"/>
        </w:rPr>
        <w:t>公里、宽</w:t>
      </w:r>
      <w:r>
        <w:rPr>
          <w:rFonts w:ascii="仿宋_GB2312" w:eastAsia="仿宋_GB2312"/>
          <w:sz w:val="32"/>
          <w:szCs w:val="32"/>
        </w:rPr>
        <w:t>30</w:t>
      </w:r>
      <w:r>
        <w:rPr>
          <w:rFonts w:hint="eastAsia" w:ascii="仿宋_GB2312" w:eastAsia="仿宋_GB2312"/>
          <w:sz w:val="32"/>
          <w:szCs w:val="32"/>
        </w:rPr>
        <w:t>米的防火隔离带的烧铲除和检查、验收工作，共计投入经费约</w:t>
      </w:r>
      <w:r>
        <w:rPr>
          <w:rFonts w:ascii="仿宋_GB2312" w:eastAsia="仿宋_GB2312"/>
          <w:sz w:val="32"/>
          <w:szCs w:val="32"/>
        </w:rPr>
        <w:t>100</w:t>
      </w:r>
      <w:r>
        <w:rPr>
          <w:rFonts w:hint="eastAsia" w:ascii="仿宋_GB2312" w:eastAsia="仿宋_GB2312"/>
          <w:sz w:val="32"/>
          <w:szCs w:val="32"/>
        </w:rPr>
        <w:t>余万元。六是加强火源管控。辖区防火期共设置森林防火检查站点</w:t>
      </w:r>
      <w:r>
        <w:rPr>
          <w:rFonts w:ascii="仿宋_GB2312" w:eastAsia="仿宋_GB2312"/>
          <w:sz w:val="32"/>
          <w:szCs w:val="32"/>
        </w:rPr>
        <w:t>28</w:t>
      </w:r>
      <w:r>
        <w:rPr>
          <w:rFonts w:hint="eastAsia" w:ascii="仿宋_GB2312" w:eastAsia="仿宋_GB2312"/>
          <w:sz w:val="32"/>
          <w:szCs w:val="32"/>
        </w:rPr>
        <w:t>个，对进山人员携带火源进行管控，确保火种不上山入林，从源头上降低火灾风险。辖区</w:t>
      </w:r>
      <w:r>
        <w:rPr>
          <w:rFonts w:hint="eastAsia" w:ascii="宋体" w:hAnsi="宋体" w:cs="宋体"/>
          <w:sz w:val="32"/>
          <w:szCs w:val="32"/>
        </w:rPr>
        <w:t>瞭</w:t>
      </w:r>
      <w:r>
        <w:rPr>
          <w:rFonts w:hint="eastAsia" w:ascii="仿宋_GB2312" w:hAnsi="仿宋_GB2312" w:eastAsia="仿宋_GB2312" w:cs="仿宋_GB2312"/>
          <w:sz w:val="32"/>
          <w:szCs w:val="32"/>
        </w:rPr>
        <w:t>望台实行</w:t>
      </w:r>
      <w:r>
        <w:rPr>
          <w:rFonts w:hint="eastAsia" w:ascii="仿宋_GB2312" w:eastAsia="仿宋_GB2312"/>
          <w:sz w:val="32"/>
          <w:szCs w:val="32"/>
        </w:rPr>
        <w:t>24小时火情监控。积极组织巡山护林员、专业扑火队和干部职工开展巡山巡护，配备了专（兼）职巡山护林员</w:t>
      </w:r>
      <w:r>
        <w:rPr>
          <w:rFonts w:ascii="仿宋_GB2312" w:eastAsia="仿宋_GB2312"/>
          <w:sz w:val="32"/>
          <w:szCs w:val="32"/>
        </w:rPr>
        <w:t>47</w:t>
      </w:r>
      <w:r>
        <w:rPr>
          <w:rFonts w:hint="eastAsia" w:ascii="仿宋_GB2312" w:eastAsia="仿宋_GB2312"/>
          <w:sz w:val="32"/>
          <w:szCs w:val="32"/>
        </w:rPr>
        <w:t>人（专职</w:t>
      </w:r>
      <w:r>
        <w:rPr>
          <w:rFonts w:ascii="仿宋_GB2312" w:eastAsia="仿宋_GB2312"/>
          <w:sz w:val="32"/>
          <w:szCs w:val="32"/>
        </w:rPr>
        <w:t>19</w:t>
      </w:r>
      <w:r>
        <w:rPr>
          <w:rFonts w:hint="eastAsia" w:ascii="仿宋_GB2312" w:eastAsia="仿宋_GB2312"/>
          <w:sz w:val="32"/>
          <w:szCs w:val="32"/>
        </w:rPr>
        <w:t>人，兼职</w:t>
      </w:r>
      <w:r>
        <w:rPr>
          <w:rFonts w:ascii="仿宋_GB2312" w:eastAsia="仿宋_GB2312"/>
          <w:sz w:val="32"/>
          <w:szCs w:val="32"/>
        </w:rPr>
        <w:t>28</w:t>
      </w:r>
      <w:r>
        <w:rPr>
          <w:rFonts w:hint="eastAsia" w:ascii="仿宋_GB2312" w:eastAsia="仿宋_GB2312"/>
          <w:sz w:val="32"/>
          <w:szCs w:val="32"/>
        </w:rPr>
        <w:t>人），每天都进行巡山排查，到岗到位。对全区林区、涉林企业等进行排查，加大巡山巡护频次和力度，做到全覆盖，建立台账，对发现的森林火灾隐患及时采取有效措施予以解决，消除隐患。防火期禁止一切野外用火，包括生产农事用火，在高火险期暂停辖区林区野外生产用火审批手续的办理。针对东区辖区重点路口和重点防火区域加强了火源管控，划定管护责任区域，实行网格化管理，将防火工作落实到山头地块。特别是对重点工程防火责任是否落实到位、重点工程是否存在火灾隐患、重要设施周边是否存在火灾隐患、集中坟场是否存在火灾隐患、防火隔离带质量是否过关等作为全面排查重点对象。对祭祀品进售进行实名制登记备案，并做好解释、宣传、引导，做到全过程排查监管。对</w:t>
      </w:r>
      <w:r>
        <w:rPr>
          <w:rFonts w:ascii="仿宋_GB2312" w:eastAsia="仿宋_GB2312"/>
          <w:sz w:val="32"/>
          <w:szCs w:val="32"/>
        </w:rPr>
        <w:t>“</w:t>
      </w:r>
      <w:r>
        <w:rPr>
          <w:rFonts w:hint="eastAsia" w:ascii="仿宋_GB2312" w:eastAsia="仿宋_GB2312"/>
          <w:sz w:val="32"/>
          <w:szCs w:val="32"/>
        </w:rPr>
        <w:t>五种特殊人</w:t>
      </w:r>
      <w:r>
        <w:rPr>
          <w:rFonts w:ascii="仿宋_GB2312" w:eastAsia="仿宋_GB2312"/>
          <w:sz w:val="32"/>
          <w:szCs w:val="32"/>
        </w:rPr>
        <w:t>”</w:t>
      </w:r>
      <w:r>
        <w:rPr>
          <w:rFonts w:hint="eastAsia" w:ascii="仿宋_GB2312" w:eastAsia="仿宋_GB2312"/>
          <w:sz w:val="32"/>
          <w:szCs w:val="32"/>
        </w:rPr>
        <w:t>（聋、哑、痴、呆、傻）落实好监管，并建立台账。七是强化应急能力。对东区应急预案进行再次修订。不定期组织开展森林灭火应急演练，对快速反应、现场指挥调度、扑火队员安全避险、火场合围扑灭、机具装备使用等进行了演练。进一步提升了多单位、多力量协同联动应急处置森林火灾的能力、水平。实行</w:t>
      </w:r>
      <w:r>
        <w:rPr>
          <w:rFonts w:ascii="仿宋_GB2312" w:eastAsia="仿宋_GB2312"/>
          <w:sz w:val="32"/>
          <w:szCs w:val="32"/>
        </w:rPr>
        <w:t>24</w:t>
      </w:r>
      <w:r>
        <w:rPr>
          <w:rFonts w:hint="eastAsia" w:ascii="仿宋_GB2312" w:eastAsia="仿宋_GB2312"/>
          <w:sz w:val="32"/>
          <w:szCs w:val="32"/>
        </w:rPr>
        <w:t>小时带班值班，灵通信息，森林火情信息统一归口报送。不定时抽查巡山护林员到岗到位情况，现场巡查、排查火灾隐患并及时落实责任、限时整改。</w:t>
      </w:r>
    </w:p>
    <w:p>
      <w:pPr>
        <w:spacing w:line="353" w:lineRule="auto"/>
        <w:ind w:firstLine="640" w:firstLineChars="200"/>
        <w:rPr>
          <w:rFonts w:ascii="仿宋_GB2312" w:eastAsia="仿宋_GB2312"/>
          <w:sz w:val="32"/>
          <w:szCs w:val="32"/>
        </w:rPr>
      </w:pPr>
      <w:r>
        <w:rPr>
          <w:rFonts w:hint="eastAsia" w:eastAsia="仿宋_GB2312"/>
          <w:sz w:val="32"/>
          <w:szCs w:val="32"/>
        </w:rPr>
        <w:t>6.</w:t>
      </w:r>
      <w:r>
        <w:rPr>
          <w:rFonts w:eastAsia="仿宋_GB2312"/>
          <w:sz w:val="32"/>
          <w:szCs w:val="32"/>
        </w:rPr>
        <w:t>森林病虫害防治工作。</w:t>
      </w:r>
      <w:r>
        <w:rPr>
          <w:rFonts w:hint="eastAsia" w:eastAsia="仿宋_GB2312"/>
          <w:sz w:val="32"/>
          <w:szCs w:val="32"/>
        </w:rPr>
        <w:t>一是</w:t>
      </w:r>
      <w:r>
        <w:rPr>
          <w:rFonts w:hint="eastAsia" w:ascii="仿宋_GB2312" w:eastAsia="仿宋_GB2312"/>
          <w:sz w:val="32"/>
          <w:szCs w:val="32"/>
        </w:rPr>
        <w:t>认真开展松材线虫病春、秋季普查工作，发现枯死松树5株（火烧致死），没有发现松材线虫病和疑似松材线虫病，没有发现异常松树枯死以及木质包装材料进山等情况。二是重点调查了解辖区松木制品的来源和使用情况，进一步加大松木及其制品复检力度。对攀钢仓储中心、电力、邮政等电缆盘使用较多的单位进行法律法规宣传；对2019年绿化工程的苗木进行检疫检查；依法打击违法违规运输、加工、经营和使用松疫木及其制品的行为，严防松材线虫病入侵我区。</w:t>
      </w:r>
    </w:p>
    <w:p>
      <w:pPr>
        <w:ind w:firstLine="800" w:firstLineChars="250"/>
        <w:rPr>
          <w:rFonts w:ascii="仿宋_GB2312" w:eastAsia="仿宋_GB2312"/>
          <w:sz w:val="32"/>
          <w:szCs w:val="32"/>
        </w:rPr>
      </w:pPr>
      <w:r>
        <w:rPr>
          <w:rFonts w:hint="eastAsia" w:eastAsia="仿宋_GB2312"/>
          <w:sz w:val="32"/>
          <w:szCs w:val="32"/>
        </w:rPr>
        <w:t>7.城市园林绿化工作。</w:t>
      </w:r>
      <w:r>
        <w:rPr>
          <w:rFonts w:hint="eastAsia" w:ascii="仿宋_GB2312" w:hAnsi="Calibri" w:eastAsia="仿宋_GB2312"/>
          <w:sz w:val="32"/>
          <w:szCs w:val="32"/>
        </w:rPr>
        <w:t>一是绿化服务外包工作。</w:t>
      </w:r>
      <w:r>
        <w:rPr>
          <w:rFonts w:hint="eastAsia" w:ascii="仿宋_GB2312" w:eastAsia="仿宋_GB2312"/>
          <w:sz w:val="32"/>
          <w:szCs w:val="32"/>
        </w:rPr>
        <w:t>今年完成了炳二区、炳三区城市次干道、支路人行道绿化管护服务和攀枝花东区段金沙江两岸绿化养护单位招标工作，对管护公司定期开展常态检查，确保辖区绿化质量得到稳步提升。二是东华山公园日常管护工作。积极开展东华山公园日常绿化管护、巡山和东区政府片区供水工作，为广大居民提供一个优美的生活和健身环境。三是推进细胞工程创建。根据市委、市政府的安排部署，为进一步巩固和扩大花城特色景观打造成果，切实提升花城景观建设品质的要求，我局继续深入开展“花园单位（机关）、花园家庭、花园小区、花园度假村（农家乐）”创建活动，现已完成初审工作，待市城乡环境综合治理领导小组办公室检查验收。四是做好“裸露地块”的补植补栽工作。各街道（镇）和绿化管护单位结合义务植树活动，</w:t>
      </w:r>
      <w:r>
        <w:rPr>
          <w:rFonts w:ascii="仿宋_GB2312" w:eastAsia="仿宋_GB2312"/>
          <w:sz w:val="32"/>
          <w:szCs w:val="32"/>
        </w:rPr>
        <w:t>按照文件</w:t>
      </w:r>
      <w:r>
        <w:rPr>
          <w:rFonts w:hint="eastAsia" w:ascii="仿宋_GB2312" w:eastAsia="仿宋_GB2312"/>
          <w:sz w:val="32"/>
          <w:szCs w:val="32"/>
        </w:rPr>
        <w:t>和合同</w:t>
      </w:r>
      <w:r>
        <w:rPr>
          <w:rFonts w:ascii="仿宋_GB2312" w:eastAsia="仿宋_GB2312"/>
          <w:sz w:val="32"/>
          <w:szCs w:val="32"/>
        </w:rPr>
        <w:t>要求开展</w:t>
      </w:r>
      <w:r>
        <w:rPr>
          <w:rFonts w:hint="eastAsia" w:ascii="仿宋_GB2312" w:eastAsia="仿宋_GB2312"/>
          <w:sz w:val="32"/>
          <w:szCs w:val="32"/>
        </w:rPr>
        <w:t>了裸露、缺株地块的绿化</w:t>
      </w:r>
      <w:r>
        <w:rPr>
          <w:rFonts w:ascii="仿宋_GB2312" w:eastAsia="仿宋_GB2312"/>
          <w:sz w:val="32"/>
          <w:szCs w:val="32"/>
        </w:rPr>
        <w:t>整治及后期养护工作</w:t>
      </w:r>
      <w:r>
        <w:rPr>
          <w:rFonts w:hint="eastAsia" w:ascii="仿宋_GB2312" w:eastAsia="仿宋_GB2312"/>
          <w:sz w:val="32"/>
          <w:szCs w:val="32"/>
        </w:rPr>
        <w:t>，及时消除了辖区绿地裸露、植物缺株现象。五是开展绿地检查和考核。区林业局依据职责，定期或不定期对辖区各街道（镇）绿地管护工作进行督促检查。集中完成我区各街办（镇）辖区范围内绿地日常管护工作的检查和年终考核。六是完成各类绿化日常工作。与相关街道（镇）紧密配合，及时处理各类涉及绿化投诉50余件；协助行政审批部门开展树木砍伐、移植和占用绿地</w:t>
      </w:r>
      <w:r>
        <w:rPr>
          <w:rFonts w:hint="eastAsia" w:ascii="仿宋_GB2312" w:eastAsia="仿宋_GB2312"/>
          <w:sz w:val="32"/>
          <w:szCs w:val="32"/>
          <w:lang w:eastAsia="zh-CN"/>
        </w:rPr>
        <w:t>的</w:t>
      </w:r>
      <w:r>
        <w:rPr>
          <w:rFonts w:hint="eastAsia" w:ascii="仿宋_GB2312" w:eastAsia="仿宋_GB2312"/>
          <w:sz w:val="32"/>
          <w:szCs w:val="32"/>
        </w:rPr>
        <w:t>行政审批工作；按照职责分工，开展职权范围内的城市园林绿地验收工作。</w:t>
      </w:r>
      <w:r>
        <w:rPr>
          <w:rFonts w:hint="eastAsia" w:ascii="仿宋_GB2312" w:hAnsi="宋体" w:eastAsia="仿宋_GB2312"/>
          <w:color w:val="FF0000"/>
          <w:sz w:val="32"/>
          <w:szCs w:val="32"/>
        </w:rPr>
        <w:t>。</w:t>
      </w:r>
    </w:p>
    <w:p>
      <w:pPr>
        <w:spacing w:line="353" w:lineRule="auto"/>
        <w:ind w:firstLine="640" w:firstLineChars="200"/>
        <w:rPr>
          <w:rFonts w:eastAsia="仿宋_GB2312"/>
          <w:sz w:val="32"/>
          <w:szCs w:val="32"/>
        </w:rPr>
      </w:pPr>
      <w:r>
        <w:rPr>
          <w:rFonts w:hint="eastAsia" w:eastAsia="仿宋_GB2312"/>
          <w:sz w:val="32"/>
          <w:szCs w:val="32"/>
        </w:rPr>
        <w:t>8.</w:t>
      </w:r>
      <w:r>
        <w:rPr>
          <w:rFonts w:eastAsia="仿宋_GB2312"/>
          <w:sz w:val="32"/>
          <w:szCs w:val="32"/>
        </w:rPr>
        <w:t>加强党的建设。加强党的建设。切实把党建工作摆上重要议事日程，认真履行全面从严治党主体责任。一是开展“两学一做”学习教育常态化制度化，认真学习党章党规和习近平新时代中国特色社会主义思想，积极引导党员干部牢固树立纪律意识和规矩意识，在工作中形成守纪律、讲规矩的好风气。二是严格落实党建工作责任制。制定</w:t>
      </w:r>
      <w:r>
        <w:rPr>
          <w:rFonts w:hint="eastAsia" w:ascii="仿宋_GB2312" w:eastAsia="仿宋_GB2312"/>
          <w:sz w:val="32"/>
          <w:szCs w:val="32"/>
        </w:rPr>
        <w:t>2019</w:t>
      </w:r>
      <w:r>
        <w:rPr>
          <w:rFonts w:eastAsia="仿宋_GB2312"/>
          <w:sz w:val="32"/>
          <w:szCs w:val="32"/>
        </w:rPr>
        <w:t>年度党建工作计划、党建责任制“三张清单”，狠抓支部建设，强化落实“三会一课”制度。三是加强党风廉政建设。制定《东区林业局党风廉政建设主体责任清单》，切实增强党风廉政建设主体责任意识，严格履行班子集体责任、一把手“第一责任人”责任、班子成员“一岗双责”，落实廉政工作纪实和“两个责任”数字化管理，层层压紧压实责任；用身边重大案件开展廉政警示教育；梳理单位廉政风险点，确定风险等级并将风险点落实到岗、到人。</w:t>
      </w:r>
      <w:r>
        <w:rPr>
          <w:rFonts w:eastAsia="仿宋_GB2312"/>
          <w:color w:val="000000"/>
          <w:sz w:val="32"/>
          <w:szCs w:val="32"/>
        </w:rPr>
        <w:t>四</w:t>
      </w:r>
      <w:r>
        <w:rPr>
          <w:rFonts w:eastAsia="仿宋_GB2312"/>
          <w:sz w:val="32"/>
          <w:szCs w:val="32"/>
        </w:rPr>
        <w:t>是狠抓意识形态工作。引导、教育单位职工牢固树立“四个意识”，深入贯彻习近平总书记对四川工作系列重要指示精神，坚持意识形态和业务工作同步抓，巩固主题教育实践活动成果，持续加强东区林业队伍建设。</w:t>
      </w:r>
      <w:r>
        <w:rPr>
          <w:rFonts w:hint="eastAsia" w:eastAsia="仿宋_GB2312"/>
          <w:sz w:val="32"/>
          <w:szCs w:val="32"/>
        </w:rPr>
        <w:t>五</w:t>
      </w:r>
      <w:r>
        <w:rPr>
          <w:rFonts w:eastAsia="仿宋_GB2312"/>
          <w:sz w:val="32"/>
          <w:szCs w:val="32"/>
        </w:rPr>
        <w:t>是认真组织开展</w:t>
      </w:r>
      <w:r>
        <w:rPr>
          <w:rFonts w:hint="eastAsia" w:eastAsia="仿宋_GB2312"/>
          <w:sz w:val="32"/>
          <w:szCs w:val="32"/>
        </w:rPr>
        <w:t>“</w:t>
      </w:r>
      <w:bookmarkStart w:id="58" w:name="_GoBack"/>
      <w:bookmarkEnd w:id="58"/>
      <w:r>
        <w:rPr>
          <w:rFonts w:eastAsia="仿宋_GB2312"/>
          <w:sz w:val="32"/>
          <w:szCs w:val="32"/>
        </w:rPr>
        <w:t>不忘初心</w:t>
      </w:r>
      <w:r>
        <w:rPr>
          <w:rFonts w:hint="eastAsia" w:eastAsia="仿宋_GB2312"/>
          <w:sz w:val="32"/>
          <w:szCs w:val="32"/>
          <w:lang w:eastAsia="zh-CN"/>
        </w:rPr>
        <w:t>、</w:t>
      </w:r>
      <w:r>
        <w:rPr>
          <w:rFonts w:eastAsia="仿宋_GB2312"/>
          <w:sz w:val="32"/>
          <w:szCs w:val="32"/>
        </w:rPr>
        <w:t>牢记使命</w:t>
      </w:r>
      <w:r>
        <w:rPr>
          <w:rFonts w:hint="eastAsia" w:eastAsia="仿宋_GB2312"/>
          <w:sz w:val="32"/>
          <w:szCs w:val="32"/>
        </w:rPr>
        <w:t>”</w:t>
      </w:r>
      <w:r>
        <w:rPr>
          <w:rFonts w:eastAsia="仿宋_GB2312"/>
          <w:sz w:val="32"/>
          <w:szCs w:val="32"/>
        </w:rPr>
        <w:t>主题教育</w:t>
      </w:r>
      <w:r>
        <w:rPr>
          <w:rFonts w:hint="eastAsia" w:eastAsia="仿宋_GB2312"/>
          <w:sz w:val="32"/>
          <w:szCs w:val="32"/>
        </w:rPr>
        <w:t>，</w:t>
      </w:r>
      <w:r>
        <w:rPr>
          <w:rFonts w:eastAsia="仿宋_GB2312"/>
          <w:sz w:val="32"/>
          <w:szCs w:val="32"/>
        </w:rPr>
        <w:t>强化党员干部思想教育</w:t>
      </w:r>
      <w:r>
        <w:rPr>
          <w:rFonts w:hint="eastAsia" w:eastAsia="仿宋_GB2312"/>
          <w:sz w:val="32"/>
          <w:szCs w:val="32"/>
        </w:rPr>
        <w:t>，</w:t>
      </w:r>
      <w:r>
        <w:rPr>
          <w:rFonts w:eastAsia="仿宋_GB2312"/>
          <w:sz w:val="32"/>
          <w:szCs w:val="32"/>
        </w:rPr>
        <w:t>提高党员干部政治觉悟和政治站位</w:t>
      </w:r>
      <w:r>
        <w:rPr>
          <w:rFonts w:hint="eastAsia" w:eastAsia="仿宋_GB2312"/>
          <w:sz w:val="32"/>
          <w:szCs w:val="32"/>
        </w:rPr>
        <w:t>。</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东区林业局下属二级单位2个，其中行政单位0个，参照公务员法管理的事业单位</w:t>
      </w:r>
      <w:r>
        <w:rPr>
          <w:rFonts w:hint="eastAsia" w:ascii="仿宋_GB2312" w:hAnsi="Arial Unicode MS" w:eastAsia="仿宋_GB2312" w:cs="Arial Unicode MS"/>
          <w:bCs/>
          <w:sz w:val="32"/>
          <w:szCs w:val="32"/>
        </w:rPr>
        <w:t>1</w:t>
      </w:r>
      <w:r>
        <w:rPr>
          <w:rFonts w:hint="eastAsia" w:ascii="仿宋_GB2312" w:hAnsi="Arial Unicode MS" w:eastAsia="仿宋_GB2312" w:cs="Arial Unicode MS"/>
          <w:sz w:val="32"/>
          <w:szCs w:val="32"/>
        </w:rPr>
        <w:t>个，其他事业单位1个。</w:t>
      </w:r>
    </w:p>
    <w:p>
      <w:pPr>
        <w:pStyle w:val="5"/>
        <w:adjustRightInd w:val="0"/>
        <w:snapToGrid w:val="0"/>
        <w:spacing w:before="93" w:line="600" w:lineRule="exact"/>
        <w:ind w:firstLine="672" w:firstLineChars="210"/>
        <w:rPr>
          <w:rFonts w:hAnsi="Arial Unicode MS" w:cs="Arial Unicode MS"/>
          <w:color w:val="000000"/>
          <w:sz w:val="32"/>
          <w:szCs w:val="32"/>
        </w:rPr>
      </w:pPr>
      <w:r>
        <w:rPr>
          <w:rFonts w:hint="eastAsia" w:hAnsi="Arial Unicode MS" w:cs="Arial Unicode MS"/>
          <w:color w:val="000000"/>
          <w:sz w:val="32"/>
          <w:szCs w:val="32"/>
        </w:rPr>
        <w:t>纳入东区林业局2019年度部门决算编制范围的二级预算单位包括：</w:t>
      </w:r>
    </w:p>
    <w:p>
      <w:pPr>
        <w:pStyle w:val="5"/>
        <w:numPr>
          <w:ilvl w:val="0"/>
          <w:numId w:val="1"/>
        </w:numPr>
        <w:adjustRightInd w:val="0"/>
        <w:snapToGrid w:val="0"/>
        <w:spacing w:before="93" w:line="600" w:lineRule="exact"/>
        <w:outlineLvl w:val="2"/>
        <w:rPr>
          <w:rFonts w:hAnsi="Arial Unicode MS" w:cs="Arial Unicode MS"/>
          <w:color w:val="000000"/>
          <w:sz w:val="32"/>
          <w:szCs w:val="32"/>
        </w:rPr>
      </w:pPr>
      <w:bookmarkStart w:id="22" w:name="_Toc15378450"/>
      <w:bookmarkStart w:id="23" w:name="_Toc15377434"/>
      <w:bookmarkStart w:id="24" w:name="_Toc15306277"/>
      <w:bookmarkStart w:id="25" w:name="_Toc15377203"/>
      <w:r>
        <w:rPr>
          <w:rFonts w:hint="eastAsia" w:hAnsi="Arial Unicode MS" w:cs="Arial Unicode MS"/>
          <w:sz w:val="32"/>
          <w:szCs w:val="32"/>
        </w:rPr>
        <w:t>东区林业执法稽查队</w:t>
      </w:r>
    </w:p>
    <w:p>
      <w:pPr>
        <w:pStyle w:val="5"/>
        <w:numPr>
          <w:ilvl w:val="0"/>
          <w:numId w:val="1"/>
        </w:numPr>
        <w:adjustRightInd w:val="0"/>
        <w:snapToGrid w:val="0"/>
        <w:spacing w:before="93" w:line="600" w:lineRule="exact"/>
        <w:outlineLvl w:val="2"/>
        <w:rPr>
          <w:rFonts w:hAnsi="Arial Unicode MS" w:cs="Arial Unicode MS"/>
          <w:color w:val="000000"/>
          <w:sz w:val="32"/>
          <w:szCs w:val="32"/>
        </w:rPr>
      </w:pPr>
      <w:r>
        <w:rPr>
          <w:rFonts w:hint="eastAsia" w:hAnsi="Arial Unicode MS" w:cs="Arial Unicode MS"/>
          <w:sz w:val="32"/>
          <w:szCs w:val="32"/>
        </w:rPr>
        <w:t>东区</w:t>
      </w:r>
      <w:bookmarkEnd w:id="22"/>
      <w:bookmarkEnd w:id="23"/>
      <w:bookmarkEnd w:id="24"/>
      <w:bookmarkEnd w:id="25"/>
      <w:r>
        <w:rPr>
          <w:rFonts w:hint="eastAsia" w:hAnsi="Arial Unicode MS" w:cs="Arial Unicode MS"/>
          <w:sz w:val="32"/>
          <w:szCs w:val="32"/>
        </w:rPr>
        <w:t>绿化工作服务中心</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color w:val="000000" w:themeColor="text1"/>
        </w:rPr>
      </w:pPr>
      <w:bookmarkStart w:id="26" w:name="_Toc15377204"/>
      <w:bookmarkStart w:id="27" w:name="_Toc15396602"/>
      <w:r>
        <w:rPr>
          <w:rFonts w:hint="eastAsia" w:ascii="黑体" w:hAnsi="黑体" w:eastAsia="黑体"/>
          <w:b w:val="0"/>
          <w:color w:val="000000" w:themeColor="text1"/>
        </w:rPr>
        <w:t>第二部分</w:t>
      </w:r>
      <w:r>
        <w:rPr>
          <w:rFonts w:hint="eastAsia" w:ascii="黑体" w:hAnsi="黑体" w:eastAsia="黑体"/>
          <w:color w:val="000000" w:themeColor="text1"/>
        </w:rPr>
        <w:t xml:space="preserve"> </w:t>
      </w:r>
      <w:r>
        <w:rPr>
          <w:rStyle w:val="25"/>
          <w:rFonts w:hint="eastAsia" w:ascii="黑体" w:hAnsi="黑体" w:eastAsia="黑体"/>
          <w:b w:val="0"/>
          <w:bCs w:val="0"/>
          <w:color w:val="000000" w:themeColor="text1"/>
        </w:rPr>
        <w:t>2019年度部门决算情况说明</w:t>
      </w:r>
      <w:bookmarkEnd w:id="26"/>
      <w:bookmarkEnd w:id="27"/>
    </w:p>
    <w:p>
      <w:pPr>
        <w:rPr>
          <w:color w:val="000000" w:themeColor="text1"/>
        </w:rPr>
      </w:pPr>
    </w:p>
    <w:p>
      <w:pPr>
        <w:pStyle w:val="24"/>
        <w:numPr>
          <w:ilvl w:val="0"/>
          <w:numId w:val="2"/>
        </w:numPr>
        <w:spacing w:line="600" w:lineRule="exact"/>
        <w:ind w:left="720" w:firstLineChars="0"/>
        <w:outlineLvl w:val="1"/>
        <w:rPr>
          <w:rStyle w:val="26"/>
          <w:rFonts w:ascii="黑体" w:hAnsi="黑体" w:eastAsia="黑体"/>
          <w:b w:val="0"/>
          <w:color w:val="000000" w:themeColor="text1"/>
        </w:rPr>
      </w:pPr>
      <w:bookmarkStart w:id="28" w:name="_Toc15396603"/>
      <w:bookmarkStart w:id="29" w:name="_Toc15377205"/>
      <w:r>
        <w:rPr>
          <w:rFonts w:hint="eastAsia" w:ascii="黑体" w:hAnsi="黑体" w:eastAsia="黑体"/>
          <w:color w:val="000000" w:themeColor="text1"/>
          <w:sz w:val="32"/>
          <w:szCs w:val="32"/>
        </w:rPr>
        <w:t>收</w:t>
      </w:r>
      <w:r>
        <w:rPr>
          <w:rStyle w:val="26"/>
          <w:rFonts w:hint="eastAsia" w:ascii="黑体" w:hAnsi="黑体" w:eastAsia="黑体"/>
          <w:b w:val="0"/>
          <w:color w:val="000000" w:themeColor="text1"/>
        </w:rPr>
        <w:t>入支出决算总体情况说明</w:t>
      </w:r>
      <w:bookmarkEnd w:id="28"/>
      <w:bookmarkEnd w:id="29"/>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2019年度收、支总计1518.18万元。与2018年相比，收、支总计减少484.36万元，下降31.90</w:t>
      </w:r>
      <w:r>
        <w:rPr>
          <w:rFonts w:ascii="仿宋" w:hAnsi="仿宋" w:eastAsia="仿宋"/>
          <w:color w:val="000000" w:themeColor="text1"/>
          <w:sz w:val="32"/>
          <w:szCs w:val="32"/>
        </w:rPr>
        <w:t>%</w:t>
      </w:r>
      <w:r>
        <w:rPr>
          <w:rFonts w:hint="eastAsia" w:ascii="仿宋" w:hAnsi="仿宋" w:eastAsia="仿宋"/>
          <w:color w:val="000000" w:themeColor="text1"/>
          <w:sz w:val="32"/>
          <w:szCs w:val="32"/>
        </w:rPr>
        <w:t>。主要变动原因是今年节约支出。（图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right="640" w:firstLine="640" w:firstLineChars="200"/>
        <w:jc w:val="center"/>
        <w:rPr>
          <w:rFonts w:ascii="仿宋" w:hAnsi="仿宋" w:eastAsia="仿宋"/>
          <w:color w:val="000000"/>
          <w:sz w:val="32"/>
          <w:szCs w:val="32"/>
        </w:rPr>
      </w:pPr>
      <w:r>
        <w:rPr>
          <w:rFonts w:hint="eastAsia" w:ascii="仿宋" w:hAnsi="仿宋" w:eastAsia="仿宋"/>
          <w:color w:val="000000"/>
          <w:sz w:val="32"/>
          <w:szCs w:val="32"/>
        </w:rPr>
        <w:t>单位：万元</w:t>
      </w:r>
    </w:p>
    <w:p>
      <w:pPr>
        <w:pStyle w:val="12"/>
        <w:shd w:val="clear" w:color="auto" w:fill="FFFFFF"/>
        <w:spacing w:before="0" w:beforeAutospacing="0" w:after="15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274820" cy="3076575"/>
            <wp:effectExtent l="0" t="0"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right="640" w:firstLine="640" w:firstLineChars="200"/>
        <w:jc w:val="center"/>
        <w:rPr>
          <w:rFonts w:ascii="仿宋" w:hAnsi="仿宋" w:eastAsia="仿宋"/>
          <w:color w:val="000000"/>
          <w:sz w:val="32"/>
          <w:szCs w:val="32"/>
        </w:rPr>
      </w:pPr>
      <w:r>
        <w:rPr>
          <w:rFonts w:hint="eastAsia" w:ascii="仿宋" w:hAnsi="仿宋" w:eastAsia="仿宋"/>
          <w:color w:val="000000"/>
          <w:sz w:val="32"/>
          <w:szCs w:val="32"/>
        </w:rPr>
        <w:t xml:space="preserve">                         </w:t>
      </w:r>
    </w:p>
    <w:p>
      <w:pPr>
        <w:spacing w:line="600" w:lineRule="exact"/>
        <w:ind w:right="640" w:firstLine="640" w:firstLineChars="200"/>
        <w:jc w:val="center"/>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p>
    <w:p>
      <w:pPr>
        <w:pStyle w:val="24"/>
        <w:numPr>
          <w:ilvl w:val="0"/>
          <w:numId w:val="2"/>
        </w:numPr>
        <w:spacing w:line="600" w:lineRule="exact"/>
        <w:ind w:left="720" w:firstLineChars="0"/>
        <w:outlineLvl w:val="1"/>
        <w:rPr>
          <w:rStyle w:val="26"/>
          <w:rFonts w:ascii="黑体" w:hAnsi="黑体" w:eastAsia="黑体"/>
          <w:b w:val="0"/>
          <w:color w:val="000000" w:themeColor="text1"/>
        </w:rPr>
      </w:pPr>
      <w:bookmarkStart w:id="30" w:name="_Toc15396604"/>
      <w:bookmarkStart w:id="31" w:name="_Toc15377206"/>
      <w:r>
        <w:rPr>
          <w:rFonts w:hint="eastAsia" w:ascii="黑体" w:hAnsi="黑体" w:eastAsia="黑体"/>
          <w:color w:val="000000" w:themeColor="text1"/>
          <w:sz w:val="32"/>
          <w:szCs w:val="32"/>
        </w:rPr>
        <w:t>收</w:t>
      </w:r>
      <w:r>
        <w:rPr>
          <w:rStyle w:val="26"/>
          <w:rFonts w:hint="eastAsia" w:ascii="黑体" w:hAnsi="黑体" w:eastAsia="黑体"/>
          <w:b w:val="0"/>
          <w:color w:val="000000" w:themeColor="text1"/>
        </w:rPr>
        <w:t>入决算情况说明</w:t>
      </w:r>
      <w:bookmarkEnd w:id="30"/>
      <w:bookmarkEnd w:id="31"/>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9年本年收入合计830.96万元，其中：一般公共预算财政拨款收入527.37万元，占63.47</w:t>
      </w:r>
      <w:r>
        <w:rPr>
          <w:rFonts w:ascii="仿宋" w:hAnsi="仿宋" w:eastAsia="仿宋"/>
          <w:color w:val="000000" w:themeColor="text1"/>
          <w:sz w:val="32"/>
          <w:szCs w:val="32"/>
        </w:rPr>
        <w:t>%</w:t>
      </w:r>
      <w:r>
        <w:rPr>
          <w:rFonts w:hint="eastAsia" w:ascii="仿宋" w:hAnsi="仿宋" w:eastAsia="仿宋"/>
          <w:color w:val="000000" w:themeColor="text1"/>
          <w:sz w:val="32"/>
          <w:szCs w:val="32"/>
        </w:rPr>
        <w:t>；政府性基金预算财政拨款收入302.73万元，占36.43</w:t>
      </w:r>
      <w:r>
        <w:rPr>
          <w:rFonts w:ascii="仿宋" w:hAnsi="仿宋" w:eastAsia="仿宋"/>
          <w:color w:val="000000" w:themeColor="text1"/>
          <w:sz w:val="32"/>
          <w:szCs w:val="32"/>
        </w:rPr>
        <w:t>%</w:t>
      </w:r>
      <w:r>
        <w:rPr>
          <w:rFonts w:hint="eastAsia" w:ascii="仿宋" w:hAnsi="仿宋" w:eastAsia="仿宋"/>
          <w:color w:val="000000" w:themeColor="text1"/>
          <w:sz w:val="32"/>
          <w:szCs w:val="32"/>
        </w:rPr>
        <w:t>；上级补助收入</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；事业收入</w:t>
      </w:r>
      <w:r>
        <w:rPr>
          <w:rFonts w:ascii="仿宋" w:hAnsi="仿宋" w:eastAsia="仿宋"/>
          <w:color w:val="000000" w:themeColor="text1"/>
          <w:sz w:val="32"/>
          <w:szCs w:val="32"/>
        </w:rPr>
        <w:t>0</w:t>
      </w:r>
      <w:r>
        <w:rPr>
          <w:rFonts w:hint="eastAsia" w:ascii="仿宋" w:hAnsi="仿宋" w:eastAsia="仿宋"/>
          <w:color w:val="000000" w:themeColor="text1"/>
          <w:sz w:val="32"/>
          <w:szCs w:val="32"/>
        </w:rPr>
        <w:t>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；经营收入</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；附属单位上缴收入</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；其他收入0.86万元，占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10</w:t>
      </w:r>
      <w:r>
        <w:rPr>
          <w:rFonts w:ascii="仿宋" w:hAnsi="仿宋" w:eastAsia="仿宋"/>
          <w:color w:val="000000" w:themeColor="text1"/>
          <w:sz w:val="32"/>
          <w:szCs w:val="32"/>
        </w:rPr>
        <w:t>%</w:t>
      </w:r>
      <w:r>
        <w:rPr>
          <w:rFonts w:hint="eastAsia" w:ascii="仿宋" w:hAnsi="仿宋" w:eastAsia="仿宋"/>
          <w:color w:val="000000" w:themeColor="text1"/>
          <w:sz w:val="32"/>
          <w:szCs w:val="32"/>
        </w:rPr>
        <w:t>。（图2：收入决算结构图）（饼状图）</w:t>
      </w:r>
    </w:p>
    <w:p>
      <w:pPr>
        <w:spacing w:line="600" w:lineRule="exact"/>
        <w:ind w:right="640" w:firstLine="640" w:firstLineChars="200"/>
        <w:jc w:val="center"/>
        <w:rPr>
          <w:rFonts w:ascii="仿宋" w:hAnsi="仿宋" w:eastAsia="仿宋"/>
          <w:color w:val="000000"/>
          <w:sz w:val="32"/>
          <w:szCs w:val="32"/>
        </w:rPr>
      </w:pPr>
      <w:r>
        <w:rPr>
          <w:rFonts w:hint="eastAsia" w:ascii="仿宋" w:hAnsi="仿宋" w:eastAsia="仿宋"/>
          <w:color w:val="000000"/>
          <w:sz w:val="32"/>
          <w:szCs w:val="32"/>
        </w:rPr>
        <w:t xml:space="preserve">                       单位：万元</w:t>
      </w:r>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401320</wp:posOffset>
            </wp:positionH>
            <wp:positionV relativeFrom="paragraph">
              <wp:posOffset>96520</wp:posOffset>
            </wp:positionV>
            <wp:extent cx="4023360" cy="3088640"/>
            <wp:effectExtent l="0" t="0" r="15240" b="1651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themeColor="text1"/>
          <w:sz w:val="32"/>
          <w:szCs w:val="32"/>
        </w:rPr>
      </w:pPr>
    </w:p>
    <w:p>
      <w:pPr>
        <w:pStyle w:val="24"/>
        <w:numPr>
          <w:ilvl w:val="0"/>
          <w:numId w:val="2"/>
        </w:numPr>
        <w:spacing w:line="600" w:lineRule="exact"/>
        <w:ind w:left="720" w:firstLineChars="0"/>
        <w:outlineLvl w:val="1"/>
        <w:rPr>
          <w:rStyle w:val="26"/>
          <w:rFonts w:ascii="黑体" w:hAnsi="黑体" w:eastAsia="黑体"/>
          <w:b w:val="0"/>
          <w:color w:val="000000" w:themeColor="text1"/>
        </w:rPr>
      </w:pPr>
      <w:bookmarkStart w:id="32" w:name="_Toc15396605"/>
      <w:bookmarkStart w:id="33" w:name="_Toc15377207"/>
      <w:r>
        <w:rPr>
          <w:rFonts w:hint="eastAsia" w:ascii="黑体" w:hAnsi="黑体" w:eastAsia="黑体"/>
          <w:color w:val="000000" w:themeColor="text1"/>
          <w:sz w:val="32"/>
          <w:szCs w:val="32"/>
        </w:rPr>
        <w:t>支</w:t>
      </w:r>
      <w:r>
        <w:rPr>
          <w:rStyle w:val="26"/>
          <w:rFonts w:hint="eastAsia" w:ascii="黑体" w:hAnsi="黑体" w:eastAsia="黑体"/>
          <w:b w:val="0"/>
          <w:color w:val="000000" w:themeColor="text1"/>
        </w:rPr>
        <w:t>出决算情况说明</w:t>
      </w:r>
      <w:bookmarkEnd w:id="32"/>
      <w:bookmarkEnd w:id="33"/>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9年本年支出合计687.22万元，其中：基本支出345.43万元，占50.26</w:t>
      </w:r>
      <w:r>
        <w:rPr>
          <w:rFonts w:ascii="仿宋" w:hAnsi="仿宋" w:eastAsia="仿宋"/>
          <w:color w:val="000000" w:themeColor="text1"/>
          <w:sz w:val="32"/>
          <w:szCs w:val="32"/>
        </w:rPr>
        <w:t>%</w:t>
      </w:r>
      <w:r>
        <w:rPr>
          <w:rFonts w:hint="eastAsia" w:ascii="仿宋" w:hAnsi="仿宋" w:eastAsia="仿宋"/>
          <w:color w:val="000000" w:themeColor="text1"/>
          <w:sz w:val="32"/>
          <w:szCs w:val="32"/>
        </w:rPr>
        <w:t>；项目支出341.79万元，占49.74</w:t>
      </w:r>
      <w:r>
        <w:rPr>
          <w:rFonts w:ascii="仿宋" w:hAnsi="仿宋" w:eastAsia="仿宋"/>
          <w:color w:val="000000" w:themeColor="text1"/>
          <w:sz w:val="32"/>
          <w:szCs w:val="32"/>
        </w:rPr>
        <w:t>%</w:t>
      </w:r>
      <w:r>
        <w:rPr>
          <w:rFonts w:hint="eastAsia" w:ascii="仿宋" w:hAnsi="仿宋" w:eastAsia="仿宋"/>
          <w:color w:val="000000" w:themeColor="text1"/>
          <w:sz w:val="32"/>
          <w:szCs w:val="32"/>
        </w:rPr>
        <w:t>；上缴上级支出0万元，占0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；经营支出0万元，占0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；对附属单位补助支出0万元，占0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。（图3：支出决算结构图）（饼状图）</w:t>
      </w:r>
    </w:p>
    <w:p>
      <w:pPr>
        <w:spacing w:line="600" w:lineRule="exact"/>
        <w:ind w:right="640" w:firstLine="4800" w:firstLineChars="1500"/>
        <w:rPr>
          <w:rFonts w:ascii="仿宋" w:hAnsi="仿宋" w:eastAsia="仿宋"/>
          <w:color w:val="000000"/>
          <w:sz w:val="32"/>
          <w:szCs w:val="32"/>
        </w:rPr>
      </w:pPr>
    </w:p>
    <w:p>
      <w:pPr>
        <w:spacing w:line="600" w:lineRule="exact"/>
        <w:ind w:right="640" w:firstLine="4800" w:firstLineChars="1500"/>
        <w:rPr>
          <w:rFonts w:ascii="仿宋" w:hAnsi="仿宋" w:eastAsia="仿宋"/>
          <w:color w:val="000000"/>
          <w:sz w:val="32"/>
          <w:szCs w:val="32"/>
        </w:rPr>
      </w:pPr>
    </w:p>
    <w:p>
      <w:pPr>
        <w:spacing w:line="600" w:lineRule="exact"/>
        <w:ind w:right="640" w:firstLine="4800" w:firstLineChars="1500"/>
        <w:rPr>
          <w:rFonts w:ascii="仿宋" w:hAnsi="仿宋" w:eastAsia="仿宋"/>
          <w:color w:val="000000"/>
          <w:sz w:val="32"/>
          <w:szCs w:val="32"/>
        </w:rPr>
      </w:pPr>
    </w:p>
    <w:p>
      <w:pPr>
        <w:spacing w:line="600" w:lineRule="exact"/>
        <w:ind w:right="640" w:firstLine="4800" w:firstLineChars="1500"/>
        <w:rPr>
          <w:rFonts w:ascii="仿宋" w:hAnsi="仿宋" w:eastAsia="仿宋"/>
          <w:color w:val="000000"/>
          <w:sz w:val="32"/>
          <w:szCs w:val="32"/>
        </w:rPr>
      </w:pPr>
    </w:p>
    <w:p>
      <w:pPr>
        <w:spacing w:line="600" w:lineRule="exact"/>
        <w:ind w:right="640" w:firstLine="4800" w:firstLineChars="1500"/>
        <w:rPr>
          <w:rFonts w:ascii="仿宋" w:hAnsi="仿宋" w:eastAsia="仿宋"/>
          <w:color w:val="000000"/>
          <w:sz w:val="32"/>
          <w:szCs w:val="32"/>
        </w:rPr>
      </w:pPr>
    </w:p>
    <w:p>
      <w:pPr>
        <w:spacing w:line="600" w:lineRule="exact"/>
        <w:ind w:right="640" w:firstLine="4800" w:firstLineChars="1500"/>
        <w:rPr>
          <w:rFonts w:ascii="仿宋" w:hAnsi="仿宋" w:eastAsia="仿宋"/>
          <w:color w:val="000000"/>
          <w:sz w:val="32"/>
          <w:szCs w:val="32"/>
        </w:rPr>
      </w:pPr>
      <w:r>
        <w:rPr>
          <w:rFonts w:hint="eastAsia" w:ascii="仿宋" w:hAnsi="仿宋" w:eastAsia="仿宋"/>
          <w:color w:val="000000"/>
          <w:sz w:val="32"/>
          <w:szCs w:val="32"/>
        </w:rPr>
        <w:t>单位：万元</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401320</wp:posOffset>
            </wp:positionH>
            <wp:positionV relativeFrom="paragraph">
              <wp:posOffset>86360</wp:posOffset>
            </wp:positionV>
            <wp:extent cx="3759200" cy="2458720"/>
            <wp:effectExtent l="0" t="0" r="12700" b="1778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Style w:val="26"/>
          <w:rFonts w:ascii="黑体" w:hAnsi="黑体" w:eastAsia="黑体"/>
          <w:b w:val="0"/>
          <w:color w:val="000000" w:themeColor="text1"/>
        </w:rPr>
      </w:pPr>
      <w:bookmarkStart w:id="34" w:name="_Toc15377208"/>
      <w:bookmarkStart w:id="35" w:name="_Toc15396606"/>
      <w:r>
        <w:rPr>
          <w:rFonts w:hint="eastAsia" w:ascii="黑体" w:hAnsi="黑体" w:eastAsia="黑体"/>
          <w:color w:val="000000" w:themeColor="text1"/>
          <w:sz w:val="32"/>
          <w:szCs w:val="32"/>
        </w:rPr>
        <w:t>四、财</w:t>
      </w:r>
      <w:r>
        <w:rPr>
          <w:rStyle w:val="26"/>
          <w:rFonts w:hint="eastAsia" w:ascii="黑体" w:hAnsi="黑体" w:eastAsia="黑体"/>
          <w:b w:val="0"/>
          <w:color w:val="000000" w:themeColor="text1"/>
        </w:rPr>
        <w:t>政拨款收入支出决算总体情况说明</w:t>
      </w:r>
      <w:bookmarkEnd w:id="34"/>
      <w:bookmarkEnd w:id="35"/>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9年财政拨款收、支总计1516.46万元。与</w:t>
      </w:r>
      <w:r>
        <w:rPr>
          <w:rFonts w:ascii="仿宋" w:hAnsi="仿宋" w:eastAsia="仿宋"/>
          <w:color w:val="000000" w:themeColor="text1"/>
          <w:sz w:val="32"/>
          <w:szCs w:val="32"/>
        </w:rPr>
        <w:t>201</w:t>
      </w:r>
      <w:r>
        <w:rPr>
          <w:rFonts w:hint="eastAsia" w:ascii="仿宋" w:hAnsi="仿宋" w:eastAsia="仿宋"/>
          <w:color w:val="000000" w:themeColor="text1"/>
          <w:sz w:val="32"/>
          <w:szCs w:val="32"/>
        </w:rPr>
        <w:t>8年相比，财政拨款收、支总计减少484.64万元，下降31.95</w:t>
      </w:r>
      <w:r>
        <w:rPr>
          <w:rFonts w:ascii="仿宋" w:hAnsi="仿宋" w:eastAsia="仿宋"/>
          <w:color w:val="000000" w:themeColor="text1"/>
          <w:sz w:val="32"/>
          <w:szCs w:val="32"/>
        </w:rPr>
        <w:t>%</w:t>
      </w:r>
      <w:r>
        <w:rPr>
          <w:rFonts w:hint="eastAsia" w:ascii="仿宋" w:hAnsi="仿宋" w:eastAsia="仿宋"/>
          <w:color w:val="000000" w:themeColor="text1"/>
          <w:sz w:val="32"/>
          <w:szCs w:val="32"/>
        </w:rPr>
        <w:t>。主要变动原因是今年节约支出。（图4：财政拨款收、支决算总计变动情况）（柱状图）</w:t>
      </w:r>
    </w:p>
    <w:p>
      <w:pPr>
        <w:spacing w:line="600" w:lineRule="exact"/>
        <w:ind w:right="640" w:firstLine="640" w:firstLineChars="200"/>
        <w:jc w:val="center"/>
        <w:rPr>
          <w:rFonts w:ascii="仿宋" w:hAnsi="仿宋" w:eastAsia="仿宋"/>
          <w:color w:val="000000"/>
          <w:sz w:val="32"/>
          <w:szCs w:val="32"/>
        </w:rPr>
      </w:pPr>
      <w:r>
        <w:rPr>
          <w:rFonts w:hint="eastAsia" w:ascii="仿宋" w:hAnsi="仿宋" w:eastAsia="仿宋"/>
          <w:color w:val="000000"/>
          <w:sz w:val="32"/>
          <w:szCs w:val="32"/>
        </w:rPr>
        <w:t xml:space="preserve">         单位：万元</w:t>
      </w:r>
    </w:p>
    <w:p>
      <w:pPr>
        <w:pStyle w:val="12"/>
        <w:shd w:val="clear" w:color="auto" w:fill="FFFFFF"/>
        <w:spacing w:before="0" w:beforeAutospacing="0" w:after="150" w:afterAutospacing="0" w:line="450" w:lineRule="atLeast"/>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3454400" cy="2275840"/>
            <wp:effectExtent l="0" t="0" r="12700" b="101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rPr>
          <w:rFonts w:ascii="仿宋" w:hAnsi="仿宋" w:eastAsia="仿宋"/>
          <w:color w:val="000000" w:themeColor="text1"/>
          <w:sz w:val="32"/>
          <w:szCs w:val="32"/>
        </w:rPr>
      </w:pPr>
    </w:p>
    <w:p>
      <w:pPr>
        <w:spacing w:line="600" w:lineRule="exact"/>
        <w:ind w:firstLine="640" w:firstLineChars="200"/>
        <w:outlineLvl w:val="1"/>
        <w:rPr>
          <w:rStyle w:val="26"/>
          <w:rFonts w:ascii="黑体" w:hAnsi="黑体" w:eastAsia="黑体"/>
          <w:b w:val="0"/>
          <w:color w:val="000000" w:themeColor="text1"/>
        </w:rPr>
      </w:pPr>
      <w:bookmarkStart w:id="36" w:name="_Toc15396607"/>
      <w:bookmarkStart w:id="37" w:name="_Toc15377209"/>
      <w:r>
        <w:rPr>
          <w:rFonts w:hint="eastAsia" w:ascii="黑体" w:hAnsi="黑体" w:eastAsia="黑体"/>
          <w:color w:val="000000" w:themeColor="text1"/>
          <w:sz w:val="32"/>
          <w:szCs w:val="32"/>
        </w:rPr>
        <w:t>五、</w:t>
      </w:r>
      <w:r>
        <w:rPr>
          <w:rFonts w:hint="eastAsia" w:ascii="黑体" w:hAnsi="黑体" w:eastAsia="黑体"/>
          <w:b/>
          <w:color w:val="000000" w:themeColor="text1"/>
          <w:sz w:val="32"/>
          <w:szCs w:val="32"/>
        </w:rPr>
        <w:t>一</w:t>
      </w:r>
      <w:r>
        <w:rPr>
          <w:rStyle w:val="26"/>
          <w:rFonts w:hint="eastAsia" w:ascii="黑体" w:hAnsi="黑体" w:eastAsia="黑体"/>
          <w:b w:val="0"/>
          <w:color w:val="000000" w:themeColor="text1"/>
        </w:rPr>
        <w:t>般公共预算财政拨款支出决算情况说明</w:t>
      </w:r>
      <w:bookmarkEnd w:id="36"/>
      <w:bookmarkEnd w:id="37"/>
    </w:p>
    <w:p>
      <w:pPr>
        <w:spacing w:line="600" w:lineRule="exact"/>
        <w:ind w:firstLine="640" w:firstLineChars="200"/>
        <w:outlineLvl w:val="2"/>
        <w:rPr>
          <w:rFonts w:ascii="仿宋" w:hAnsi="仿宋" w:eastAsia="仿宋"/>
          <w:color w:val="000000" w:themeColor="text1"/>
          <w:sz w:val="32"/>
          <w:szCs w:val="32"/>
        </w:rPr>
      </w:pPr>
      <w:bookmarkStart w:id="38" w:name="_Toc15377210"/>
      <w:r>
        <w:rPr>
          <w:rFonts w:hint="eastAsia" w:ascii="仿宋" w:hAnsi="仿宋" w:eastAsia="仿宋"/>
          <w:color w:val="000000" w:themeColor="text1"/>
          <w:sz w:val="32"/>
          <w:szCs w:val="32"/>
        </w:rPr>
        <w:t>（一）一般公共预算财政拨款支出决算总体情况</w:t>
      </w:r>
      <w:bookmarkEnd w:id="38"/>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9年一般公共预算财政拨款支出445.86万元，占本年支出合计的64.87</w:t>
      </w:r>
      <w:r>
        <w:rPr>
          <w:rFonts w:ascii="仿宋" w:hAnsi="仿宋" w:eastAsia="仿宋"/>
          <w:color w:val="000000" w:themeColor="text1"/>
          <w:sz w:val="32"/>
          <w:szCs w:val="32"/>
        </w:rPr>
        <w:t>%</w:t>
      </w:r>
      <w:r>
        <w:rPr>
          <w:rFonts w:hint="eastAsia" w:ascii="仿宋" w:hAnsi="仿宋" w:eastAsia="仿宋"/>
          <w:color w:val="000000" w:themeColor="text1"/>
          <w:sz w:val="32"/>
          <w:szCs w:val="32"/>
        </w:rPr>
        <w:t>。与</w:t>
      </w:r>
      <w:r>
        <w:rPr>
          <w:rFonts w:ascii="仿宋" w:hAnsi="仿宋" w:eastAsia="仿宋"/>
          <w:color w:val="000000" w:themeColor="text1"/>
          <w:sz w:val="32"/>
          <w:szCs w:val="32"/>
        </w:rPr>
        <w:t>201</w:t>
      </w:r>
      <w:r>
        <w:rPr>
          <w:rFonts w:hint="eastAsia" w:ascii="仿宋" w:hAnsi="仿宋" w:eastAsia="仿宋"/>
          <w:color w:val="000000" w:themeColor="text1"/>
          <w:sz w:val="32"/>
          <w:szCs w:val="32"/>
        </w:rPr>
        <w:t>8年相比，一般公共预算财政拨款减少87.87万元，下降16.46</w:t>
      </w:r>
      <w:r>
        <w:rPr>
          <w:rFonts w:ascii="仿宋" w:hAnsi="仿宋" w:eastAsia="仿宋"/>
          <w:color w:val="000000" w:themeColor="text1"/>
          <w:sz w:val="32"/>
          <w:szCs w:val="32"/>
        </w:rPr>
        <w:t>%</w:t>
      </w:r>
      <w:r>
        <w:rPr>
          <w:rFonts w:hint="eastAsia" w:ascii="仿宋" w:hAnsi="仿宋" w:eastAsia="仿宋"/>
          <w:color w:val="000000" w:themeColor="text1"/>
          <w:sz w:val="32"/>
          <w:szCs w:val="32"/>
        </w:rPr>
        <w:t>。主要变动原因是厉行节约。（图5：一般公共预算财政拨款支出决算变动情况）（柱状图）</w:t>
      </w:r>
    </w:p>
    <w:p>
      <w:pPr>
        <w:spacing w:line="600" w:lineRule="exact"/>
        <w:ind w:firstLine="640" w:firstLineChars="200"/>
        <w:jc w:val="right"/>
        <w:rPr>
          <w:rFonts w:ascii="仿宋" w:hAnsi="仿宋" w:eastAsia="仿宋"/>
          <w:color w:val="000000"/>
          <w:sz w:val="32"/>
          <w:szCs w:val="32"/>
        </w:rPr>
      </w:pPr>
      <w:r>
        <w:rPr>
          <w:rFonts w:hint="eastAsia" w:ascii="仿宋" w:hAnsi="仿宋" w:eastAsia="仿宋"/>
          <w:color w:val="000000"/>
          <w:sz w:val="32"/>
          <w:szCs w:val="32"/>
        </w:rPr>
        <w:t>单位：万元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12700</wp:posOffset>
            </wp:positionH>
            <wp:positionV relativeFrom="paragraph">
              <wp:posOffset>38735</wp:posOffset>
            </wp:positionV>
            <wp:extent cx="5274310" cy="3076575"/>
            <wp:effectExtent l="0" t="0" r="21590" b="952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outlineLvl w:val="2"/>
        <w:rPr>
          <w:rFonts w:ascii="仿宋" w:hAnsi="仿宋" w:eastAsia="仿宋"/>
          <w:color w:val="000000" w:themeColor="text1"/>
          <w:sz w:val="32"/>
          <w:szCs w:val="32"/>
        </w:rPr>
      </w:pPr>
      <w:bookmarkStart w:id="39" w:name="_Toc15377211"/>
      <w:r>
        <w:rPr>
          <w:rFonts w:hint="eastAsia" w:ascii="仿宋" w:hAnsi="仿宋" w:eastAsia="仿宋"/>
          <w:color w:val="000000" w:themeColor="text1"/>
          <w:sz w:val="32"/>
          <w:szCs w:val="32"/>
        </w:rPr>
        <w:t>（二）一般公共预算财政拨款支出决算结构情况</w:t>
      </w:r>
      <w:bookmarkEnd w:id="39"/>
    </w:p>
    <w:p>
      <w:pPr>
        <w:spacing w:line="600" w:lineRule="exact"/>
        <w:ind w:firstLine="640" w:firstLineChars="200"/>
        <w:rPr>
          <w:rFonts w:ascii="仿宋" w:hAnsi="仿宋" w:eastAsia="仿宋"/>
          <w:color w:val="000000"/>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9年一般公共预算财政拨款支出445.86万元，主要用于以下方面</w:t>
      </w:r>
      <w:r>
        <w:rPr>
          <w:rFonts w:ascii="仿宋" w:hAnsi="仿宋" w:eastAsia="仿宋"/>
          <w:color w:val="000000" w:themeColor="text1"/>
          <w:sz w:val="32"/>
          <w:szCs w:val="32"/>
        </w:rPr>
        <w:t>:</w:t>
      </w:r>
      <w:r>
        <w:rPr>
          <w:rFonts w:hint="eastAsia" w:ascii="仿宋" w:hAnsi="仿宋" w:eastAsia="仿宋"/>
          <w:color w:val="000000" w:themeColor="text1"/>
          <w:sz w:val="32"/>
          <w:szCs w:val="32"/>
        </w:rPr>
        <w:t>社会保障和就业（类）支出36.99万元，占8.30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Cs/>
          <w:color w:val="000000" w:themeColor="text1"/>
          <w:sz w:val="32"/>
          <w:szCs w:val="32"/>
        </w:rPr>
        <w:t>卫生健康支出</w:t>
      </w:r>
      <w:r>
        <w:rPr>
          <w:rFonts w:hint="eastAsia" w:ascii="仿宋" w:hAnsi="仿宋" w:eastAsia="仿宋"/>
          <w:color w:val="000000" w:themeColor="text1"/>
          <w:sz w:val="32"/>
          <w:szCs w:val="32"/>
        </w:rPr>
        <w:t>15.95万元，占3.58</w:t>
      </w:r>
      <w:r>
        <w:rPr>
          <w:rFonts w:ascii="仿宋" w:hAnsi="仿宋" w:eastAsia="仿宋"/>
          <w:color w:val="000000" w:themeColor="text1"/>
          <w:sz w:val="32"/>
          <w:szCs w:val="32"/>
        </w:rPr>
        <w:t>%</w:t>
      </w:r>
      <w:r>
        <w:rPr>
          <w:rFonts w:hint="eastAsia" w:ascii="仿宋" w:hAnsi="仿宋" w:eastAsia="仿宋"/>
          <w:color w:val="000000" w:themeColor="text1"/>
          <w:sz w:val="32"/>
          <w:szCs w:val="32"/>
        </w:rPr>
        <w:t>；城乡社区支出0.43万元，占0.10%；农林水支出305.69万元，占68.56%；住房保障支出28.42万元，占6.37</w:t>
      </w:r>
      <w:r>
        <w:rPr>
          <w:rFonts w:ascii="仿宋" w:hAnsi="仿宋" w:eastAsia="仿宋"/>
          <w:color w:val="000000" w:themeColor="text1"/>
          <w:sz w:val="32"/>
          <w:szCs w:val="32"/>
        </w:rPr>
        <w:t>%；灾害防治及应急管理支出</w:t>
      </w:r>
      <w:r>
        <w:rPr>
          <w:rFonts w:hint="eastAsia" w:ascii="仿宋" w:hAnsi="仿宋" w:eastAsia="仿宋"/>
          <w:color w:val="000000" w:themeColor="text1"/>
          <w:sz w:val="32"/>
          <w:szCs w:val="32"/>
        </w:rPr>
        <w:t>58.37万元，占13.09%。</w:t>
      </w:r>
      <w:r>
        <w:rPr>
          <w:rFonts w:hint="eastAsia" w:ascii="仿宋" w:hAnsi="仿宋" w:eastAsia="仿宋"/>
          <w:color w:val="000000"/>
          <w:sz w:val="32"/>
          <w:szCs w:val="32"/>
        </w:rPr>
        <w:t>（图6：一般公共预算财政拨款支出决算结构）（饼状图）</w:t>
      </w:r>
    </w:p>
    <w:p>
      <w:pPr>
        <w:spacing w:line="600" w:lineRule="exact"/>
        <w:ind w:firstLine="640" w:firstLineChars="200"/>
        <w:jc w:val="right"/>
        <w:rPr>
          <w:rFonts w:ascii="仿宋" w:hAnsi="仿宋" w:eastAsia="仿宋"/>
          <w:color w:val="000000"/>
          <w:sz w:val="32"/>
          <w:szCs w:val="32"/>
        </w:rPr>
      </w:pPr>
      <w:r>
        <w:rPr>
          <w:rFonts w:hint="eastAsia" w:ascii="仿宋" w:hAnsi="仿宋" w:eastAsia="仿宋"/>
          <w:color w:val="000000"/>
          <w:sz w:val="32"/>
          <w:szCs w:val="32"/>
        </w:rPr>
        <w:t>单位：万元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115570</wp:posOffset>
            </wp:positionH>
            <wp:positionV relativeFrom="paragraph">
              <wp:posOffset>216535</wp:posOffset>
            </wp:positionV>
            <wp:extent cx="5274310" cy="3076575"/>
            <wp:effectExtent l="0" t="0" r="21590" b="952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firstLineChars="200"/>
        <w:outlineLvl w:val="2"/>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（三）一般公共预算财政拨款支出决算具体情况</w:t>
      </w:r>
    </w:p>
    <w:p>
      <w:pPr>
        <w:spacing w:line="600" w:lineRule="exact"/>
        <w:ind w:firstLine="640" w:firstLineChars="200"/>
        <w:outlineLvl w:val="2"/>
        <w:rPr>
          <w:rFonts w:ascii="仿宋_GB2312" w:hAnsi="仿宋" w:eastAsia="仿宋_GB2312"/>
          <w:b/>
          <w:color w:val="000000" w:themeColor="text1"/>
          <w:sz w:val="32"/>
          <w:szCs w:val="32"/>
        </w:rPr>
      </w:pPr>
      <w:r>
        <w:rPr>
          <w:rFonts w:hint="eastAsia" w:ascii="仿宋_GB2312" w:hAnsi="仿宋" w:eastAsia="仿宋_GB2312"/>
          <w:color w:val="000000" w:themeColor="text1"/>
          <w:sz w:val="32"/>
          <w:szCs w:val="32"/>
        </w:rPr>
        <w:t>2019年一般公共预算支出决算数为445.86万元，</w:t>
      </w:r>
      <w:r>
        <w:rPr>
          <w:rStyle w:val="15"/>
          <w:rFonts w:hint="eastAsia" w:ascii="仿宋_GB2312" w:hAnsi="仿宋" w:eastAsia="仿宋_GB2312"/>
          <w:b w:val="0"/>
          <w:bCs/>
          <w:color w:val="000000" w:themeColor="text1"/>
          <w:sz w:val="32"/>
          <w:szCs w:val="32"/>
        </w:rPr>
        <w:t>完成预算100%。其中：</w:t>
      </w:r>
    </w:p>
    <w:p>
      <w:pPr>
        <w:spacing w:line="600" w:lineRule="exact"/>
        <w:ind w:firstLine="640" w:firstLineChars="200"/>
        <w:rPr>
          <w:rFonts w:ascii="仿宋_GB2312" w:hAnsi="仿宋" w:eastAsia="仿宋_GB2312"/>
          <w:b/>
          <w:bCs/>
          <w:color w:val="000000" w:themeColor="text1"/>
          <w:sz w:val="32"/>
          <w:szCs w:val="32"/>
        </w:rPr>
      </w:pPr>
      <w:r>
        <w:rPr>
          <w:rStyle w:val="15"/>
          <w:rFonts w:hint="eastAsia" w:ascii="仿宋_GB2312" w:hAnsi="仿宋" w:eastAsia="仿宋_GB2312" w:cs="仿宋"/>
          <w:b w:val="0"/>
          <w:color w:val="000000" w:themeColor="text1"/>
          <w:sz w:val="32"/>
          <w:szCs w:val="32"/>
        </w:rPr>
        <w:t>1、社会保障和就业支出（类）行政事业单位离退休（款）  未归口管理的行政单位离退休（项）: 支出决算为5.78万元，完成预算100%</w:t>
      </w:r>
      <w:r>
        <w:rPr>
          <w:rStyle w:val="15"/>
          <w:rFonts w:hint="eastAsia" w:ascii="仿宋_GB2312" w:hAnsi="仿宋" w:eastAsia="仿宋_GB2312" w:cs="仿宋"/>
          <w:color w:val="000000" w:themeColor="text1"/>
          <w:sz w:val="32"/>
          <w:szCs w:val="32"/>
        </w:rPr>
        <w:t>。</w:t>
      </w:r>
    </w:p>
    <w:p>
      <w:pPr>
        <w:spacing w:line="600" w:lineRule="exact"/>
        <w:ind w:firstLine="640" w:firstLineChars="200"/>
        <w:rPr>
          <w:rStyle w:val="15"/>
          <w:rFonts w:ascii="仿宋_GB2312" w:hAnsi="仿宋" w:eastAsia="仿宋_GB2312" w:cs="仿宋"/>
          <w:b w:val="0"/>
          <w:color w:val="000000" w:themeColor="text1"/>
          <w:sz w:val="32"/>
          <w:szCs w:val="32"/>
        </w:rPr>
      </w:pPr>
      <w:r>
        <w:rPr>
          <w:rStyle w:val="15"/>
          <w:rFonts w:hint="eastAsia" w:ascii="仿宋_GB2312" w:hAnsi="仿宋" w:eastAsia="仿宋_GB2312" w:cs="仿宋"/>
          <w:b w:val="0"/>
          <w:color w:val="000000" w:themeColor="text1"/>
          <w:sz w:val="32"/>
          <w:szCs w:val="32"/>
        </w:rPr>
        <w:t>2、 社会保障和就业支出（类）行政事业单位离退休（款）  机关事业单位基本养老保险缴费支出（项）: 支出决算为20.95万元，完成预算100%。</w:t>
      </w:r>
    </w:p>
    <w:p>
      <w:pPr>
        <w:spacing w:line="600" w:lineRule="exact"/>
        <w:ind w:firstLine="640" w:firstLineChars="200"/>
        <w:rPr>
          <w:rFonts w:ascii="仿宋_GB2312" w:hAnsi="仿宋" w:eastAsia="仿宋_GB2312"/>
          <w:b/>
          <w:bCs/>
          <w:color w:val="000000" w:themeColor="text1"/>
          <w:sz w:val="32"/>
          <w:szCs w:val="32"/>
        </w:rPr>
      </w:pPr>
      <w:r>
        <w:rPr>
          <w:rStyle w:val="15"/>
          <w:rFonts w:hint="eastAsia" w:ascii="仿宋_GB2312" w:hAnsi="仿宋" w:eastAsia="仿宋_GB2312" w:cs="仿宋"/>
          <w:b w:val="0"/>
          <w:color w:val="000000" w:themeColor="text1"/>
          <w:sz w:val="32"/>
          <w:szCs w:val="32"/>
        </w:rPr>
        <w:t>3、社会保障和就业支出（类）行政事业单位离退休（款）  机关事业单位职业年金缴费支出（项）: 支出决算为9.92万元，完成预算100%。</w:t>
      </w:r>
    </w:p>
    <w:p>
      <w:pPr>
        <w:spacing w:line="600" w:lineRule="exact"/>
        <w:ind w:firstLine="640" w:firstLineChars="200"/>
        <w:rPr>
          <w:rFonts w:ascii="仿宋_GB2312" w:hAnsi="仿宋" w:eastAsia="仿宋_GB2312"/>
          <w:b/>
          <w:bCs/>
          <w:color w:val="000000" w:themeColor="text1"/>
          <w:sz w:val="32"/>
          <w:szCs w:val="32"/>
        </w:rPr>
      </w:pPr>
      <w:r>
        <w:rPr>
          <w:rStyle w:val="15"/>
          <w:rFonts w:hint="eastAsia" w:ascii="仿宋_GB2312" w:hAnsi="仿宋" w:eastAsia="仿宋_GB2312" w:cs="仿宋"/>
          <w:b w:val="0"/>
          <w:color w:val="000000" w:themeColor="text1"/>
          <w:sz w:val="32"/>
          <w:szCs w:val="32"/>
        </w:rPr>
        <w:t>4、社会保障和就业（类）其他生活救助（款）其他城市生活救助（项）: 支出决算为0.35万元，完成预算100%。</w:t>
      </w:r>
    </w:p>
    <w:p>
      <w:pPr>
        <w:spacing w:line="600" w:lineRule="exact"/>
        <w:ind w:firstLine="640" w:firstLineChars="200"/>
        <w:rPr>
          <w:rFonts w:ascii="仿宋_GB2312" w:hAnsi="仿宋" w:eastAsia="仿宋_GB2312"/>
          <w:b/>
          <w:bCs/>
          <w:color w:val="000000" w:themeColor="text1"/>
          <w:sz w:val="32"/>
          <w:szCs w:val="32"/>
        </w:rPr>
      </w:pPr>
      <w:r>
        <w:rPr>
          <w:rStyle w:val="15"/>
          <w:rFonts w:hint="eastAsia" w:ascii="仿宋_GB2312" w:hAnsi="仿宋" w:eastAsia="仿宋_GB2312" w:cs="仿宋"/>
          <w:b w:val="0"/>
          <w:color w:val="000000" w:themeColor="text1"/>
          <w:sz w:val="32"/>
          <w:szCs w:val="32"/>
        </w:rPr>
        <w:t>5、</w:t>
      </w:r>
      <w:r>
        <w:rPr>
          <w:rFonts w:hint="eastAsia" w:ascii="仿宋_GB2312" w:hAnsi="仿宋" w:eastAsia="仿宋_GB2312" w:cs="仿宋"/>
          <w:bCs/>
          <w:color w:val="000000" w:themeColor="text1"/>
          <w:sz w:val="32"/>
          <w:szCs w:val="32"/>
        </w:rPr>
        <w:t>卫生健康</w:t>
      </w:r>
      <w:r>
        <w:rPr>
          <w:rStyle w:val="15"/>
          <w:rFonts w:hint="eastAsia" w:ascii="仿宋_GB2312" w:hAnsi="仿宋" w:eastAsia="仿宋_GB2312" w:cs="仿宋"/>
          <w:b w:val="0"/>
          <w:color w:val="000000" w:themeColor="text1"/>
          <w:sz w:val="32"/>
          <w:szCs w:val="32"/>
        </w:rPr>
        <w:t>（类）行政事业单位医疗（款）行政单位医疗（项）:支出决算为8.31万元，完成预算99%。</w:t>
      </w:r>
    </w:p>
    <w:p>
      <w:pPr>
        <w:spacing w:line="600" w:lineRule="exact"/>
        <w:ind w:firstLine="640"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cs="仿宋"/>
          <w:b w:val="0"/>
          <w:color w:val="000000" w:themeColor="text1"/>
          <w:sz w:val="32"/>
          <w:szCs w:val="32"/>
        </w:rPr>
        <w:t>6、</w:t>
      </w:r>
      <w:r>
        <w:rPr>
          <w:rFonts w:hint="eastAsia" w:ascii="仿宋_GB2312" w:hAnsi="仿宋" w:eastAsia="仿宋_GB2312" w:cs="仿宋"/>
          <w:bCs/>
          <w:color w:val="000000" w:themeColor="text1"/>
          <w:sz w:val="32"/>
          <w:szCs w:val="32"/>
        </w:rPr>
        <w:t>卫生健康</w:t>
      </w:r>
      <w:r>
        <w:rPr>
          <w:rStyle w:val="15"/>
          <w:rFonts w:hint="eastAsia" w:ascii="仿宋_GB2312" w:hAnsi="仿宋" w:eastAsia="仿宋_GB2312" w:cs="仿宋"/>
          <w:b w:val="0"/>
          <w:color w:val="000000" w:themeColor="text1"/>
          <w:sz w:val="32"/>
          <w:szCs w:val="32"/>
        </w:rPr>
        <w:t>（类）行政事业单位医疗（款）事业单位医疗（项）:支出决算为5.58万元，完成预算99%。</w:t>
      </w:r>
    </w:p>
    <w:p>
      <w:pPr>
        <w:spacing w:line="600" w:lineRule="exact"/>
        <w:ind w:firstLine="640" w:firstLineChars="200"/>
        <w:rPr>
          <w:rStyle w:val="15"/>
          <w:rFonts w:ascii="仿宋_GB2312" w:hAnsi="仿宋" w:eastAsia="仿宋_GB2312" w:cs="仿宋"/>
          <w:b w:val="0"/>
          <w:color w:val="000000" w:themeColor="text1"/>
          <w:sz w:val="32"/>
          <w:szCs w:val="32"/>
        </w:rPr>
      </w:pPr>
      <w:r>
        <w:rPr>
          <w:rStyle w:val="15"/>
          <w:rFonts w:hint="eastAsia" w:ascii="仿宋_GB2312" w:hAnsi="仿宋" w:eastAsia="仿宋_GB2312" w:cs="仿宋"/>
          <w:b w:val="0"/>
          <w:color w:val="000000" w:themeColor="text1"/>
          <w:sz w:val="32"/>
          <w:szCs w:val="32"/>
        </w:rPr>
        <w:t>7、</w:t>
      </w:r>
      <w:r>
        <w:rPr>
          <w:rFonts w:hint="eastAsia" w:ascii="仿宋_GB2312" w:hAnsi="仿宋" w:eastAsia="仿宋_GB2312" w:cs="仿宋"/>
          <w:bCs/>
          <w:color w:val="000000" w:themeColor="text1"/>
          <w:sz w:val="32"/>
          <w:szCs w:val="32"/>
        </w:rPr>
        <w:t>卫生健康</w:t>
      </w:r>
      <w:r>
        <w:rPr>
          <w:rStyle w:val="15"/>
          <w:rFonts w:hint="eastAsia" w:ascii="仿宋_GB2312" w:hAnsi="仿宋" w:eastAsia="仿宋_GB2312" w:cs="仿宋"/>
          <w:b w:val="0"/>
          <w:color w:val="000000" w:themeColor="text1"/>
          <w:sz w:val="32"/>
          <w:szCs w:val="32"/>
        </w:rPr>
        <w:t>（类）行政事业单位医疗（款）公务员医疗补助（项）:支出决算为1.71万元，完成预算100%。</w:t>
      </w:r>
    </w:p>
    <w:p>
      <w:pPr>
        <w:spacing w:line="600" w:lineRule="exact"/>
        <w:ind w:firstLine="640"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b w:val="0"/>
          <w:bCs/>
          <w:color w:val="000000" w:themeColor="text1"/>
          <w:sz w:val="32"/>
          <w:szCs w:val="32"/>
        </w:rPr>
        <w:t>8、</w:t>
      </w:r>
      <w:r>
        <w:rPr>
          <w:rFonts w:hint="eastAsia" w:ascii="仿宋_GB2312" w:hAnsi="仿宋" w:eastAsia="仿宋_GB2312" w:cs="仿宋"/>
          <w:bCs/>
          <w:color w:val="000000" w:themeColor="text1"/>
          <w:sz w:val="32"/>
          <w:szCs w:val="32"/>
        </w:rPr>
        <w:t>城乡社区支出</w:t>
      </w:r>
      <w:r>
        <w:rPr>
          <w:rStyle w:val="15"/>
          <w:rFonts w:hint="eastAsia" w:ascii="仿宋_GB2312" w:hAnsi="仿宋" w:eastAsia="仿宋_GB2312" w:cs="仿宋"/>
          <w:b w:val="0"/>
          <w:color w:val="000000" w:themeColor="text1"/>
          <w:sz w:val="32"/>
          <w:szCs w:val="32"/>
        </w:rPr>
        <w:t>（类）城乡社区管理事务（款）一般行政管理事务（项）:支出决算为0.43万元，完成预算100%。</w:t>
      </w:r>
    </w:p>
    <w:p>
      <w:pPr>
        <w:spacing w:line="600" w:lineRule="exact"/>
        <w:ind w:firstLine="640"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cs="仿宋"/>
          <w:b w:val="0"/>
          <w:color w:val="000000" w:themeColor="text1"/>
          <w:sz w:val="32"/>
          <w:szCs w:val="32"/>
        </w:rPr>
        <w:t>9、</w:t>
      </w:r>
      <w:r>
        <w:rPr>
          <w:rFonts w:hint="eastAsia" w:ascii="仿宋_GB2312" w:eastAsia="仿宋_GB2312"/>
          <w:b/>
          <w:color w:val="000000" w:themeColor="text1"/>
        </w:rPr>
        <w:t xml:space="preserve"> </w:t>
      </w:r>
      <w:r>
        <w:rPr>
          <w:rFonts w:hint="eastAsia" w:ascii="仿宋_GB2312" w:hAnsi="仿宋" w:eastAsia="仿宋_GB2312" w:cs="仿宋"/>
          <w:bCs/>
          <w:color w:val="000000" w:themeColor="text1"/>
          <w:sz w:val="32"/>
          <w:szCs w:val="32"/>
        </w:rPr>
        <w:t>农林水支出</w:t>
      </w:r>
      <w:r>
        <w:rPr>
          <w:rStyle w:val="15"/>
          <w:rFonts w:hint="eastAsia" w:ascii="仿宋_GB2312" w:hAnsi="仿宋" w:eastAsia="仿宋_GB2312" w:cs="仿宋"/>
          <w:b w:val="0"/>
          <w:color w:val="000000" w:themeColor="text1"/>
          <w:sz w:val="32"/>
          <w:szCs w:val="32"/>
        </w:rPr>
        <w:t>（类）林业和草原（款）行政运行（项）:支出决算为170.2万元，完成预算100%。。</w:t>
      </w:r>
    </w:p>
    <w:p>
      <w:pPr>
        <w:spacing w:line="600" w:lineRule="exact"/>
        <w:ind w:firstLine="640"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cs="仿宋"/>
          <w:b w:val="0"/>
          <w:color w:val="000000" w:themeColor="text1"/>
          <w:sz w:val="32"/>
          <w:szCs w:val="32"/>
        </w:rPr>
        <w:t>10、</w:t>
      </w:r>
      <w:r>
        <w:rPr>
          <w:rFonts w:hint="eastAsia" w:ascii="仿宋_GB2312" w:hAnsi="仿宋" w:eastAsia="仿宋_GB2312" w:cs="仿宋"/>
          <w:b/>
          <w:bCs/>
          <w:color w:val="000000" w:themeColor="text1"/>
          <w:sz w:val="32"/>
          <w:szCs w:val="32"/>
        </w:rPr>
        <w:t xml:space="preserve"> </w:t>
      </w:r>
      <w:r>
        <w:rPr>
          <w:rFonts w:hint="eastAsia" w:ascii="仿宋_GB2312" w:hAnsi="仿宋" w:eastAsia="仿宋_GB2312" w:cs="仿宋"/>
          <w:bCs/>
          <w:color w:val="000000" w:themeColor="text1"/>
          <w:sz w:val="32"/>
          <w:szCs w:val="32"/>
        </w:rPr>
        <w:t>农林水支出</w:t>
      </w:r>
      <w:r>
        <w:rPr>
          <w:rStyle w:val="15"/>
          <w:rFonts w:hint="eastAsia" w:ascii="仿宋_GB2312" w:hAnsi="仿宋" w:eastAsia="仿宋_GB2312" w:cs="仿宋"/>
          <w:b w:val="0"/>
          <w:color w:val="000000" w:themeColor="text1"/>
          <w:sz w:val="32"/>
          <w:szCs w:val="32"/>
        </w:rPr>
        <w:t>（类）林业和草原（款）事业机构（项）:支出决算为93.35万元，完成预算100%。。</w:t>
      </w:r>
    </w:p>
    <w:p>
      <w:pPr>
        <w:spacing w:line="600" w:lineRule="exact"/>
        <w:ind w:firstLine="640" w:firstLineChars="200"/>
        <w:rPr>
          <w:rStyle w:val="15"/>
          <w:rFonts w:ascii="仿宋_GB2312" w:hAnsi="仿宋" w:eastAsia="仿宋_GB2312" w:cs="仿宋"/>
          <w:b w:val="0"/>
          <w:color w:val="000000" w:themeColor="text1"/>
          <w:sz w:val="32"/>
          <w:szCs w:val="32"/>
        </w:rPr>
      </w:pPr>
      <w:r>
        <w:rPr>
          <w:rStyle w:val="15"/>
          <w:rFonts w:hint="eastAsia" w:ascii="仿宋_GB2312" w:hAnsi="仿宋" w:eastAsia="仿宋_GB2312" w:cs="仿宋"/>
          <w:b w:val="0"/>
          <w:color w:val="000000" w:themeColor="text1"/>
          <w:sz w:val="32"/>
          <w:szCs w:val="32"/>
        </w:rPr>
        <w:t>12、</w:t>
      </w:r>
      <w:r>
        <w:rPr>
          <w:rFonts w:hint="eastAsia" w:ascii="仿宋_GB2312" w:hAnsi="仿宋" w:eastAsia="仿宋_GB2312" w:cs="仿宋"/>
          <w:bCs/>
          <w:color w:val="000000" w:themeColor="text1"/>
          <w:sz w:val="32"/>
          <w:szCs w:val="32"/>
        </w:rPr>
        <w:t>农林水支出</w:t>
      </w:r>
      <w:r>
        <w:rPr>
          <w:rStyle w:val="15"/>
          <w:rFonts w:hint="eastAsia" w:ascii="仿宋_GB2312" w:hAnsi="仿宋" w:eastAsia="仿宋_GB2312" w:cs="仿宋"/>
          <w:b w:val="0"/>
          <w:color w:val="000000" w:themeColor="text1"/>
          <w:sz w:val="32"/>
          <w:szCs w:val="32"/>
        </w:rPr>
        <w:t>（类）林业和草原（款）森林培育（项）:支出决算为15万元，完成预算100%。</w:t>
      </w:r>
    </w:p>
    <w:p>
      <w:pPr>
        <w:spacing w:line="600" w:lineRule="exact"/>
        <w:ind w:firstLine="640"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cs="仿宋"/>
          <w:b w:val="0"/>
          <w:color w:val="000000" w:themeColor="text1"/>
          <w:sz w:val="32"/>
          <w:szCs w:val="32"/>
        </w:rPr>
        <w:t>13、</w:t>
      </w:r>
      <w:r>
        <w:rPr>
          <w:rFonts w:hint="eastAsia" w:ascii="仿宋_GB2312" w:hAnsi="仿宋" w:eastAsia="仿宋_GB2312" w:cs="仿宋"/>
          <w:b/>
          <w:bCs/>
          <w:color w:val="000000" w:themeColor="text1"/>
          <w:sz w:val="32"/>
          <w:szCs w:val="32"/>
        </w:rPr>
        <w:t xml:space="preserve"> </w:t>
      </w:r>
      <w:r>
        <w:rPr>
          <w:rFonts w:hint="eastAsia" w:ascii="仿宋_GB2312" w:hAnsi="仿宋" w:eastAsia="仿宋_GB2312" w:cs="仿宋"/>
          <w:bCs/>
          <w:color w:val="000000" w:themeColor="text1"/>
          <w:sz w:val="32"/>
          <w:szCs w:val="32"/>
        </w:rPr>
        <w:t>农林水支出</w:t>
      </w:r>
      <w:r>
        <w:rPr>
          <w:rStyle w:val="15"/>
          <w:rFonts w:hint="eastAsia" w:ascii="仿宋_GB2312" w:hAnsi="仿宋" w:eastAsia="仿宋_GB2312" w:cs="仿宋"/>
          <w:b w:val="0"/>
          <w:color w:val="000000" w:themeColor="text1"/>
          <w:sz w:val="32"/>
          <w:szCs w:val="32"/>
        </w:rPr>
        <w:t>（类）林业和草原（款）自然保护区等管理（项）:支出决算为4.77万元，完成预算100%。</w:t>
      </w:r>
    </w:p>
    <w:p>
      <w:pPr>
        <w:spacing w:line="600" w:lineRule="exact"/>
        <w:ind w:firstLine="640"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cs="仿宋"/>
          <w:b w:val="0"/>
          <w:color w:val="000000" w:themeColor="text1"/>
          <w:sz w:val="32"/>
          <w:szCs w:val="32"/>
        </w:rPr>
        <w:t>14、</w:t>
      </w:r>
      <w:r>
        <w:rPr>
          <w:rFonts w:hint="eastAsia" w:ascii="仿宋_GB2312" w:hAnsi="仿宋" w:eastAsia="仿宋_GB2312" w:cs="仿宋"/>
          <w:b/>
          <w:bCs/>
          <w:color w:val="000000" w:themeColor="text1"/>
          <w:sz w:val="32"/>
          <w:szCs w:val="32"/>
        </w:rPr>
        <w:t xml:space="preserve"> </w:t>
      </w:r>
      <w:r>
        <w:rPr>
          <w:rFonts w:hint="eastAsia" w:ascii="仿宋_GB2312" w:hAnsi="仿宋" w:eastAsia="仿宋_GB2312" w:cs="仿宋"/>
          <w:bCs/>
          <w:color w:val="000000" w:themeColor="text1"/>
          <w:sz w:val="32"/>
          <w:szCs w:val="32"/>
        </w:rPr>
        <w:t>农林水支出</w:t>
      </w:r>
      <w:r>
        <w:rPr>
          <w:rStyle w:val="15"/>
          <w:rFonts w:hint="eastAsia" w:ascii="仿宋_GB2312" w:hAnsi="仿宋" w:eastAsia="仿宋_GB2312" w:cs="仿宋"/>
          <w:b w:val="0"/>
          <w:color w:val="000000" w:themeColor="text1"/>
          <w:sz w:val="32"/>
          <w:szCs w:val="32"/>
        </w:rPr>
        <w:t>（类）林业和草原（款）执法与监督（项）:支出决算为21万元，完成预算100%。</w:t>
      </w:r>
    </w:p>
    <w:p>
      <w:pPr>
        <w:spacing w:line="600" w:lineRule="exact"/>
        <w:ind w:firstLine="643"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cs="仿宋"/>
          <w:color w:val="000000" w:themeColor="text1"/>
          <w:sz w:val="32"/>
          <w:szCs w:val="32"/>
        </w:rPr>
        <w:t>15、</w:t>
      </w:r>
      <w:r>
        <w:rPr>
          <w:rFonts w:hint="eastAsia" w:ascii="仿宋_GB2312" w:hAnsi="仿宋" w:eastAsia="仿宋_GB2312" w:cs="仿宋"/>
          <w:b/>
          <w:bCs/>
          <w:color w:val="000000" w:themeColor="text1"/>
          <w:sz w:val="32"/>
          <w:szCs w:val="32"/>
        </w:rPr>
        <w:t xml:space="preserve"> </w:t>
      </w:r>
      <w:r>
        <w:rPr>
          <w:rFonts w:hint="eastAsia" w:ascii="仿宋_GB2312" w:hAnsi="仿宋" w:eastAsia="仿宋_GB2312" w:cs="仿宋"/>
          <w:bCs/>
          <w:color w:val="000000" w:themeColor="text1"/>
          <w:sz w:val="32"/>
          <w:szCs w:val="32"/>
        </w:rPr>
        <w:t>农林水支出</w:t>
      </w:r>
      <w:r>
        <w:rPr>
          <w:rStyle w:val="15"/>
          <w:rFonts w:hint="eastAsia" w:ascii="仿宋_GB2312" w:hAnsi="仿宋" w:eastAsia="仿宋_GB2312" w:cs="仿宋"/>
          <w:b w:val="0"/>
          <w:color w:val="000000" w:themeColor="text1"/>
          <w:sz w:val="32"/>
          <w:szCs w:val="32"/>
        </w:rPr>
        <w:t>（类）林业和草原（款）防灾减灾（项）:支出决算为1.37万元，完成预算100%。</w:t>
      </w:r>
    </w:p>
    <w:p>
      <w:pPr>
        <w:spacing w:line="600" w:lineRule="exact"/>
        <w:ind w:firstLine="643" w:firstLineChars="200"/>
        <w:rPr>
          <w:rStyle w:val="15"/>
          <w:rFonts w:ascii="仿宋_GB2312" w:hAnsi="仿宋" w:eastAsia="仿宋_GB2312" w:cs="仿宋"/>
          <w:color w:val="000000" w:themeColor="text1"/>
          <w:sz w:val="32"/>
          <w:szCs w:val="32"/>
        </w:rPr>
      </w:pPr>
      <w:r>
        <w:rPr>
          <w:rStyle w:val="15"/>
          <w:rFonts w:hint="eastAsia" w:ascii="仿宋_GB2312" w:hAnsi="仿宋" w:eastAsia="仿宋_GB2312" w:cs="仿宋"/>
          <w:color w:val="000000" w:themeColor="text1"/>
          <w:sz w:val="32"/>
          <w:szCs w:val="32"/>
        </w:rPr>
        <w:t>16、</w:t>
      </w:r>
      <w:r>
        <w:rPr>
          <w:rFonts w:hint="eastAsia" w:ascii="仿宋_GB2312" w:hAnsi="仿宋" w:eastAsia="仿宋_GB2312" w:cs="仿宋"/>
          <w:bCs/>
          <w:color w:val="000000" w:themeColor="text1"/>
          <w:sz w:val="32"/>
          <w:szCs w:val="32"/>
        </w:rPr>
        <w:t xml:space="preserve"> 住房保障支出</w:t>
      </w:r>
      <w:r>
        <w:rPr>
          <w:rStyle w:val="15"/>
          <w:rFonts w:hint="eastAsia" w:ascii="仿宋_GB2312" w:hAnsi="仿宋" w:eastAsia="仿宋_GB2312" w:cs="仿宋"/>
          <w:b w:val="0"/>
          <w:color w:val="000000" w:themeColor="text1"/>
          <w:sz w:val="32"/>
          <w:szCs w:val="32"/>
        </w:rPr>
        <w:t>（类）住房改革支出（款）住房公积金（项）:支出决算为28.42万元，完成预算100%。</w:t>
      </w:r>
    </w:p>
    <w:p>
      <w:pPr>
        <w:spacing w:line="600" w:lineRule="exact"/>
        <w:ind w:firstLine="643" w:firstLineChars="200"/>
        <w:rPr>
          <w:rStyle w:val="15"/>
          <w:rFonts w:ascii="仿宋_GB2312" w:hAnsi="仿宋" w:eastAsia="仿宋_GB2312"/>
          <w:b w:val="0"/>
          <w:bCs/>
          <w:color w:val="000000" w:themeColor="text1"/>
          <w:sz w:val="32"/>
          <w:szCs w:val="32"/>
        </w:rPr>
      </w:pPr>
      <w:r>
        <w:rPr>
          <w:rStyle w:val="15"/>
          <w:rFonts w:hint="eastAsia" w:ascii="仿宋_GB2312" w:hAnsi="仿宋" w:eastAsia="仿宋_GB2312" w:cs="仿宋"/>
          <w:color w:val="000000" w:themeColor="text1"/>
          <w:sz w:val="32"/>
          <w:szCs w:val="32"/>
        </w:rPr>
        <w:t>17、</w:t>
      </w:r>
      <w:r>
        <w:rPr>
          <w:rFonts w:hint="eastAsia" w:ascii="仿宋_GB2312" w:hAnsi="仿宋" w:eastAsia="仿宋_GB2312" w:cs="仿宋"/>
          <w:bCs/>
          <w:color w:val="000000" w:themeColor="text1"/>
          <w:sz w:val="32"/>
          <w:szCs w:val="32"/>
        </w:rPr>
        <w:t>灾害防治及应急管理支出</w:t>
      </w:r>
      <w:r>
        <w:rPr>
          <w:rStyle w:val="15"/>
          <w:rFonts w:hint="eastAsia" w:ascii="仿宋_GB2312" w:hAnsi="仿宋" w:eastAsia="仿宋_GB2312" w:cs="仿宋"/>
          <w:b w:val="0"/>
          <w:color w:val="000000" w:themeColor="text1"/>
          <w:sz w:val="32"/>
          <w:szCs w:val="32"/>
        </w:rPr>
        <w:t>（类）森林消防事务（款）森林消防应急救援（项）:支出决算为58.37万元，完成预算100%。</w:t>
      </w:r>
    </w:p>
    <w:p>
      <w:pPr>
        <w:tabs>
          <w:tab w:val="right" w:pos="8306"/>
        </w:tabs>
        <w:spacing w:line="600" w:lineRule="exact"/>
        <w:ind w:firstLine="640"/>
        <w:outlineLvl w:val="1"/>
        <w:rPr>
          <w:rStyle w:val="26"/>
          <w:color w:val="000000" w:themeColor="text1"/>
        </w:rPr>
      </w:pPr>
      <w:r>
        <w:rPr>
          <w:rFonts w:hint="eastAsia" w:ascii="黑体" w:eastAsia="黑体"/>
          <w:color w:val="000000" w:themeColor="text1"/>
          <w:sz w:val="32"/>
          <w:szCs w:val="32"/>
        </w:rPr>
        <w:t>六</w:t>
      </w:r>
      <w:r>
        <w:rPr>
          <w:rFonts w:hint="eastAsia" w:ascii="黑体" w:eastAsia="黑体"/>
          <w:b/>
          <w:color w:val="000000" w:themeColor="text1"/>
          <w:sz w:val="32"/>
          <w:szCs w:val="32"/>
        </w:rPr>
        <w:t>、</w:t>
      </w:r>
      <w:r>
        <w:rPr>
          <w:rFonts w:hint="eastAsia" w:ascii="黑体" w:hAnsi="黑体" w:eastAsia="黑体"/>
          <w:b/>
          <w:color w:val="000000" w:themeColor="text1"/>
          <w:sz w:val="32"/>
          <w:szCs w:val="32"/>
        </w:rPr>
        <w:t>一</w:t>
      </w:r>
      <w:r>
        <w:rPr>
          <w:rStyle w:val="26"/>
          <w:rFonts w:hint="eastAsia" w:ascii="黑体" w:hAnsi="黑体" w:eastAsia="黑体"/>
          <w:b w:val="0"/>
          <w:color w:val="000000" w:themeColor="text1"/>
        </w:rPr>
        <w:t>般公共预算财政拨款基本支出决算情况说明</w:t>
      </w:r>
      <w:r>
        <w:rPr>
          <w:rStyle w:val="26"/>
          <w:rFonts w:ascii="黑体" w:hAnsi="黑体" w:eastAsia="黑体"/>
          <w:b w:val="0"/>
          <w:color w:val="000000" w:themeColor="text1"/>
        </w:rPr>
        <w:tab/>
      </w:r>
    </w:p>
    <w:p>
      <w:pPr>
        <w:spacing w:line="600" w:lineRule="exact"/>
        <w:ind w:firstLine="645"/>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9年一般公共预算财政拨款基本支出344.57万元，其中：</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人员经费311.36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日常公用经费33.21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color w:val="000000" w:themeColor="text1"/>
        </w:rPr>
      </w:pPr>
      <w:r>
        <w:rPr>
          <w:rFonts w:hint="eastAsia" w:ascii="黑体" w:eastAsia="黑体"/>
          <w:color w:val="000000" w:themeColor="text1"/>
          <w:sz w:val="32"/>
          <w:szCs w:val="32"/>
        </w:rPr>
        <w:t>七、</w:t>
      </w:r>
      <w:r>
        <w:rPr>
          <w:rStyle w:val="26"/>
          <w:rFonts w:hint="eastAsia" w:ascii="黑体" w:hAnsi="黑体" w:eastAsia="黑体"/>
          <w:color w:val="000000" w:themeColor="text1"/>
        </w:rPr>
        <w:t>“</w:t>
      </w:r>
      <w:r>
        <w:rPr>
          <w:rStyle w:val="26"/>
          <w:rFonts w:hint="eastAsia" w:ascii="黑体" w:hAnsi="黑体" w:eastAsia="黑体"/>
          <w:b w:val="0"/>
          <w:color w:val="000000" w:themeColor="text1"/>
        </w:rPr>
        <w:t>三公”经费财政拨款支出决算情况说明</w:t>
      </w:r>
    </w:p>
    <w:p>
      <w:pPr>
        <w:spacing w:line="600" w:lineRule="exact"/>
        <w:ind w:firstLine="640"/>
        <w:outlineLvl w:val="2"/>
        <w:rPr>
          <w:rFonts w:ascii="仿宋" w:hAnsi="仿宋" w:eastAsia="仿宋"/>
          <w:color w:val="000000" w:themeColor="text1"/>
          <w:sz w:val="32"/>
          <w:szCs w:val="32"/>
        </w:rPr>
      </w:pPr>
      <w:r>
        <w:rPr>
          <w:rFonts w:hint="eastAsia" w:ascii="仿宋" w:hAnsi="仿宋" w:eastAsia="仿宋"/>
          <w:color w:val="000000" w:themeColor="text1"/>
          <w:sz w:val="32"/>
          <w:szCs w:val="32"/>
        </w:rPr>
        <w:t>（一）“三公”经费财政拨款支出决算总体情况说明</w:t>
      </w:r>
    </w:p>
    <w:p>
      <w:pPr>
        <w:spacing w:line="600" w:lineRule="exact"/>
        <w:ind w:firstLine="640"/>
        <w:rPr>
          <w:rFonts w:ascii="仿宋_GB2312" w:eastAsia="仿宋_GB2312"/>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9年“三公”经费财政拨款支出决算为7.27万元，完成预算55.16</w:t>
      </w:r>
      <w:r>
        <w:rPr>
          <w:rFonts w:ascii="仿宋" w:hAnsi="仿宋" w:eastAsia="仿宋"/>
          <w:color w:val="000000" w:themeColor="text1"/>
          <w:sz w:val="32"/>
          <w:szCs w:val="32"/>
        </w:rPr>
        <w:t>%</w:t>
      </w:r>
      <w:r>
        <w:rPr>
          <w:rFonts w:hint="eastAsia" w:ascii="仿宋" w:hAnsi="仿宋" w:eastAsia="仿宋"/>
          <w:color w:val="000000" w:themeColor="text1"/>
          <w:sz w:val="32"/>
          <w:szCs w:val="32"/>
        </w:rPr>
        <w:t>，决算数小于预算数的</w:t>
      </w:r>
      <w:r>
        <w:rPr>
          <w:rFonts w:hint="eastAsia" w:ascii="仿宋_GB2312" w:eastAsia="仿宋_GB2312"/>
          <w:color w:val="000000" w:themeColor="text1"/>
          <w:sz w:val="32"/>
          <w:szCs w:val="32"/>
        </w:rPr>
        <w:t>主要原因是进一步</w:t>
      </w:r>
      <w:r>
        <w:rPr>
          <w:rFonts w:ascii="仿宋_GB2312" w:eastAsia="仿宋_GB2312"/>
          <w:color w:val="000000" w:themeColor="text1"/>
          <w:sz w:val="32"/>
          <w:szCs w:val="32"/>
        </w:rPr>
        <w:t>贯彻落实中央八项规定精神和省委、省政府以及市委、市政府十项规定</w:t>
      </w:r>
      <w:r>
        <w:rPr>
          <w:rFonts w:hint="eastAsia" w:ascii="仿宋_GB2312" w:eastAsia="仿宋_GB2312"/>
          <w:color w:val="000000" w:themeColor="text1"/>
          <w:sz w:val="32"/>
          <w:szCs w:val="32"/>
        </w:rPr>
        <w:t>，加强对“三公”经费执行的监督。</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（二）“三公”经费财政拨款支出决算具体情况说明</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9年“三公”经费财政拨款支出决算中，因公出国（境）费支出决算0万元，占0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；公务用车购置及运行维护费支出决算6.5万元，占89.41</w:t>
      </w:r>
      <w:r>
        <w:rPr>
          <w:rFonts w:ascii="仿宋" w:hAnsi="仿宋" w:eastAsia="仿宋"/>
          <w:color w:val="000000" w:themeColor="text1"/>
          <w:sz w:val="32"/>
          <w:szCs w:val="32"/>
        </w:rPr>
        <w:t>%</w:t>
      </w:r>
      <w:r>
        <w:rPr>
          <w:rFonts w:hint="eastAsia" w:ascii="仿宋" w:hAnsi="仿宋" w:eastAsia="仿宋"/>
          <w:color w:val="000000" w:themeColor="text1"/>
          <w:sz w:val="32"/>
          <w:szCs w:val="32"/>
        </w:rPr>
        <w:t>；公务接待费支出决算0.77万元，占10.59</w:t>
      </w:r>
      <w:r>
        <w:rPr>
          <w:rFonts w:ascii="仿宋" w:hAnsi="仿宋" w:eastAsia="仿宋"/>
          <w:color w:val="000000" w:themeColor="text1"/>
          <w:sz w:val="32"/>
          <w:szCs w:val="32"/>
        </w:rPr>
        <w:t>%</w:t>
      </w:r>
      <w:r>
        <w:rPr>
          <w:rFonts w:hint="eastAsia" w:ascii="仿宋" w:hAnsi="仿宋" w:eastAsia="仿宋"/>
          <w:color w:val="000000" w:themeColor="text1"/>
          <w:sz w:val="32"/>
          <w:szCs w:val="32"/>
        </w:rPr>
        <w:t>。具体情况如下：</w:t>
      </w:r>
    </w:p>
    <w:p>
      <w:pPr>
        <w:spacing w:line="600" w:lineRule="exact"/>
        <w:ind w:firstLine="640"/>
        <w:rPr>
          <w:rFonts w:ascii="仿宋_GB2312" w:eastAsia="仿宋_GB2312"/>
          <w:b/>
          <w:bCs/>
          <w:color w:val="000000" w:themeColor="text1"/>
          <w:sz w:val="32"/>
          <w:szCs w:val="32"/>
        </w:rPr>
      </w:pPr>
      <w:r>
        <w:rPr>
          <w:rFonts w:ascii="仿宋_GB2312" w:eastAsia="仿宋_GB2312" w:cs="仿宋_GB2312"/>
          <w:bCs/>
          <w:color w:val="000000" w:themeColor="text1"/>
          <w:sz w:val="32"/>
          <w:szCs w:val="32"/>
        </w:rPr>
        <w:t>1.</w:t>
      </w:r>
      <w:r>
        <w:rPr>
          <w:rFonts w:hint="eastAsia" w:ascii="仿宋_GB2312" w:eastAsia="仿宋_GB2312" w:cs="仿宋_GB2312"/>
          <w:bCs/>
          <w:color w:val="000000" w:themeColor="text1"/>
          <w:sz w:val="32"/>
          <w:szCs w:val="32"/>
        </w:rPr>
        <w:t>因公出国（境）经费支出</w:t>
      </w:r>
      <w:r>
        <w:rPr>
          <w:rFonts w:ascii="仿宋_GB2312" w:eastAsia="仿宋_GB2312" w:cs="仿宋_GB2312"/>
          <w:color w:val="000000" w:themeColor="text1"/>
          <w:sz w:val="32"/>
          <w:szCs w:val="32"/>
        </w:rPr>
        <w:t>0</w:t>
      </w:r>
      <w:r>
        <w:rPr>
          <w:rFonts w:hint="eastAsia" w:ascii="仿宋_GB2312" w:eastAsia="仿宋_GB2312" w:cs="仿宋_GB2312"/>
          <w:color w:val="000000" w:themeColor="text1"/>
          <w:sz w:val="32"/>
          <w:szCs w:val="32"/>
        </w:rPr>
        <w:t>万元，因公出国（境）支出决算与</w:t>
      </w:r>
      <w:r>
        <w:rPr>
          <w:rFonts w:ascii="仿宋_GB2312" w:eastAsia="仿宋_GB2312" w:cs="仿宋_GB2312"/>
          <w:color w:val="000000" w:themeColor="text1"/>
          <w:sz w:val="32"/>
          <w:szCs w:val="32"/>
        </w:rPr>
        <w:t>2018</w:t>
      </w:r>
      <w:r>
        <w:rPr>
          <w:rFonts w:hint="eastAsia" w:ascii="仿宋_GB2312" w:eastAsia="仿宋_GB2312" w:cs="仿宋_GB2312"/>
          <w:color w:val="000000" w:themeColor="text1"/>
          <w:sz w:val="32"/>
          <w:szCs w:val="32"/>
        </w:rPr>
        <w:t>年持平。</w:t>
      </w:r>
    </w:p>
    <w:p>
      <w:pPr>
        <w:spacing w:line="600" w:lineRule="exact"/>
        <w:ind w:firstLine="640"/>
        <w:rPr>
          <w:rFonts w:ascii="仿宋_GB2312" w:eastAsia="仿宋_GB2312"/>
          <w:b/>
          <w:bCs/>
          <w:color w:val="000000" w:themeColor="text1"/>
          <w:sz w:val="32"/>
          <w:szCs w:val="32"/>
        </w:rPr>
      </w:pPr>
      <w:r>
        <w:rPr>
          <w:rFonts w:ascii="仿宋_GB2312" w:eastAsia="仿宋_GB2312" w:cs="仿宋_GB2312"/>
          <w:bCs/>
          <w:color w:val="000000" w:themeColor="text1"/>
          <w:sz w:val="32"/>
          <w:szCs w:val="32"/>
        </w:rPr>
        <w:t>2.</w:t>
      </w:r>
      <w:r>
        <w:rPr>
          <w:rFonts w:hint="eastAsia" w:ascii="仿宋_GB2312" w:eastAsia="仿宋_GB2312" w:cs="仿宋_GB2312"/>
          <w:bCs/>
          <w:color w:val="000000" w:themeColor="text1"/>
          <w:sz w:val="32"/>
          <w:szCs w:val="32"/>
        </w:rPr>
        <w:t>公务用车购置及运行维护费支出</w:t>
      </w:r>
      <w:r>
        <w:rPr>
          <w:rFonts w:hint="eastAsia" w:ascii="仿宋_GB2312" w:eastAsia="仿宋_GB2312" w:cs="仿宋_GB2312"/>
          <w:color w:val="000000" w:themeColor="text1"/>
          <w:sz w:val="32"/>
          <w:szCs w:val="32"/>
        </w:rPr>
        <w:t>6.5万元</w:t>
      </w:r>
      <w:r>
        <w:rPr>
          <w:rFonts w:ascii="仿宋_GB2312" w:eastAsia="仿宋_GB2312" w:cs="仿宋_GB2312"/>
          <w:color w:val="000000" w:themeColor="text1"/>
          <w:sz w:val="32"/>
          <w:szCs w:val="32"/>
        </w:rPr>
        <w:t>,</w:t>
      </w:r>
      <w:r>
        <w:rPr>
          <w:rStyle w:val="15"/>
          <w:rFonts w:hint="eastAsia" w:ascii="仿宋" w:hAnsi="仿宋" w:eastAsia="仿宋" w:cs="仿宋"/>
          <w:b w:val="0"/>
          <w:color w:val="000000" w:themeColor="text1"/>
          <w:sz w:val="32"/>
          <w:szCs w:val="32"/>
        </w:rPr>
        <w:t>完成预算63.85</w:t>
      </w:r>
      <w:r>
        <w:rPr>
          <w:rStyle w:val="15"/>
          <w:rFonts w:ascii="仿宋" w:hAnsi="仿宋" w:eastAsia="仿宋" w:cs="仿宋"/>
          <w:b w:val="0"/>
          <w:color w:val="000000" w:themeColor="text1"/>
          <w:sz w:val="32"/>
          <w:szCs w:val="32"/>
        </w:rPr>
        <w:t>%</w:t>
      </w:r>
      <w:r>
        <w:rPr>
          <w:rStyle w:val="15"/>
          <w:rFonts w:hint="eastAsia" w:ascii="仿宋" w:hAnsi="仿宋" w:eastAsia="仿宋" w:cs="仿宋"/>
          <w:b w:val="0"/>
          <w:color w:val="000000" w:themeColor="text1"/>
          <w:sz w:val="32"/>
          <w:szCs w:val="32"/>
        </w:rPr>
        <w:t>。</w:t>
      </w:r>
      <w:r>
        <w:rPr>
          <w:rFonts w:hint="eastAsia" w:ascii="仿宋_GB2312" w:eastAsia="仿宋_GB2312" w:cs="仿宋_GB2312"/>
          <w:color w:val="000000" w:themeColor="text1"/>
          <w:sz w:val="32"/>
          <w:szCs w:val="32"/>
        </w:rPr>
        <w:t>公务用车购置及运行维护费支出决算比</w:t>
      </w:r>
      <w:r>
        <w:rPr>
          <w:rFonts w:ascii="仿宋_GB2312" w:eastAsia="仿宋_GB2312" w:cs="仿宋_GB2312"/>
          <w:color w:val="000000" w:themeColor="text1"/>
          <w:sz w:val="32"/>
          <w:szCs w:val="32"/>
        </w:rPr>
        <w:t>2018</w:t>
      </w:r>
      <w:r>
        <w:rPr>
          <w:rFonts w:hint="eastAsia" w:ascii="仿宋_GB2312" w:eastAsia="仿宋_GB2312" w:cs="仿宋_GB2312"/>
          <w:color w:val="000000" w:themeColor="text1"/>
          <w:sz w:val="32"/>
          <w:szCs w:val="32"/>
        </w:rPr>
        <w:t>年减少4.14万元，下降38.91</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s="仿宋_GB2312"/>
          <w:color w:val="000000" w:themeColor="text1"/>
          <w:sz w:val="32"/>
          <w:szCs w:val="32"/>
        </w:rPr>
        <w:t>截至</w:t>
      </w:r>
      <w:r>
        <w:rPr>
          <w:rFonts w:ascii="仿宋_GB2312" w:eastAsia="仿宋_GB2312" w:cs="仿宋_GB2312"/>
          <w:color w:val="000000" w:themeColor="text1"/>
          <w:sz w:val="32"/>
          <w:szCs w:val="32"/>
        </w:rPr>
        <w:t>2019</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12</w:t>
      </w:r>
      <w:r>
        <w:rPr>
          <w:rFonts w:hint="eastAsia" w:ascii="仿宋_GB2312" w:eastAsia="仿宋_GB2312" w:cs="仿宋_GB2312"/>
          <w:color w:val="000000" w:themeColor="text1"/>
          <w:sz w:val="32"/>
          <w:szCs w:val="32"/>
        </w:rPr>
        <w:t>月底，单位共有公务用车3辆，其中：应急保障用车2辆、执法执勤用车1辆</w:t>
      </w:r>
    </w:p>
    <w:p>
      <w:pPr>
        <w:spacing w:line="600" w:lineRule="exact"/>
        <w:ind w:firstLine="640"/>
        <w:rPr>
          <w:rFonts w:ascii="仿宋_GB2312" w:eastAsia="仿宋_GB2312"/>
          <w:color w:val="000000" w:themeColor="text1"/>
          <w:sz w:val="32"/>
          <w:szCs w:val="32"/>
        </w:rPr>
      </w:pPr>
      <w:r>
        <w:rPr>
          <w:rFonts w:hint="eastAsia" w:ascii="仿宋_GB2312" w:eastAsia="仿宋_GB2312" w:cs="仿宋_GB2312"/>
          <w:bCs/>
          <w:color w:val="000000" w:themeColor="text1"/>
          <w:sz w:val="32"/>
          <w:szCs w:val="32"/>
        </w:rPr>
        <w:t>公务用车运行维护费支出</w:t>
      </w:r>
      <w:r>
        <w:rPr>
          <w:rFonts w:hint="eastAsia" w:ascii="仿宋_GB2312" w:eastAsia="仿宋_GB2312" w:cs="仿宋_GB2312"/>
          <w:color w:val="000000" w:themeColor="text1"/>
          <w:sz w:val="32"/>
          <w:szCs w:val="32"/>
        </w:rPr>
        <w:t>6.5万元。主要用于因公务活动等所需的公务用车燃料费、维修费、过路过桥费、保险费等支出。</w:t>
      </w:r>
    </w:p>
    <w:p>
      <w:pPr>
        <w:spacing w:line="600" w:lineRule="exact"/>
        <w:ind w:firstLine="640"/>
        <w:rPr>
          <w:rFonts w:ascii="仿宋_GB2312" w:eastAsia="仿宋_GB2312"/>
          <w:color w:val="000000" w:themeColor="text1"/>
          <w:sz w:val="32"/>
          <w:szCs w:val="32"/>
        </w:rPr>
      </w:pPr>
      <w:r>
        <w:rPr>
          <w:rFonts w:ascii="仿宋_GB2312" w:eastAsia="仿宋_GB2312" w:cs="仿宋_GB2312"/>
          <w:bCs/>
          <w:color w:val="000000" w:themeColor="text1"/>
          <w:sz w:val="32"/>
          <w:szCs w:val="32"/>
        </w:rPr>
        <w:t>3.</w:t>
      </w:r>
      <w:r>
        <w:rPr>
          <w:rFonts w:hint="eastAsia" w:ascii="仿宋_GB2312" w:eastAsia="仿宋_GB2312" w:cs="仿宋_GB2312"/>
          <w:bCs/>
          <w:color w:val="000000" w:themeColor="text1"/>
          <w:sz w:val="32"/>
          <w:szCs w:val="32"/>
        </w:rPr>
        <w:t>公务接待费支出</w:t>
      </w:r>
      <w:r>
        <w:rPr>
          <w:rFonts w:hint="eastAsia" w:ascii="仿宋_GB2312" w:eastAsia="仿宋_GB2312" w:cs="仿宋_GB2312"/>
          <w:color w:val="000000" w:themeColor="text1"/>
          <w:sz w:val="32"/>
          <w:szCs w:val="32"/>
        </w:rPr>
        <w:t>0.77万元，</w:t>
      </w:r>
      <w:r>
        <w:rPr>
          <w:rStyle w:val="15"/>
          <w:rFonts w:hint="eastAsia" w:ascii="仿宋" w:hAnsi="仿宋" w:eastAsia="仿宋" w:cs="仿宋"/>
          <w:b w:val="0"/>
          <w:color w:val="000000" w:themeColor="text1"/>
          <w:sz w:val="32"/>
          <w:szCs w:val="32"/>
        </w:rPr>
        <w:t>完成预算25.67</w:t>
      </w:r>
      <w:r>
        <w:rPr>
          <w:rStyle w:val="15"/>
          <w:rFonts w:ascii="仿宋" w:hAnsi="仿宋" w:eastAsia="仿宋" w:cs="仿宋"/>
          <w:b w:val="0"/>
          <w:color w:val="000000" w:themeColor="text1"/>
          <w:sz w:val="32"/>
          <w:szCs w:val="32"/>
        </w:rPr>
        <w:t>%</w:t>
      </w:r>
      <w:r>
        <w:rPr>
          <w:rStyle w:val="15"/>
          <w:rFonts w:hint="eastAsia" w:ascii="仿宋" w:hAnsi="仿宋" w:eastAsia="仿宋" w:cs="仿宋"/>
          <w:b w:val="0"/>
          <w:color w:val="000000" w:themeColor="text1"/>
          <w:sz w:val="32"/>
          <w:szCs w:val="32"/>
        </w:rPr>
        <w:t>。</w:t>
      </w:r>
      <w:r>
        <w:rPr>
          <w:rFonts w:hint="eastAsia" w:ascii="仿宋_GB2312" w:eastAsia="仿宋_GB2312" w:cs="仿宋_GB2312"/>
          <w:color w:val="000000" w:themeColor="text1"/>
          <w:sz w:val="32"/>
          <w:szCs w:val="32"/>
        </w:rPr>
        <w:t>公务接待费支出决算比</w:t>
      </w:r>
      <w:r>
        <w:rPr>
          <w:rFonts w:ascii="仿宋_GB2312" w:eastAsia="仿宋_GB2312" w:cs="仿宋_GB2312"/>
          <w:color w:val="000000" w:themeColor="text1"/>
          <w:sz w:val="32"/>
          <w:szCs w:val="32"/>
        </w:rPr>
        <w:t>2018</w:t>
      </w:r>
      <w:r>
        <w:rPr>
          <w:rFonts w:hint="eastAsia" w:ascii="仿宋_GB2312" w:eastAsia="仿宋_GB2312" w:cs="仿宋_GB2312"/>
          <w:color w:val="000000" w:themeColor="text1"/>
          <w:sz w:val="32"/>
          <w:szCs w:val="32"/>
        </w:rPr>
        <w:t>年下降0.19万元，下降19.79</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。主要原因是公务接待活动减少：</w:t>
      </w:r>
    </w:p>
    <w:p>
      <w:pPr>
        <w:spacing w:line="600" w:lineRule="exact"/>
        <w:ind w:firstLine="640"/>
        <w:rPr>
          <w:rFonts w:ascii="仿宋_GB2312" w:eastAsia="仿宋_GB2312"/>
          <w:color w:val="000000" w:themeColor="text1"/>
          <w:sz w:val="32"/>
          <w:szCs w:val="32"/>
        </w:rPr>
      </w:pPr>
      <w:r>
        <w:rPr>
          <w:rFonts w:hint="eastAsia" w:ascii="仿宋" w:hAnsi="仿宋" w:eastAsia="仿宋" w:cs="仿宋"/>
          <w:bCs/>
          <w:color w:val="000000" w:themeColor="text1"/>
          <w:sz w:val="32"/>
          <w:szCs w:val="32"/>
        </w:rPr>
        <w:t>国内公务接待支出</w:t>
      </w:r>
      <w:r>
        <w:rPr>
          <w:rFonts w:hint="eastAsia" w:ascii="仿宋" w:hAnsi="仿宋" w:eastAsia="仿宋" w:cs="仿宋"/>
          <w:color w:val="000000" w:themeColor="text1"/>
          <w:sz w:val="32"/>
          <w:szCs w:val="32"/>
        </w:rPr>
        <w:t>0.77</w:t>
      </w:r>
      <w:r>
        <w:rPr>
          <w:rFonts w:hint="eastAsia" w:ascii="仿宋_GB2312" w:eastAsia="仿宋_GB2312" w:cs="仿宋_GB2312"/>
          <w:color w:val="000000" w:themeColor="text1"/>
          <w:sz w:val="32"/>
          <w:szCs w:val="32"/>
        </w:rPr>
        <w:t>万元，主要用于执行公务、开展业务活动开支的用餐费。国内公务接待6批次，人次（不包括陪同人员），共计支出 0.77万元。</w:t>
      </w:r>
    </w:p>
    <w:p>
      <w:pPr>
        <w:spacing w:line="600" w:lineRule="exact"/>
        <w:ind w:firstLine="640"/>
        <w:outlineLvl w:val="1"/>
        <w:rPr>
          <w:rStyle w:val="26"/>
          <w:rFonts w:ascii="黑体" w:hAnsi="黑体" w:eastAsia="黑体"/>
          <w:color w:val="000000" w:themeColor="text1"/>
        </w:rPr>
      </w:pPr>
      <w:r>
        <w:rPr>
          <w:rFonts w:hint="eastAsia" w:ascii="黑体" w:eastAsia="黑体"/>
          <w:color w:val="000000" w:themeColor="text1"/>
          <w:sz w:val="32"/>
          <w:szCs w:val="32"/>
        </w:rPr>
        <w:t>八、</w:t>
      </w:r>
      <w:r>
        <w:rPr>
          <w:rStyle w:val="26"/>
          <w:rFonts w:hint="eastAsia" w:ascii="黑体" w:hAnsi="黑体" w:eastAsia="黑体"/>
          <w:b w:val="0"/>
          <w:color w:val="000000" w:themeColor="text1"/>
        </w:rPr>
        <w:t>政府性基金预算支出决算情况说明</w:t>
      </w:r>
    </w:p>
    <w:p>
      <w:pPr>
        <w:spacing w:line="600" w:lineRule="exact"/>
        <w:ind w:firstLine="640"/>
        <w:rPr>
          <w:rFonts w:ascii="仿宋_GB2312" w:eastAsia="仿宋_GB2312"/>
          <w:color w:val="000000" w:themeColor="text1"/>
          <w:sz w:val="32"/>
          <w:szCs w:val="32"/>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9年政府性基金预算拨款支出0万元。</w:t>
      </w:r>
    </w:p>
    <w:p>
      <w:pPr>
        <w:numPr>
          <w:ilvl w:val="0"/>
          <w:numId w:val="3"/>
        </w:numPr>
        <w:spacing w:line="600" w:lineRule="exact"/>
        <w:ind w:firstLine="640"/>
        <w:outlineLvl w:val="1"/>
        <w:rPr>
          <w:rStyle w:val="26"/>
          <w:rFonts w:ascii="黑体" w:hAnsi="黑体" w:eastAsia="黑体"/>
          <w:b w:val="0"/>
          <w:color w:val="000000" w:themeColor="text1"/>
        </w:rPr>
      </w:pPr>
      <w:r>
        <w:rPr>
          <w:rStyle w:val="26"/>
          <w:rFonts w:hint="eastAsia" w:ascii="黑体" w:hAnsi="黑体" w:eastAsia="黑体"/>
          <w:b w:val="0"/>
          <w:color w:val="000000" w:themeColor="text1"/>
        </w:rPr>
        <w:t>国有资本经营预算支出决算情况说明</w:t>
      </w:r>
    </w:p>
    <w:p>
      <w:pPr>
        <w:spacing w:line="600" w:lineRule="exact"/>
        <w:ind w:firstLine="640"/>
        <w:rPr>
          <w:rFonts w:ascii="仿宋_GB2312" w:eastAsia="仿宋_GB2312"/>
          <w:color w:val="000000" w:themeColor="text1"/>
          <w:sz w:val="32"/>
          <w:szCs w:val="32"/>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9年国有资本经营预算拨款支出0万元。</w:t>
      </w:r>
    </w:p>
    <w:p>
      <w:pPr>
        <w:spacing w:line="580" w:lineRule="exact"/>
        <w:jc w:val="center"/>
        <w:rPr>
          <w:rFonts w:ascii="方正小标宋简体" w:hAnsi="方正小标宋简体" w:eastAsia="方正小标宋简体" w:cs="方正小标宋简体"/>
          <w:color w:val="000000" w:themeColor="text1"/>
          <w:sz w:val="44"/>
          <w:szCs w:val="44"/>
        </w:rPr>
      </w:pPr>
    </w:p>
    <w:p>
      <w:pPr>
        <w:spacing w:line="600" w:lineRule="exact"/>
        <w:ind w:firstLine="800" w:firstLineChars="250"/>
        <w:outlineLvl w:val="1"/>
        <w:rPr>
          <w:rStyle w:val="26"/>
          <w:rFonts w:ascii="黑体" w:hAnsi="黑体" w:eastAsia="黑体"/>
          <w:color w:val="000000" w:themeColor="text1"/>
        </w:rPr>
      </w:pPr>
      <w:r>
        <w:rPr>
          <w:rFonts w:hint="eastAsia" w:ascii="黑体" w:hAnsi="黑体" w:eastAsia="黑体"/>
          <w:color w:val="000000" w:themeColor="text1"/>
          <w:sz w:val="32"/>
          <w:szCs w:val="32"/>
        </w:rPr>
        <w:t>十</w:t>
      </w:r>
      <w:r>
        <w:rPr>
          <w:rStyle w:val="26"/>
          <w:rFonts w:hint="eastAsia" w:ascii="黑体" w:hAnsi="黑体" w:eastAsia="黑体"/>
          <w:color w:val="000000" w:themeColor="text1"/>
        </w:rPr>
        <w:t>、</w:t>
      </w:r>
      <w:r>
        <w:rPr>
          <w:rStyle w:val="26"/>
          <w:rFonts w:hint="eastAsia" w:ascii="黑体" w:hAnsi="黑体" w:eastAsia="黑体"/>
          <w:b w:val="0"/>
          <w:color w:val="000000" w:themeColor="text1"/>
        </w:rPr>
        <w:t>其他重要事项的情况说明</w:t>
      </w:r>
    </w:p>
    <w:p>
      <w:pPr>
        <w:spacing w:line="600" w:lineRule="exact"/>
        <w:ind w:firstLine="640" w:firstLineChars="200"/>
        <w:outlineLvl w:val="2"/>
        <w:rPr>
          <w:rFonts w:ascii="仿宋" w:hAnsi="仿宋" w:eastAsia="仿宋"/>
          <w:color w:val="000000" w:themeColor="text1"/>
          <w:sz w:val="32"/>
          <w:szCs w:val="32"/>
        </w:rPr>
      </w:pPr>
      <w:r>
        <w:rPr>
          <w:rFonts w:hint="eastAsia" w:ascii="仿宋" w:hAnsi="仿宋" w:eastAsia="仿宋"/>
          <w:color w:val="000000" w:themeColor="text1"/>
          <w:sz w:val="32"/>
          <w:szCs w:val="32"/>
        </w:rPr>
        <w:t>（一）机关运行经费支出情况</w:t>
      </w:r>
    </w:p>
    <w:p>
      <w:pPr>
        <w:spacing w:line="600" w:lineRule="exact"/>
        <w:ind w:firstLine="640" w:firstLineChars="200"/>
        <w:rPr>
          <w:rFonts w:ascii="仿宋" w:hAnsi="仿宋" w:eastAsia="仿宋"/>
          <w:b/>
          <w:color w:val="000000" w:themeColor="text1"/>
          <w:sz w:val="32"/>
          <w:szCs w:val="32"/>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9年，东</w:t>
      </w:r>
      <w:r>
        <w:rPr>
          <w:rFonts w:ascii="仿宋_GB2312" w:eastAsia="仿宋_GB2312"/>
          <w:color w:val="000000" w:themeColor="text1"/>
          <w:sz w:val="32"/>
          <w:szCs w:val="32"/>
        </w:rPr>
        <w:t>区财政局</w:t>
      </w:r>
      <w:r>
        <w:rPr>
          <w:rFonts w:hint="eastAsia" w:ascii="仿宋_GB2312" w:eastAsia="仿宋_GB2312"/>
          <w:color w:val="000000" w:themeColor="text1"/>
          <w:sz w:val="32"/>
          <w:szCs w:val="32"/>
        </w:rPr>
        <w:t>机关运行经费支出33.21万元，比</w:t>
      </w:r>
      <w:r>
        <w:rPr>
          <w:rFonts w:ascii="仿宋_GB2312" w:eastAsia="仿宋_GB2312"/>
          <w:color w:val="000000" w:themeColor="text1"/>
          <w:sz w:val="32"/>
          <w:szCs w:val="32"/>
        </w:rPr>
        <w:t>201</w:t>
      </w:r>
      <w:r>
        <w:rPr>
          <w:rFonts w:hint="eastAsia" w:ascii="仿宋_GB2312" w:eastAsia="仿宋_GB2312"/>
          <w:color w:val="000000" w:themeColor="text1"/>
          <w:sz w:val="32"/>
          <w:szCs w:val="32"/>
        </w:rPr>
        <w:t>8年减少120.8万元，下降78.44</w:t>
      </w:r>
      <w:r>
        <w:rPr>
          <w:rFonts w:ascii="仿宋_GB2312" w:eastAsia="仿宋_GB2312"/>
          <w:color w:val="000000" w:themeColor="text1"/>
          <w:sz w:val="32"/>
          <w:szCs w:val="32"/>
        </w:rPr>
        <w:t>%</w:t>
      </w:r>
      <w:r>
        <w:rPr>
          <w:rFonts w:hint="eastAsia" w:ascii="仿宋_GB2312" w:eastAsia="仿宋_GB2312"/>
          <w:color w:val="000000" w:themeColor="text1"/>
          <w:sz w:val="32"/>
          <w:szCs w:val="32"/>
        </w:rPr>
        <w:t>。主要原因是执行</w:t>
      </w:r>
      <w:r>
        <w:rPr>
          <w:rFonts w:hint="eastAsia" w:ascii="仿宋_GB2312" w:hAnsi="仿宋" w:eastAsia="仿宋_GB2312" w:cs="仿宋"/>
          <w:bCs/>
          <w:color w:val="000000" w:themeColor="text1"/>
          <w:sz w:val="32"/>
          <w:szCs w:val="32"/>
        </w:rPr>
        <w:t>减税降费政策的规定,</w:t>
      </w:r>
      <w:r>
        <w:rPr>
          <w:rFonts w:ascii="仿宋_GB2312" w:eastAsia="仿宋_GB2312"/>
          <w:color w:val="000000" w:themeColor="text1"/>
          <w:sz w:val="32"/>
          <w:szCs w:val="32"/>
        </w:rPr>
        <w:t xml:space="preserve"> 贯彻落实中央八项规定精神和省委、省政府以及市委、市政府十项规定</w:t>
      </w:r>
      <w:r>
        <w:rPr>
          <w:rFonts w:hint="eastAsia" w:ascii="仿宋_GB2312" w:eastAsia="仿宋_GB2312"/>
          <w:color w:val="000000" w:themeColor="text1"/>
          <w:sz w:val="32"/>
          <w:szCs w:val="32"/>
        </w:rPr>
        <w:t>，加强对“三公”经费执行的监督</w:t>
      </w:r>
      <w:r>
        <w:rPr>
          <w:rFonts w:hint="eastAsia" w:ascii="仿宋_GB2312" w:hAnsi="仿宋" w:eastAsia="仿宋_GB2312" w:cs="仿宋"/>
          <w:bCs/>
          <w:color w:val="000000" w:themeColor="text1"/>
          <w:sz w:val="32"/>
          <w:szCs w:val="32"/>
        </w:rPr>
        <w:t>厉行节约。</w:t>
      </w:r>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rPr>
      </w:pPr>
      <w:r>
        <w:rPr>
          <w:rFonts w:hint="eastAsia" w:ascii="仿宋" w:hAnsi="仿宋" w:eastAsia="仿宋"/>
          <w:color w:val="000000" w:themeColor="text1"/>
          <w:sz w:val="32"/>
          <w:szCs w:val="32"/>
        </w:rPr>
        <w:t>（二）政府采购支出情况</w:t>
      </w:r>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9年，东</w:t>
      </w:r>
      <w:r>
        <w:rPr>
          <w:rFonts w:ascii="仿宋_GB2312" w:eastAsia="仿宋_GB2312"/>
          <w:color w:val="000000" w:themeColor="text1"/>
          <w:sz w:val="32"/>
          <w:szCs w:val="32"/>
        </w:rPr>
        <w:t>区财政局</w:t>
      </w:r>
      <w:r>
        <w:rPr>
          <w:rFonts w:hint="eastAsia" w:ascii="仿宋_GB2312" w:eastAsia="仿宋_GB2312"/>
          <w:color w:val="000000" w:themeColor="text1"/>
          <w:sz w:val="32"/>
          <w:szCs w:val="32"/>
        </w:rPr>
        <w:t>政府采购支出总额2.38万元，其中：政府采购货物支出2.38万元、政府采购工程支出0万元、政府采购服务支出0万元。授予中小企业合同金额2.38万元，占政府采购支出总额的100</w:t>
      </w:r>
      <w:r>
        <w:rPr>
          <w:rFonts w:ascii="仿宋_GB2312" w:eastAsia="仿宋_GB2312"/>
          <w:color w:val="000000" w:themeColor="text1"/>
          <w:sz w:val="32"/>
          <w:szCs w:val="32"/>
        </w:rPr>
        <w:t>%</w:t>
      </w:r>
      <w:r>
        <w:rPr>
          <w:rFonts w:hint="eastAsia" w:ascii="仿宋_GB2312" w:eastAsia="仿宋_GB2312"/>
          <w:color w:val="000000" w:themeColor="text1"/>
          <w:sz w:val="32"/>
          <w:szCs w:val="32"/>
        </w:rPr>
        <w:t>，其中：授予小微企业合同金额2.38万元，占政府采购支出总额的100</w:t>
      </w:r>
      <w:r>
        <w:rPr>
          <w:rFonts w:ascii="仿宋_GB2312" w:eastAsia="仿宋_GB2312"/>
          <w:color w:val="000000" w:themeColor="text1"/>
          <w:sz w:val="32"/>
          <w:szCs w:val="32"/>
        </w:rPr>
        <w:t>%</w:t>
      </w:r>
      <w:r>
        <w:rPr>
          <w:rFonts w:hint="eastAsia" w:ascii="仿宋_GB2312" w:eastAsia="仿宋_GB2312"/>
          <w:color w:val="000000" w:themeColor="text1"/>
          <w:sz w:val="32"/>
          <w:szCs w:val="32"/>
        </w:rPr>
        <w:t>。</w:t>
      </w:r>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rPr>
      </w:pPr>
      <w:r>
        <w:rPr>
          <w:rFonts w:hint="eastAsia" w:ascii="仿宋" w:hAnsi="仿宋" w:eastAsia="仿宋"/>
          <w:color w:val="000000" w:themeColor="text1"/>
          <w:sz w:val="32"/>
          <w:szCs w:val="32"/>
        </w:rPr>
        <w:t>（三）国有资产占有使用情况</w:t>
      </w:r>
    </w:p>
    <w:p>
      <w:pPr>
        <w:autoSpaceDE w:val="0"/>
        <w:autoSpaceDN w:val="0"/>
        <w:adjustRightInd w:val="0"/>
        <w:spacing w:line="600" w:lineRule="exact"/>
        <w:ind w:firstLine="640" w:firstLineChars="200"/>
        <w:jc w:val="left"/>
        <w:rPr>
          <w:rFonts w:ascii="仿宋_GB2312" w:hAnsi="仿宋" w:eastAsia="仿宋_GB2312" w:cs="仿宋"/>
          <w:color w:val="000000" w:themeColor="text1"/>
          <w:sz w:val="32"/>
          <w:szCs w:val="32"/>
        </w:rPr>
      </w:pPr>
      <w:r>
        <w:rPr>
          <w:rFonts w:hint="eastAsia" w:ascii="仿宋_GB2312" w:eastAsia="仿宋_GB2312"/>
          <w:color w:val="000000" w:themeColor="text1"/>
          <w:sz w:val="32"/>
          <w:szCs w:val="32"/>
        </w:rPr>
        <w:t>截至</w:t>
      </w:r>
      <w:r>
        <w:rPr>
          <w:rFonts w:ascii="仿宋_GB2312" w:eastAsia="仿宋_GB2312"/>
          <w:color w:val="000000" w:themeColor="text1"/>
          <w:sz w:val="32"/>
          <w:szCs w:val="32"/>
        </w:rPr>
        <w:t>201</w:t>
      </w:r>
      <w:r>
        <w:rPr>
          <w:rFonts w:hint="eastAsia" w:ascii="仿宋_GB2312" w:eastAsia="仿宋_GB2312"/>
          <w:color w:val="000000" w:themeColor="text1"/>
          <w:sz w:val="32"/>
          <w:szCs w:val="32"/>
        </w:rPr>
        <w:t>9年</w:t>
      </w:r>
      <w:r>
        <w:rPr>
          <w:rFonts w:ascii="仿宋_GB2312" w:eastAsia="仿宋_GB2312"/>
          <w:color w:val="000000" w:themeColor="text1"/>
          <w:sz w:val="32"/>
          <w:szCs w:val="32"/>
        </w:rPr>
        <w:t>12</w:t>
      </w:r>
      <w:r>
        <w:rPr>
          <w:rFonts w:hint="eastAsia" w:ascii="仿宋_GB2312" w:eastAsia="仿宋_GB2312"/>
          <w:color w:val="000000" w:themeColor="text1"/>
          <w:sz w:val="32"/>
          <w:szCs w:val="32"/>
        </w:rPr>
        <w:t>月</w:t>
      </w:r>
      <w:r>
        <w:rPr>
          <w:rFonts w:ascii="仿宋_GB2312" w:eastAsia="仿宋_GB2312"/>
          <w:color w:val="000000" w:themeColor="text1"/>
          <w:sz w:val="32"/>
          <w:szCs w:val="32"/>
        </w:rPr>
        <w:t>31</w:t>
      </w:r>
      <w:r>
        <w:rPr>
          <w:rFonts w:hint="eastAsia" w:ascii="仿宋_GB2312" w:eastAsia="仿宋_GB2312"/>
          <w:color w:val="000000" w:themeColor="text1"/>
          <w:sz w:val="32"/>
          <w:szCs w:val="32"/>
        </w:rPr>
        <w:t>日，东</w:t>
      </w:r>
      <w:r>
        <w:rPr>
          <w:rFonts w:ascii="仿宋_GB2312" w:eastAsia="仿宋_GB2312"/>
          <w:color w:val="000000" w:themeColor="text1"/>
          <w:sz w:val="32"/>
          <w:szCs w:val="32"/>
        </w:rPr>
        <w:t>区财政局</w:t>
      </w:r>
      <w:r>
        <w:rPr>
          <w:rFonts w:hint="eastAsia" w:ascii="仿宋_GB2312" w:hAnsi="仿宋" w:eastAsia="仿宋_GB2312" w:cs="仿宋"/>
          <w:color w:val="000000" w:themeColor="text1"/>
          <w:sz w:val="32"/>
          <w:szCs w:val="32"/>
        </w:rPr>
        <w:t>公车改革已全部完成，2019年度无公车。</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（注：数据来源于财决</w:t>
      </w:r>
      <w:r>
        <w:rPr>
          <w:rFonts w:ascii="仿宋" w:hAnsi="仿宋" w:eastAsia="仿宋"/>
          <w:color w:val="000000" w:themeColor="text1"/>
          <w:sz w:val="32"/>
          <w:szCs w:val="32"/>
        </w:rPr>
        <w:t>Z01-1</w:t>
      </w:r>
      <w:r>
        <w:rPr>
          <w:rFonts w:hint="eastAsia" w:ascii="仿宋" w:hAnsi="仿宋" w:eastAsia="仿宋"/>
          <w:color w:val="000000" w:themeColor="text1"/>
          <w:sz w:val="32"/>
          <w:szCs w:val="32"/>
        </w:rPr>
        <w:t>表，罗列全部功能分类科目至项级。上述“预算”口径为调整预算数。</w:t>
      </w:r>
    </w:p>
    <w:p>
      <w:pPr>
        <w:spacing w:line="600" w:lineRule="exact"/>
        <w:ind w:firstLine="640"/>
        <w:rPr>
          <w:rFonts w:ascii="仿宋" w:hAnsi="仿宋" w:eastAsia="仿宋"/>
          <w:b/>
          <w:color w:val="00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林业局在年初预算编制阶段，组织对东区林地变更调查设计费、森林防火期季节性用工人员经费、森林消防应急救援（应急队伍经费）、鉴定经费、义务植树经费（森林培育经费）、野生动植物疫病灾害防控经费、林政资源管理、护林防火设备设施经费开展了预算事前绩效评估，对5个项目编制了绩效目标，预算执行过程中，选取5个项目开展绩效监控，年终执行完毕后，对5个项目开展了绩效目标完成情况自评。</w:t>
      </w:r>
    </w:p>
    <w:p>
      <w:pPr>
        <w:spacing w:line="580" w:lineRule="exact"/>
        <w:ind w:firstLine="640" w:firstLineChars="200"/>
        <w:rPr>
          <w:rFonts w:ascii="Arial Unicode MS" w:hAnsi="Arial Unicode MS" w:eastAsia="Arial Unicode MS" w:cs="Arial Unicode MS"/>
          <w:bCs/>
          <w:sz w:val="32"/>
          <w:szCs w:val="32"/>
        </w:rPr>
      </w:pPr>
      <w:r>
        <w:rPr>
          <w:rFonts w:hint="eastAsia" w:ascii="仿宋_GB2312" w:hAnsi="仿宋_GB2312" w:eastAsia="仿宋_GB2312" w:cs="仿宋_GB2312"/>
          <w:sz w:val="32"/>
          <w:szCs w:val="32"/>
        </w:rPr>
        <w:t>林业局按要求对2019年部门整体支出开展绩效自评。</w:t>
      </w:r>
      <w:r>
        <w:rPr>
          <w:rFonts w:hint="eastAsia" w:ascii="仿宋_GB2312" w:hAnsi="Arial Unicode MS" w:eastAsia="仿宋_GB2312" w:cs="Arial Unicode MS"/>
          <w:bCs/>
          <w:sz w:val="32"/>
          <w:szCs w:val="32"/>
        </w:rPr>
        <w:t>总体来看，基本支出和项目支出保障机构正常运转、完成了2018年工作任务及单位承担的其他相关工作。</w:t>
      </w:r>
      <w:r>
        <w:rPr>
          <w:rFonts w:hint="eastAsia" w:ascii="仿宋_GB2312" w:hAnsi="仿宋_GB2312" w:eastAsia="仿宋_GB2312" w:cs="仿宋_GB2312"/>
          <w:sz w:val="32"/>
          <w:szCs w:val="32"/>
        </w:rPr>
        <w:t>本部门还自行组织了5个项目支出绩效评价，从评价情况来看我单位2019年项目支出绩效整体完成情况较好。</w:t>
      </w:r>
    </w:p>
    <w:p>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本部门在2019年度部门决算中反映“东区林地变更调查设计费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“森林防火期季节性用工人员经费”“鉴定经费” “义务植树经费（森林培育经费）” “野生动植物疫病灾害防控经费”等5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东区林地变更调查设计费绩效目标完成情况综述。项目全年预算数5.5万元，执行数为0万元，完成预算的0%。通过项目实施，保障了东区变更休订完善林地一张图，实现林地管理数字化。发现的主要问题：该项目推进进度较晚，导致项目资金未能使用。下一步改进措施：提高项目推进进度，争取项目资金按时支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（2）森林防火期季节性用工人员经费项目绩效目标完成情况综述。项目全年预算数12.28万元，执行数为12.28万元，完成预算的100%。通过该项目实施，保障了全年能按时发放劳务费，确保森林防火工作正常开展。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（3）鉴定经费项目绩效目标完成情况综述。项目全年预算数21万元，执行数为21万元，完成预算的100%。通过该项目实施，保证了林业行政执法检查工作顺利开展。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义务植树经费（森林培育经费）项目绩效目标完成情况综述。项目全年预算数15万元，执行数为15万元，完成预算的100%。通过该项目实施，保障“6.29”植树活动的正常开展，对创森成骨巩固及大规模绿化工作提供了坚实的保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野生动植物疫病灾害防控经费项目绩效目标完成情况综述。项目全年预算数1.37万元，执行数为3.13万元，完成预算的30.4%。通过项目实施，保障了植物检疫执法工作的开展，对东区辖区有害生物预测预报进行了提前预警。</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r>
        <w:br w:type="page"/>
      </w:r>
    </w:p>
    <w:tbl>
      <w:tblPr>
        <w:tblStyle w:val="13"/>
        <w:tblpPr w:leftFromText="180" w:rightFromText="180" w:vertAnchor="text" w:horzAnchor="page" w:tblpXSpec="center" w:tblpY="423"/>
        <w:tblOverlap w:val="never"/>
        <w:tblW w:w="102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9"/>
        <w:gridCol w:w="142"/>
        <w:gridCol w:w="142"/>
        <w:gridCol w:w="850"/>
        <w:gridCol w:w="41"/>
        <w:gridCol w:w="1025"/>
        <w:gridCol w:w="2053"/>
        <w:gridCol w:w="339"/>
        <w:gridCol w:w="2394"/>
        <w:gridCol w:w="2392"/>
        <w:gridCol w:w="1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4" w:hRule="atLeast"/>
          <w:jc w:val="center"/>
        </w:trPr>
        <w:tc>
          <w:tcPr>
            <w:tcW w:w="10207" w:type="dxa"/>
            <w:gridSpan w:val="11"/>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东区林地变更调查设计费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攀枝花市东区林业局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709"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5.5</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709" w:type="dxa"/>
            <w:vMerge w:val="continue"/>
            <w:tcMar>
              <w:top w:w="15" w:type="dxa"/>
              <w:left w:w="15" w:type="dxa"/>
              <w:right w:w="15" w:type="dxa"/>
            </w:tcMar>
            <w:vAlign w:val="center"/>
          </w:tcPr>
          <w:p>
            <w:pPr>
              <w:jc w:val="center"/>
              <w:rPr>
                <w:rFonts w:ascii="宋体" w:hAnsi="宋体" w:cs="宋体"/>
                <w:color w:val="000000"/>
                <w:sz w:val="24"/>
              </w:rPr>
            </w:pPr>
          </w:p>
        </w:tc>
        <w:tc>
          <w:tcPr>
            <w:tcW w:w="2200"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5.5</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709" w:type="dxa"/>
            <w:vMerge w:val="continue"/>
            <w:tcMar>
              <w:top w:w="15" w:type="dxa"/>
              <w:left w:w="15" w:type="dxa"/>
              <w:right w:w="15" w:type="dxa"/>
            </w:tcMar>
            <w:vAlign w:val="center"/>
          </w:tcPr>
          <w:p>
            <w:pPr>
              <w:jc w:val="center"/>
              <w:rPr>
                <w:rFonts w:ascii="宋体" w:hAnsi="宋体" w:cs="宋体"/>
                <w:color w:val="000000"/>
                <w:sz w:val="24"/>
              </w:rPr>
            </w:pPr>
          </w:p>
        </w:tc>
        <w:tc>
          <w:tcPr>
            <w:tcW w:w="2200"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512" w:type="dxa"/>
            <w:gridSpan w:val="2"/>
            <w:tcMar>
              <w:top w:w="15" w:type="dxa"/>
              <w:left w:w="15" w:type="dxa"/>
              <w:right w:w="15" w:type="dxa"/>
            </w:tcMar>
            <w:vAlign w:val="center"/>
          </w:tcPr>
          <w:p>
            <w:pPr>
              <w:jc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709"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7"/>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90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9" w:hRule="atLeast"/>
          <w:jc w:val="center"/>
        </w:trPr>
        <w:tc>
          <w:tcPr>
            <w:tcW w:w="709" w:type="dxa"/>
            <w:vMerge w:val="continue"/>
            <w:tcMar>
              <w:top w:w="15" w:type="dxa"/>
              <w:left w:w="15" w:type="dxa"/>
              <w:right w:w="15" w:type="dxa"/>
            </w:tcMar>
            <w:vAlign w:val="center"/>
          </w:tcPr>
          <w:p>
            <w:pPr>
              <w:jc w:val="center"/>
              <w:rPr>
                <w:rFonts w:ascii="宋体" w:hAnsi="宋体" w:cs="宋体"/>
                <w:color w:val="000000"/>
                <w:sz w:val="24"/>
              </w:rPr>
            </w:pPr>
          </w:p>
        </w:tc>
        <w:tc>
          <w:tcPr>
            <w:tcW w:w="4592" w:type="dxa"/>
            <w:gridSpan w:val="7"/>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林业局委托有资质的调查设计单位开展工作</w:t>
            </w:r>
          </w:p>
        </w:tc>
        <w:tc>
          <w:tcPr>
            <w:tcW w:w="490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林业局委托有资质的调查设计单位开展工作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3" w:hRule="atLeast"/>
          <w:jc w:val="center"/>
        </w:trPr>
        <w:tc>
          <w:tcPr>
            <w:tcW w:w="709"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3"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对林地区划中的错漏进行纠偏</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林业局委托有资质的调查设计单位</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林业局已委托有资质的调查设计单位完成调查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97"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变更修订完善林地一张图</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变更修订完善林地一张图，实现林地管理数字化</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变更修订完善林地一张图，实现林地管理数字化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按上级要求和实施方案推进</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委托林地变更调查设计费5.5万元</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委托有资质的调查林地变更调查设计费5.5万元</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项目效益</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保护生态系统平衡，促使人与自然和睦相处</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保护森林资源安全，改善生态环境，辖区人民安居乐业</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保护森林资源安全，改善生态环境，辖区人民安居乐业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项目效益</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保护森林资源安全，减少森林资源损失</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掌握林地林木资源现状和变化情况，确保辖区森林资源安全</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掌握林地林木资源现状和变化情况，确保辖区森林资源安全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0"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3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6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达到基本满意以上</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4" w:hRule="atLeast"/>
          <w:jc w:val="center"/>
        </w:trPr>
        <w:tc>
          <w:tcPr>
            <w:tcW w:w="10207" w:type="dxa"/>
            <w:gridSpan w:val="11"/>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森林防火期季节性用工人员经费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攀枝花市东区林业局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709"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12.28</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709" w:type="dxa"/>
            <w:vMerge w:val="continue"/>
            <w:tcMar>
              <w:top w:w="15" w:type="dxa"/>
              <w:left w:w="15" w:type="dxa"/>
              <w:right w:w="15" w:type="dxa"/>
            </w:tcMar>
            <w:vAlign w:val="center"/>
          </w:tcPr>
          <w:p>
            <w:pPr>
              <w:jc w:val="center"/>
              <w:rPr>
                <w:rFonts w:ascii="宋体" w:hAnsi="宋体" w:cs="宋体"/>
                <w:color w:val="000000"/>
                <w:sz w:val="24"/>
              </w:rPr>
            </w:pPr>
          </w:p>
        </w:tc>
        <w:tc>
          <w:tcPr>
            <w:tcW w:w="2200"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12.28</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11" w:hRule="atLeast"/>
          <w:jc w:val="center"/>
        </w:trPr>
        <w:tc>
          <w:tcPr>
            <w:tcW w:w="709" w:type="dxa"/>
            <w:vMerge w:val="continue"/>
            <w:tcMar>
              <w:top w:w="15" w:type="dxa"/>
              <w:left w:w="15" w:type="dxa"/>
              <w:right w:w="15" w:type="dxa"/>
            </w:tcMar>
            <w:vAlign w:val="center"/>
          </w:tcPr>
          <w:p>
            <w:pPr>
              <w:jc w:val="center"/>
              <w:rPr>
                <w:rFonts w:ascii="宋体" w:hAnsi="宋体" w:cs="宋体"/>
                <w:color w:val="000000"/>
                <w:sz w:val="24"/>
              </w:rPr>
            </w:pPr>
          </w:p>
        </w:tc>
        <w:tc>
          <w:tcPr>
            <w:tcW w:w="2200"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512" w:type="dxa"/>
            <w:gridSpan w:val="2"/>
            <w:tcMar>
              <w:top w:w="15" w:type="dxa"/>
              <w:left w:w="15" w:type="dxa"/>
              <w:right w:w="15" w:type="dxa"/>
            </w:tcMar>
            <w:vAlign w:val="center"/>
          </w:tcPr>
          <w:p>
            <w:pPr>
              <w:jc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709"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7"/>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90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9" w:hRule="atLeast"/>
          <w:jc w:val="center"/>
        </w:trPr>
        <w:tc>
          <w:tcPr>
            <w:tcW w:w="709" w:type="dxa"/>
            <w:vMerge w:val="continue"/>
            <w:tcMar>
              <w:top w:w="15" w:type="dxa"/>
              <w:left w:w="15" w:type="dxa"/>
              <w:right w:w="15" w:type="dxa"/>
            </w:tcMar>
            <w:vAlign w:val="center"/>
          </w:tcPr>
          <w:p>
            <w:pPr>
              <w:jc w:val="center"/>
              <w:rPr>
                <w:rFonts w:ascii="宋体" w:hAnsi="宋体" w:cs="宋体"/>
                <w:color w:val="000000"/>
                <w:sz w:val="24"/>
              </w:rPr>
            </w:pPr>
          </w:p>
        </w:tc>
        <w:tc>
          <w:tcPr>
            <w:tcW w:w="4592" w:type="dxa"/>
            <w:gridSpan w:val="7"/>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按时发放劳务费，确保森林防火工作正常开展</w:t>
            </w:r>
          </w:p>
        </w:tc>
        <w:tc>
          <w:tcPr>
            <w:tcW w:w="490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全年按时发放劳务费，确保森林防火工作正常开展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709"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7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3"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7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聘请防火值班人员及巡山人员</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按实际情况聘请防火值班人员及巡山人员</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已按实际情况聘请防火值班人员及巡山人员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97"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7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按时保障人员劳务费用的发放</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按实际情况聘请防火值班人员、巡山人员</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已按实际情况聘请防火值班人员、巡山人员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7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按月发放</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每月按实际情况发放</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每月已按实际情况发放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75" w:type="dxa"/>
            <w:gridSpan w:val="4"/>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劳务费</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全年控制在12.28万元</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已按实际支出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7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减少森林火灾的发生</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不发生重特大火灾</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减少森林火灾的发生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0" w:hRule="atLeast"/>
          <w:jc w:val="center"/>
        </w:trPr>
        <w:tc>
          <w:tcPr>
            <w:tcW w:w="709"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17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抽样满意度达到基本满意及以上</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达到基本满意及以上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4" w:hRule="atLeast"/>
          <w:jc w:val="center"/>
        </w:trPr>
        <w:tc>
          <w:tcPr>
            <w:tcW w:w="10207" w:type="dxa"/>
            <w:gridSpan w:val="11"/>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鉴定经费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攀枝花市东区林业局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851" w:type="dxa"/>
            <w:gridSpan w:val="2"/>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058"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851" w:type="dxa"/>
            <w:gridSpan w:val="2"/>
            <w:vMerge w:val="continue"/>
            <w:tcMar>
              <w:top w:w="15" w:type="dxa"/>
              <w:left w:w="15" w:type="dxa"/>
              <w:right w:w="15" w:type="dxa"/>
            </w:tcMar>
            <w:vAlign w:val="center"/>
          </w:tcPr>
          <w:p>
            <w:pPr>
              <w:jc w:val="center"/>
              <w:rPr>
                <w:rFonts w:ascii="宋体" w:hAnsi="宋体" w:cs="宋体"/>
                <w:color w:val="000000"/>
                <w:sz w:val="24"/>
              </w:rPr>
            </w:pPr>
          </w:p>
        </w:tc>
        <w:tc>
          <w:tcPr>
            <w:tcW w:w="2058"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1" w:hRule="atLeast"/>
          <w:jc w:val="center"/>
        </w:trPr>
        <w:tc>
          <w:tcPr>
            <w:tcW w:w="851" w:type="dxa"/>
            <w:gridSpan w:val="2"/>
            <w:vMerge w:val="continue"/>
            <w:tcMar>
              <w:top w:w="15" w:type="dxa"/>
              <w:left w:w="15" w:type="dxa"/>
              <w:right w:w="15" w:type="dxa"/>
            </w:tcMar>
            <w:vAlign w:val="center"/>
          </w:tcPr>
          <w:p>
            <w:pPr>
              <w:jc w:val="center"/>
              <w:rPr>
                <w:rFonts w:ascii="宋体" w:hAnsi="宋体" w:cs="宋体"/>
                <w:color w:val="000000"/>
                <w:sz w:val="24"/>
              </w:rPr>
            </w:pPr>
          </w:p>
        </w:tc>
        <w:tc>
          <w:tcPr>
            <w:tcW w:w="2058"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512" w:type="dxa"/>
            <w:gridSpan w:val="2"/>
            <w:tcMar>
              <w:top w:w="15" w:type="dxa"/>
              <w:left w:w="15" w:type="dxa"/>
              <w:right w:w="15" w:type="dxa"/>
            </w:tcMar>
            <w:vAlign w:val="center"/>
          </w:tcPr>
          <w:p>
            <w:pPr>
              <w:jc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851" w:type="dxa"/>
            <w:gridSpan w:val="2"/>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50"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90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9" w:hRule="atLeast"/>
          <w:jc w:val="center"/>
        </w:trPr>
        <w:tc>
          <w:tcPr>
            <w:tcW w:w="851" w:type="dxa"/>
            <w:gridSpan w:val="2"/>
            <w:vMerge w:val="continue"/>
            <w:tcMar>
              <w:top w:w="15" w:type="dxa"/>
              <w:left w:w="15" w:type="dxa"/>
              <w:right w:w="15" w:type="dxa"/>
            </w:tcMar>
            <w:vAlign w:val="center"/>
          </w:tcPr>
          <w:p>
            <w:pPr>
              <w:jc w:val="center"/>
              <w:rPr>
                <w:rFonts w:ascii="宋体" w:hAnsi="宋体" w:cs="宋体"/>
                <w:color w:val="000000"/>
                <w:sz w:val="24"/>
              </w:rPr>
            </w:pPr>
          </w:p>
        </w:tc>
        <w:tc>
          <w:tcPr>
            <w:tcW w:w="4450"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保证林业行政执法检查、鉴定、调查、取证等费用，严厉打击涉林违法犯罪行为，林业案件结案率达95%以上，确保东区林地安全。</w:t>
            </w:r>
          </w:p>
        </w:tc>
        <w:tc>
          <w:tcPr>
            <w:tcW w:w="490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保证林业行政执法检查、鉴定、调查、取证等费用，严厉打击涉林违法犯罪行为，林业案件结案率达95%以上，确保东区林地安全。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6" w:hRule="atLeast"/>
          <w:jc w:val="center"/>
        </w:trPr>
        <w:tc>
          <w:tcPr>
            <w:tcW w:w="851" w:type="dxa"/>
            <w:gridSpan w:val="2"/>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3" w:hRule="atLeast"/>
          <w:jc w:val="center"/>
        </w:trPr>
        <w:tc>
          <w:tcPr>
            <w:tcW w:w="851" w:type="dxa"/>
            <w:gridSpan w:val="2"/>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林业行政执法检查、鉴定、调查等</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保证林业行政执法检查、鉴定、调查等费用，严厉打击涉林违法犯罪行为。</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保证林业行政执法检查、鉴定、调查等费用，严厉打击涉林违法犯罪行为。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97" w:hRule="atLeast"/>
          <w:jc w:val="center"/>
        </w:trPr>
        <w:tc>
          <w:tcPr>
            <w:tcW w:w="851" w:type="dxa"/>
            <w:gridSpan w:val="2"/>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严厉打击涉林违法犯罪行为</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严厉打击涉林违法犯罪行为，林业案件结案率达95%以上</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实际严厉打击涉林违法犯罪行为，使林业案件结案率达95%以上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9" w:hRule="atLeast"/>
          <w:jc w:val="center"/>
        </w:trPr>
        <w:tc>
          <w:tcPr>
            <w:tcW w:w="851" w:type="dxa"/>
            <w:gridSpan w:val="2"/>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按上级要求和实施方案推进</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24" w:hRule="atLeast"/>
          <w:jc w:val="center"/>
        </w:trPr>
        <w:tc>
          <w:tcPr>
            <w:tcW w:w="851" w:type="dxa"/>
            <w:gridSpan w:val="2"/>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保证林业行政执法检查、鉴定等费用</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保证林业行政执法检查、鉴定等费用控制在21万元</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实际林业行政执法检查、鉴定等费用控制在21万元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851" w:type="dxa"/>
            <w:gridSpan w:val="2"/>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加强森林资源保护，促进神态系统平衡，人与自然节目相处</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确保森林资源安全，改善生态环境</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确保森林资源安全，改善生态环境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11" w:hRule="atLeast"/>
          <w:jc w:val="center"/>
        </w:trPr>
        <w:tc>
          <w:tcPr>
            <w:tcW w:w="851" w:type="dxa"/>
            <w:gridSpan w:val="2"/>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保护辖区森林资源安全，减少森林资源损失</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严厉打击涉林违法犯罪行为，确保辖区森林资源安全</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严厉打击涉林违法犯罪行为，确保辖区森林资源安全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0" w:hRule="atLeast"/>
          <w:jc w:val="center"/>
        </w:trPr>
        <w:tc>
          <w:tcPr>
            <w:tcW w:w="851" w:type="dxa"/>
            <w:gridSpan w:val="2"/>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033"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达到基本满意以上</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4" w:hRule="atLeast"/>
          <w:jc w:val="center"/>
        </w:trPr>
        <w:tc>
          <w:tcPr>
            <w:tcW w:w="10207" w:type="dxa"/>
            <w:gridSpan w:val="11"/>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义务植树经费（森林培育经费）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9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攀枝花市东区林业局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993" w:type="dxa"/>
            <w:gridSpan w:val="3"/>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1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993" w:type="dxa"/>
            <w:gridSpan w:val="3"/>
            <w:vMerge w:val="continue"/>
            <w:tcMar>
              <w:top w:w="15" w:type="dxa"/>
              <w:left w:w="15" w:type="dxa"/>
              <w:right w:w="15" w:type="dxa"/>
            </w:tcMar>
            <w:vAlign w:val="center"/>
          </w:tcPr>
          <w:p>
            <w:pPr>
              <w:jc w:val="center"/>
              <w:rPr>
                <w:rFonts w:ascii="宋体" w:hAnsi="宋体" w:cs="宋体"/>
                <w:color w:val="000000"/>
                <w:sz w:val="24"/>
              </w:rPr>
            </w:pPr>
          </w:p>
        </w:tc>
        <w:tc>
          <w:tcPr>
            <w:tcW w:w="191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8" w:hRule="atLeast"/>
          <w:jc w:val="center"/>
        </w:trPr>
        <w:tc>
          <w:tcPr>
            <w:tcW w:w="993" w:type="dxa"/>
            <w:gridSpan w:val="3"/>
            <w:vMerge w:val="continue"/>
            <w:tcMar>
              <w:top w:w="15" w:type="dxa"/>
              <w:left w:w="15" w:type="dxa"/>
              <w:right w:w="15" w:type="dxa"/>
            </w:tcMar>
            <w:vAlign w:val="center"/>
          </w:tcPr>
          <w:p>
            <w:pPr>
              <w:jc w:val="center"/>
              <w:rPr>
                <w:rFonts w:ascii="宋体" w:hAnsi="宋体" w:cs="宋体"/>
                <w:color w:val="000000"/>
                <w:sz w:val="24"/>
              </w:rPr>
            </w:pPr>
          </w:p>
        </w:tc>
        <w:tc>
          <w:tcPr>
            <w:tcW w:w="191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512" w:type="dxa"/>
            <w:gridSpan w:val="2"/>
            <w:tcMar>
              <w:top w:w="15" w:type="dxa"/>
              <w:left w:w="15" w:type="dxa"/>
              <w:right w:w="15" w:type="dxa"/>
            </w:tcMar>
            <w:vAlign w:val="center"/>
          </w:tcPr>
          <w:p>
            <w:pPr>
              <w:jc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 w:hRule="atLeast"/>
          <w:jc w:val="center"/>
        </w:trPr>
        <w:tc>
          <w:tcPr>
            <w:tcW w:w="993" w:type="dxa"/>
            <w:gridSpan w:val="3"/>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69"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24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9" w:hRule="atLeast"/>
          <w:jc w:val="center"/>
        </w:trPr>
        <w:tc>
          <w:tcPr>
            <w:tcW w:w="993" w:type="dxa"/>
            <w:gridSpan w:val="3"/>
            <w:vMerge w:val="continue"/>
            <w:tcMar>
              <w:top w:w="15" w:type="dxa"/>
              <w:left w:w="15" w:type="dxa"/>
              <w:right w:w="15" w:type="dxa"/>
            </w:tcMar>
            <w:vAlign w:val="center"/>
          </w:tcPr>
          <w:p>
            <w:pPr>
              <w:jc w:val="center"/>
              <w:rPr>
                <w:rFonts w:ascii="宋体" w:hAnsi="宋体" w:cs="宋体"/>
                <w:color w:val="000000"/>
                <w:sz w:val="24"/>
              </w:rPr>
            </w:pPr>
          </w:p>
        </w:tc>
        <w:tc>
          <w:tcPr>
            <w:tcW w:w="3969"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一步增强全民绿化观念，调动社会各界参与生态文明建设的积极性，推动全区生态文明建设和森林质量提升工作，拟于6月组织区级相关部门以及各街道（镇）在全区范围内开展2019年度义务植树活动，营造浓厚植树氛围，提高义务植树尽责率。</w:t>
            </w:r>
          </w:p>
        </w:tc>
        <w:tc>
          <w:tcPr>
            <w:tcW w:w="5245"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一步增强全民绿化观念，调动社会各界参与生态文明建设的积极性，推动全区生态文明建设和森林质量提升工作，拟于6月组织区级相关部门以及各街道（镇）在全区范围内开展2019年度义务植树活动，营造浓厚植树氛围，提高义务植树尽责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9" w:hRule="atLeast"/>
          <w:jc w:val="center"/>
        </w:trPr>
        <w:tc>
          <w:tcPr>
            <w:tcW w:w="993" w:type="dxa"/>
            <w:gridSpan w:val="3"/>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3"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区级集中开展义务植树活动</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区四大班子及区级各部门植树活动，由区绿委办负责统一组织实施</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区四大班子及区级各部门植树活动，由区绿委办负责统一组织实施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97"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营造浓厚植树氛围，提高义务植树尽责率，确保苗木成活率</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选定义务植树地点，制定东区2019年度全民义务植树活动方案、义务植树设计方案</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选定义务植树地点，制定东区2019年度全民义务植树活动方案、义务植树设计方案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按年度工作安排推进</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2019年6-7月</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7"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苗木、肥料、整地、宣传费</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根据实际情况费用控制在15万</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实际费用控制在15万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营造浓厚植树氛围，提高义务植树尽责率</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增强全民绿化观念，调动社会各界参与生态文明建设的积极性，推动全区生态文明建设和森林质量提升工作</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增强全民绿化观念，调动社会各界参与生态文明建设的积极性，推动全区生态文明建设和森林质量提升工作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97"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深入推进大规模绿化全攀工作，全面抓好国土绿化，改善人居环境</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通过街道绿化、乡村花景等方式，达到推动全区生态文明建设和森林质量提升工作</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通过街道绿化、乡村花景等方式，达到推动全区生态文明建设和森林质量提升工作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3"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053"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733"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抽样满意度达到基本满意及以上</w:t>
            </w:r>
          </w:p>
        </w:tc>
        <w:tc>
          <w:tcPr>
            <w:tcW w:w="251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达到基本满意及以上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276" w:hRule="atLeast"/>
          <w:jc w:val="center"/>
        </w:trPr>
        <w:tc>
          <w:tcPr>
            <w:tcW w:w="10087" w:type="dxa"/>
            <w:gridSpan w:val="10"/>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24"/>
              </w:rPr>
            </w:pPr>
            <w:r>
              <w:rPr>
                <w:rFonts w:hint="eastAsia" w:ascii="宋体" w:hAnsi="宋体" w:cs="宋体"/>
                <w:b/>
                <w:bCs/>
                <w:color w:val="000000"/>
                <w:kern w:val="0"/>
                <w:sz w:val="36"/>
                <w:szCs w:val="36"/>
              </w:rPr>
              <w:t>(2019 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野生动植物疫病灾害防控经费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276" w:hRule="atLeast"/>
          <w:jc w:val="center"/>
        </w:trPr>
        <w:tc>
          <w:tcPr>
            <w:tcW w:w="2909" w:type="dxa"/>
            <w:gridSpan w:val="6"/>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攀枝花市东区林业局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276" w:hRule="atLeast"/>
          <w:jc w:val="center"/>
        </w:trPr>
        <w:tc>
          <w:tcPr>
            <w:tcW w:w="993" w:type="dxa"/>
            <w:gridSpan w:val="3"/>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1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4.5</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276" w:hRule="atLeast"/>
          <w:jc w:val="center"/>
        </w:trPr>
        <w:tc>
          <w:tcPr>
            <w:tcW w:w="993" w:type="dxa"/>
            <w:gridSpan w:val="3"/>
            <w:vMerge w:val="continue"/>
            <w:tcMar>
              <w:top w:w="15" w:type="dxa"/>
              <w:left w:w="15" w:type="dxa"/>
              <w:right w:w="15" w:type="dxa"/>
            </w:tcMar>
            <w:vAlign w:val="center"/>
          </w:tcPr>
          <w:p>
            <w:pPr>
              <w:jc w:val="center"/>
              <w:rPr>
                <w:rFonts w:ascii="宋体" w:hAnsi="宋体" w:cs="宋体"/>
                <w:color w:val="000000"/>
                <w:sz w:val="24"/>
              </w:rPr>
            </w:pPr>
          </w:p>
        </w:tc>
        <w:tc>
          <w:tcPr>
            <w:tcW w:w="191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4.5</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338" w:hRule="atLeast"/>
          <w:jc w:val="center"/>
        </w:trPr>
        <w:tc>
          <w:tcPr>
            <w:tcW w:w="993" w:type="dxa"/>
            <w:gridSpan w:val="3"/>
            <w:vMerge w:val="continue"/>
            <w:tcMar>
              <w:top w:w="15" w:type="dxa"/>
              <w:left w:w="15" w:type="dxa"/>
              <w:right w:w="15" w:type="dxa"/>
            </w:tcMar>
            <w:vAlign w:val="center"/>
          </w:tcPr>
          <w:p>
            <w:pPr>
              <w:jc w:val="center"/>
              <w:rPr>
                <w:rFonts w:ascii="宋体" w:hAnsi="宋体" w:cs="宋体"/>
                <w:color w:val="000000"/>
                <w:sz w:val="24"/>
              </w:rPr>
            </w:pPr>
          </w:p>
        </w:tc>
        <w:tc>
          <w:tcPr>
            <w:tcW w:w="1916"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276" w:hRule="atLeast"/>
          <w:jc w:val="center"/>
        </w:trPr>
        <w:tc>
          <w:tcPr>
            <w:tcW w:w="993" w:type="dxa"/>
            <w:gridSpan w:val="3"/>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0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1159" w:hRule="atLeast"/>
          <w:jc w:val="center"/>
        </w:trPr>
        <w:tc>
          <w:tcPr>
            <w:tcW w:w="993" w:type="dxa"/>
            <w:gridSpan w:val="3"/>
            <w:vMerge w:val="continue"/>
            <w:tcMar>
              <w:top w:w="15" w:type="dxa"/>
              <w:left w:w="15" w:type="dxa"/>
              <w:right w:w="15" w:type="dxa"/>
            </w:tcMar>
            <w:vAlign w:val="center"/>
          </w:tcPr>
          <w:p>
            <w:pPr>
              <w:jc w:val="center"/>
              <w:rPr>
                <w:rFonts w:ascii="宋体" w:hAnsi="宋体" w:cs="宋体"/>
                <w:color w:val="000000"/>
                <w:sz w:val="24"/>
              </w:rPr>
            </w:pPr>
          </w:p>
        </w:tc>
        <w:tc>
          <w:tcPr>
            <w:tcW w:w="4308" w:type="dxa"/>
            <w:gridSpan w:val="5"/>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林业有害生物预测预报工作，测报准确率达90%以上，主要林业有害生物成灾率控制在3‰以下；开展松材线虫病春秋季普查，实现松林监测全覆盖。加强产地检疫和疫情监管，防止重大林业有生物疫情入侵和传播扩散；加强陆生野生动物疫源疫病监测防控工作，确保野生动物资源和公共卫生安全。</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开展林业有害生物预测预报工作，测报准确率达90%以上，主要林业有害生物成灾率控制在3‰以下；开展松材线虫病春秋季普查，实现松林监测全覆盖。加强产地检疫和疫情监管，防止重大林业有生物疫情入侵和传播扩散；加强陆生野生动物疫源疫病监测防控工作，确保野生动物资源和公共卫生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806" w:hRule="atLeast"/>
          <w:jc w:val="center"/>
        </w:trPr>
        <w:tc>
          <w:tcPr>
            <w:tcW w:w="993" w:type="dxa"/>
            <w:gridSpan w:val="3"/>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953"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野生动植物疫病灾害防控</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林业局牵头，组织各成员单位开展相关工作</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林业局牵头，已实际组织各成员单位开展相关工作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1297"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开展松材线虫防控、野生动物保护工作</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实现松林监测全覆盖、加强检疫执法检查，加大宣传力度，按照上级要求开展检查工作</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实现松林监测全覆盖、加强检疫执法检查，加大宣传力度，按照上级要求开展检查工作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508"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按上级要求和实施方案推进</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1042"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开展松材线虫防控、野生动物保护等费用</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控制开展松材线虫防控、野生动物保护等费用4.5万元</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实际开展松材线虫防控、野生动物保护等费用4.5万元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893"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保护生态系统平衡，促使人与自然和睦相处</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保护森林资源安全，改善生态环境</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保护森林资源安全，改善生态环境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1297"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保护辖区森林资源安全，减少森林资源经济损失</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通过早发现、早防治等措施，严防重大林业有害生物入侵导致林区受损</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通过早发现、早防治等措施，严防重大林业有害生物入侵导致林区受损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20" w:type="dxa"/>
          <w:trHeight w:val="826" w:hRule="atLeast"/>
          <w:jc w:val="center"/>
        </w:trPr>
        <w:tc>
          <w:tcPr>
            <w:tcW w:w="993" w:type="dxa"/>
            <w:gridSpan w:val="3"/>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891"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达到基本满意以上</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达到基本满意以上</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林业局按要求对2019年部门整体支出绩效评价情况开展自评，《林业局2019年部门整体支出绩效评价报告》见附件（附件1）。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本部门自行组织对“义务植树经费（森林培育经费）” 开展了绩效评价，《义务植树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0" w:name="_Toc15377225"/>
      <w:bookmarkStart w:id="41"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40"/>
      <w:bookmarkEnd w:id="41"/>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9.</w:t>
      </w:r>
      <w:r>
        <w:rPr>
          <w:rFonts w:hint="eastAsia" w:ascii="仿宋_GB2312" w:hAnsi="Arial Unicode MS" w:eastAsia="仿宋_GB2312" w:cs="Arial Unicode MS"/>
        </w:rPr>
        <w:t xml:space="preserve"> </w:t>
      </w:r>
      <w:r>
        <w:rPr>
          <w:rFonts w:hint="eastAsia" w:ascii="仿宋_GB2312" w:hAnsi="Arial Unicode MS" w:eastAsia="仿宋_GB2312" w:cs="Arial Unicode MS"/>
          <w:color w:val="000000"/>
          <w:sz w:val="32"/>
          <w:szCs w:val="32"/>
        </w:rPr>
        <w:t>社会保障和就业支出（类）05（款）04（项）：指未实行归口管理的行政单位（包含实行公务员管理的事业单位）开支的离退休支出。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10. 社会保障和就业支出（类）05（款）05（项）：指机关事业单位实施养老保险制度由单位缴纳的基本养老保险费支出。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11. 社会保障和就业支出（类）05（款）06（项）：指机关事业单位实施养老保险制度由单位实际缴纳的职业年金支出。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w:t>
      </w:r>
      <w:r>
        <w:rPr>
          <w:rFonts w:hint="eastAsia" w:ascii="仿宋_GB2312" w:hAnsi="Arial Unicode MS" w:eastAsia="仿宋_GB2312" w:cs="Arial Unicode MS"/>
        </w:rPr>
        <w:t xml:space="preserve"> </w:t>
      </w:r>
      <w:r>
        <w:rPr>
          <w:rFonts w:hint="eastAsia" w:ascii="仿宋_GB2312" w:hAnsi="Arial Unicode MS" w:eastAsia="仿宋_GB2312" w:cs="Arial Unicode MS"/>
          <w:color w:val="000000"/>
          <w:sz w:val="32"/>
          <w:szCs w:val="32"/>
        </w:rPr>
        <w:t>医疗卫生与计划生育支出（类）11（款）01（项）：指反映财政部门安排的行政单位（包括实行公务员管理的事业单位）基本医疗保险缴费经费，未参加医疗保险的行政单位的公费医疗经费，按国家规定享受离休人员、红军老战士待遇人员的医疗经费。</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13. 医疗卫生与计划生育支出（类）11（款）03（项）：指反映财政部门安排的公务员医疗补助经费。</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14.</w:t>
      </w:r>
      <w:r>
        <w:rPr>
          <w:rFonts w:hint="eastAsia" w:ascii="仿宋_GB2312" w:hAnsi="Arial Unicode MS" w:eastAsia="仿宋_GB2312" w:cs="Arial Unicode MS"/>
        </w:rPr>
        <w:t xml:space="preserve"> </w:t>
      </w:r>
      <w:r>
        <w:rPr>
          <w:rFonts w:hint="eastAsia" w:ascii="仿宋_GB2312" w:hAnsi="Arial Unicode MS" w:eastAsia="仿宋_GB2312" w:cs="Arial Unicode MS"/>
          <w:color w:val="000000"/>
          <w:sz w:val="32"/>
          <w:szCs w:val="32"/>
        </w:rPr>
        <w:t>城乡社区支出（类）08（款）03（项）：指反映城乡国有土地使用权出让收入及对应专项债务收入安排的支出。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15.</w:t>
      </w:r>
      <w:r>
        <w:rPr>
          <w:rFonts w:hint="eastAsia" w:ascii="仿宋_GB2312" w:hAnsi="Arial Unicode MS" w:eastAsia="仿宋_GB2312" w:cs="Arial Unicode MS"/>
        </w:rPr>
        <w:t xml:space="preserve"> </w:t>
      </w:r>
      <w:r>
        <w:rPr>
          <w:rFonts w:hint="eastAsia" w:ascii="仿宋_GB2312" w:hAnsi="Arial Unicode MS" w:eastAsia="仿宋_GB2312" w:cs="Arial Unicode MS"/>
          <w:color w:val="000000"/>
          <w:sz w:val="32"/>
          <w:szCs w:val="32"/>
        </w:rPr>
        <w:t>农林水支出（类）02（款）01（项）：指反映行政单位（包括实行公务员管理的事业单位）的基本支出。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16. 农林水支出（类）02（款）04（项）：指反映事业单位的基本支出，不包括行政单位（含实行公务员管理的事业单位）后勤服务中心等附属事业单位的支出。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17. 农林水支出（类）02（款）05（项）：反映育苗（种）、造林、抚育、退化林修复、义务植树以及生物质能源建设等方面的支出。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18. 农林水支出（类）02（款）07（项）：指反映森林资源核查、监测、评估、经营利用、林地保护等方面的支出。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19. 农林水支出（类）02（款）08（项）：指反映</w:t>
      </w:r>
      <w:r>
        <w:rPr>
          <w:rFonts w:hint="eastAsia" w:ascii="仿宋_GB2312" w:hAnsi="Arial Unicode MS" w:eastAsia="仿宋_GB2312" w:cs="Arial Unicode MS"/>
          <w:color w:val="333333"/>
          <w:sz w:val="32"/>
          <w:szCs w:val="32"/>
          <w:shd w:val="clear" w:color="auto" w:fill="FFFFFF"/>
        </w:rPr>
        <w:t>对森林资源的数量、质量、空间分布及其利用状况进行定期定位的观测分析和评价方面的支出。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20. 农林水支出（类）02（款）09（项）：指反映用于公益林保护和管理等方面的支出。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21. 农林水支出（类）02（款）10（项）：指反映除国家公园外的自然保护区、风景名胜区、自然遗产、地质公园等自然保护地建设、调查、规划、监督、管护、能力提升、生态补偿、生态保护和修复、科研、宣传及管理等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22. 农林水支出（类）02（款）13（项）：指反映执法与监督队伍建设，刑事、行政案件受理、查处和督办，行政许可、复议与诉讼管理等方面的支出。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23. 农林水支出（类）02（款）34（项）：指反映病虫害等有害生物灾害、野生动物疫病灾害等方面的支出。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24. 农林水支出（类）02（款）99（项）：指反映除上述项目以外其他用于林业和草原方面的支出。</w:t>
      </w:r>
    </w:p>
    <w:p>
      <w:pPr>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25.</w:t>
      </w:r>
      <w:r>
        <w:rPr>
          <w:rFonts w:hint="eastAsia" w:ascii="仿宋_GB2312" w:hAnsi="Arial Unicode MS" w:eastAsia="仿宋_GB2312" w:cs="Arial Unicode MS"/>
        </w:rPr>
        <w:t xml:space="preserve"> </w:t>
      </w:r>
      <w:r>
        <w:rPr>
          <w:rFonts w:hint="eastAsia" w:ascii="仿宋_GB2312" w:hAnsi="Arial Unicode MS" w:eastAsia="仿宋_GB2312" w:cs="Arial Unicode MS"/>
          <w:color w:val="000000"/>
          <w:sz w:val="32"/>
          <w:szCs w:val="32"/>
        </w:rPr>
        <w:t>住房保障支出（类）02（款）01（项）：指反映行政事业单位按人力资源和社会保障部、财政部规定的基本工资和津贴补贴以及规定比例为职工缴纳的住房公积金。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（解释本部门决算报表中全部功能分类科目至项级，请参照《</w:t>
      </w:r>
      <w:r>
        <w:rPr>
          <w:rFonts w:ascii="仿宋" w:hAnsi="仿宋" w:eastAsia="仿宋"/>
          <w:color w:val="000000"/>
          <w:sz w:val="32"/>
          <w:szCs w:val="32"/>
        </w:rPr>
        <w:t>201</w:t>
      </w:r>
      <w:r>
        <w:rPr>
          <w:rFonts w:hint="eastAsia" w:ascii="仿宋" w:hAnsi="仿宋" w:eastAsia="仿宋"/>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sz w:val="32"/>
          <w:szCs w:val="32"/>
        </w:rPr>
      </w:pP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42" w:name="_Toc15377226"/>
      <w:r>
        <w:rPr>
          <w:rFonts w:ascii="宋体"/>
          <w:b/>
          <w:color w:val="000000"/>
          <w:sz w:val="44"/>
          <w:szCs w:val="44"/>
        </w:rPr>
        <w:br w:type="page"/>
      </w:r>
      <w:bookmarkStart w:id="43"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43"/>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林业局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spacing w:line="560" w:lineRule="exact"/>
        <w:ind w:firstLine="1120" w:firstLineChars="350"/>
        <w:rPr>
          <w:rFonts w:ascii="仿宋_GB2312" w:hAnsi="Arial Unicode MS" w:eastAsia="仿宋_GB2312" w:cs="Arial Unicode MS"/>
          <w:color w:val="000000"/>
          <w:kern w:val="0"/>
          <w:sz w:val="32"/>
          <w:szCs w:val="32"/>
        </w:rPr>
      </w:pPr>
      <w:r>
        <w:rPr>
          <w:rFonts w:hint="eastAsia" w:ascii="仿宋_GB2312" w:hAnsi="Arial Unicode MS" w:eastAsia="仿宋_GB2312" w:cs="Arial Unicode MS"/>
          <w:color w:val="000000"/>
          <w:kern w:val="0"/>
          <w:sz w:val="32"/>
          <w:szCs w:val="32"/>
        </w:rPr>
        <w:t>我单位是一级预算行政单位，无下属机构。</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宋体" w:eastAsia="仿宋_GB2312" w:cs="宋体"/>
          <w:color w:val="000000"/>
          <w:kern w:val="0"/>
          <w:sz w:val="32"/>
          <w:szCs w:val="32"/>
          <w:shd w:val="clear" w:color="auto" w:fill="FFFFFF"/>
          <w:lang w:val="zh-CN"/>
        </w:rPr>
        <w:t xml:space="preserve">    </w:t>
      </w:r>
      <w:r>
        <w:rPr>
          <w:rFonts w:hint="eastAsia" w:ascii="仿宋_GB2312" w:hAnsi="Arial Unicode MS" w:eastAsia="仿宋_GB2312" w:cs="Arial Unicode MS"/>
          <w:color w:val="333333"/>
          <w:sz w:val="32"/>
          <w:szCs w:val="32"/>
        </w:rPr>
        <w:t>(1)负责全区林业及生态建设的监督管理。贯彻执行国家和省、市有关林业的方针、政策和法律、法规，制定相应的实施意见并组织实施，完善林业政策和管理制度。拟订全区林业发展及生态建设中长期规划，监督检查规划的实施完成情况。组织开展全区森林资源、陆生野生动植物资源和荒漠的调查、动态监测和评估。承担林业生态文明建设的有关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(2)组织、协调、指导和监督全区绿化和造林工作。拟订全区绿化和造林规划、年度指导性计划并组织实施，指导各类公益林和商品林的培育，指导植树造林、封山育林和以植树种草等生物措施防治水土流失工作，组织、指导全民义务植树、造林绿化工作，监督检查各项造林绿化项目、计划的实施完成情况。编制我区森林城市建设规划和方案，组织、指导、协调和监督规划、方案的实施，统筹规划城乡绿化一体化建设。负责全区种苗管理。承担区绿化委员会和区退耕还林领导小组的日常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(3)承担全区森林资源保护发展和监督管理的职责。贯彻执行国家和省、市关于森林采伐限额和林地保护利用规划，监督执行森林采伐限额，监督管理林木、竹林的凭证采伐、运输和经营加工。组织全区森林资源调查、动态监测和统计。指导监督林地和林权管理，组织实施林权登记、发证工作，依法承担林地征用、占用的初审工作及权限范围内的临时征用、占用林地的审批工作；加强对林区的森林资源管理。承担区天然林资源保护工程领导小组的日常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(4)组织、协调、指导和监督全区林地荒漠化防治工作。贯彻执行国家和省、市有关防沙治沙、石漠化防治及沙化土地封禁保护区建设规划及其标准和规定。</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(5)宣传贯彻陆生野生动植物保护、管理的有关政策、法规；组织、指导全区陆生野生动植物的保护和合理开发利用。依法开展陆生野生动植物的救护繁育、栖息地恢复发展、疫源疫病监测，监督管理全区陆生野生动植物猎捕或采集、驯养繁殖或培植、经营利用，监督管理野生动植物进出口。承担国家、省保护的陆生野生动物、珍稀树种、珍稀野生植物及其产品的初审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(6)承担推进全区林业改革，依法维护农民和其他经营者经营林业合法权益的责任。贯彻执行国家、省、市有关集体林权制度、重点国有林区等重大林业改革意见和政策，拟订全区重大林业改革的相关实施意见并指导监督实施。贯彻执行国家、省、市推进农村林业发展、维护农民和其他经营者经营林业合法权益的政策措施，指导监督农村林地承包经营和林权流转，指导林权纠纷调处和林地承包合同纠纷仲裁。</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(7)监督检查全区各产业对森林、荒漠和陆生野生动植物资源的开发利用。贯彻执行国家和省、市有关林业资源优化配置政策及其产业标准，拟订全区林业产业发展规化并监督实施，组织指导林产品质量监督。指导全区林业综合开发。</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(8)负责组织、协调、指导和监督全区森林防火工作。组织、指导、监督全区林业有害生物的防治、检疫工作，负责林业行政案件的查处和林业执法体系建设；协调森林公安工作。</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(9)负责指导、协调全区林业经济工作。贯彻执行国家、省、市、区有关林业及其生态建设的财政、金融、价格、贸易等经济调节政策，贯彻执行林业及其生态建设补偿制度。提出区级林业专项资金的预算建议，管理监督国家、省、市、区级林业专项资金，负责全区林业固定资产投资规模和方向，提出区财政资金的安排意见，编制全区林业及其生态建设、产业发展、重点工程发展规划、计划并监督实施。</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(10)负责全区林业及其生态建设的科技、宣传、教育、培训工作，加强生态文化建设。</w:t>
      </w:r>
    </w:p>
    <w:p>
      <w:pPr>
        <w:spacing w:line="560" w:lineRule="exact"/>
        <w:ind w:firstLine="640" w:firstLineChars="200"/>
        <w:rPr>
          <w:rFonts w:ascii="仿宋_GB2312" w:hAnsi="Arial Unicode MS" w:eastAsia="仿宋_GB2312" w:cs="Arial Unicode MS"/>
          <w:color w:val="333333"/>
          <w:sz w:val="32"/>
          <w:szCs w:val="32"/>
        </w:rPr>
      </w:pPr>
      <w:r>
        <w:rPr>
          <w:rFonts w:hint="eastAsia" w:ascii="仿宋_GB2312" w:hAnsi="Arial Unicode MS" w:eastAsia="仿宋_GB2312" w:cs="Arial Unicode MS"/>
          <w:color w:val="333333"/>
          <w:sz w:val="32"/>
          <w:szCs w:val="32"/>
        </w:rPr>
        <w:t>(11)承担权限内行政审批事项。</w:t>
      </w:r>
    </w:p>
    <w:p>
      <w:pPr>
        <w:spacing w:line="560" w:lineRule="exact"/>
        <w:ind w:firstLine="640" w:firstLineChars="200"/>
        <w:rPr>
          <w:rFonts w:ascii="Arial Unicode MS" w:hAnsi="Arial Unicode MS" w:eastAsia="Arial Unicode MS" w:cs="Arial Unicode MS"/>
          <w:color w:val="333333"/>
          <w:sz w:val="32"/>
          <w:szCs w:val="32"/>
        </w:rPr>
      </w:pPr>
      <w:r>
        <w:rPr>
          <w:rFonts w:hint="eastAsia" w:ascii="仿宋_GB2312" w:hAnsi="Arial Unicode MS" w:eastAsia="仿宋_GB2312" w:cs="Arial Unicode MS"/>
          <w:color w:val="333333"/>
          <w:sz w:val="32"/>
          <w:szCs w:val="32"/>
        </w:rPr>
        <w:t>(12)承办区政府交办的其他事项</w:t>
      </w:r>
      <w:r>
        <w:rPr>
          <w:rFonts w:hint="eastAsia" w:ascii="Arial Unicode MS" w:hAnsi="Arial Unicode MS" w:eastAsia="Arial Unicode MS" w:cs="Arial Unicode MS"/>
          <w:color w:val="333333"/>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snapToGrid w:val="0"/>
        <w:spacing w:line="560" w:lineRule="exact"/>
        <w:ind w:firstLine="640" w:firstLineChars="200"/>
        <w:rPr>
          <w:rFonts w:ascii="仿宋_GB2312" w:hAnsi="Arial Unicode MS" w:eastAsia="仿宋_GB2312" w:cs="Arial Unicode MS"/>
          <w:sz w:val="32"/>
          <w:szCs w:val="32"/>
        </w:rPr>
      </w:pPr>
      <w:r>
        <w:rPr>
          <w:rFonts w:hint="eastAsia" w:ascii="仿宋_GB2312" w:hAnsi="宋体" w:eastAsia="仿宋_GB2312" w:cs="宋体"/>
          <w:color w:val="000000"/>
          <w:kern w:val="0"/>
          <w:sz w:val="32"/>
          <w:szCs w:val="32"/>
          <w:shd w:val="clear" w:color="auto" w:fill="FFFFFF"/>
          <w:lang w:val="zh-CN"/>
        </w:rPr>
        <w:t xml:space="preserve">    </w:t>
      </w:r>
      <w:r>
        <w:rPr>
          <w:rFonts w:hint="eastAsia" w:ascii="仿宋_GB2312" w:hAnsi="Arial Unicode MS" w:eastAsia="仿宋_GB2312" w:cs="Arial Unicode MS"/>
          <w:sz w:val="32"/>
          <w:szCs w:val="32"/>
        </w:rPr>
        <w:t>我单位人员</w:t>
      </w:r>
      <w:r>
        <w:rPr>
          <w:rFonts w:hint="eastAsia" w:ascii="仿宋_GB2312" w:hAnsi="Arial Unicode MS" w:eastAsia="仿宋_GB2312" w:cs="Arial Unicode MS"/>
          <w:snapToGrid w:val="0"/>
          <w:spacing w:val="-6"/>
          <w:kern w:val="0"/>
          <w:sz w:val="32"/>
          <w:szCs w:val="32"/>
        </w:rPr>
        <w:t>编制23名；实有职工20名，其中在职职工20名</w:t>
      </w:r>
      <w:r>
        <w:rPr>
          <w:rFonts w:hint="eastAsia" w:ascii="仿宋_GB2312" w:hAnsi="Arial Unicode MS" w:eastAsia="仿宋_GB2312" w:cs="Arial Unicode MS"/>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 xml:space="preserve">财政拨款收入830.96万元，其中一般性财政拨款收入527.37万元；政府性基金财政拨款收入302.73万元。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财政拨款支出687.22万元。基本支出345.43万元，其中工资福利支出305.23万元，日常公用支出33.21万元，对个人和家庭的补助支出6.13万元，项目支出341.79万元，其中城乡社区支出0.43万元，农林水支出305.69万元。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ind w:firstLine="600" w:firstLineChars="200"/>
        <w:rPr>
          <w:rFonts w:ascii="仿宋_GB2312" w:hAnsi="Arial Unicode MS" w:eastAsia="仿宋_GB2312" w:cs="Arial Unicode MS"/>
          <w:sz w:val="30"/>
          <w:szCs w:val="30"/>
        </w:rPr>
      </w:pPr>
      <w:r>
        <w:rPr>
          <w:rFonts w:hint="eastAsia" w:ascii="仿宋_GB2312" w:hAnsi="Arial Unicode MS" w:eastAsia="仿宋_GB2312" w:cs="Arial Unicode MS"/>
          <w:sz w:val="30"/>
          <w:szCs w:val="30"/>
        </w:rPr>
        <w:t>2019年财政拨款收入830.96万元，其中一般性财政拨款收入527.37万元，政府性基金收入302.73万元。财政支出687.22万元，其中基本支出345.43万元，其中工资福利支出305.23万元，日常公用支出33.21万元，对个人和家庭的补助支出6.13万元。项目支出341.79万元，其中城乡社区支出0.43万元，其农林水支出支出305.69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ind w:firstLine="600" w:firstLineChars="200"/>
        <w:rPr>
          <w:rFonts w:ascii="仿宋_GB2312" w:hAnsi="Arial Unicode MS" w:eastAsia="仿宋_GB2312" w:cs="Arial Unicode MS"/>
          <w:sz w:val="30"/>
          <w:szCs w:val="30"/>
        </w:rPr>
      </w:pPr>
      <w:r>
        <w:rPr>
          <w:rFonts w:hint="eastAsia" w:ascii="仿宋_GB2312" w:hAnsi="Arial Unicode MS" w:eastAsia="仿宋_GB2312" w:cs="Arial Unicode MS"/>
          <w:sz w:val="30"/>
          <w:szCs w:val="30"/>
        </w:rPr>
        <w:t>2019年人员支出311.36万元，公用支出33.21万元，项目支出341.79万元。</w:t>
      </w:r>
    </w:p>
    <w:p>
      <w:pPr>
        <w:ind w:firstLine="600" w:firstLineChars="200"/>
        <w:rPr>
          <w:rFonts w:ascii="仿宋_GB2312" w:hAnsi="Arial Unicode MS" w:eastAsia="仿宋_GB2312" w:cs="Arial Unicode MS"/>
          <w:sz w:val="30"/>
          <w:szCs w:val="30"/>
        </w:rPr>
      </w:pPr>
      <w:r>
        <w:rPr>
          <w:rFonts w:hint="eastAsia" w:ascii="仿宋_GB2312" w:hAnsi="Arial Unicode MS" w:eastAsia="仿宋_GB2312" w:cs="Arial Unicode MS"/>
          <w:sz w:val="30"/>
          <w:szCs w:val="30"/>
        </w:rPr>
        <w:t>2019年“三公”经费财政拨款数7.27万元，其中：因公出国（境）经费0万元，公务接待费0.77万元，公务用车购置及运行维护费6.5万元（公务用车购置费0万元，公务用车运行维护费6.5万元）。</w:t>
      </w:r>
    </w:p>
    <w:p>
      <w:pPr>
        <w:ind w:firstLine="600" w:firstLineChars="200"/>
        <w:rPr>
          <w:rFonts w:ascii="仿宋_GB2312" w:hAnsi="Arial Unicode MS" w:eastAsia="仿宋_GB2312" w:cs="Arial Unicode MS"/>
          <w:sz w:val="30"/>
          <w:szCs w:val="30"/>
        </w:rPr>
      </w:pPr>
      <w:r>
        <w:rPr>
          <w:rFonts w:hint="eastAsia" w:ascii="仿宋_GB2312" w:hAnsi="Arial Unicode MS" w:eastAsia="仿宋_GB2312" w:cs="Arial Unicode MS"/>
          <w:sz w:val="30"/>
          <w:szCs w:val="30"/>
        </w:rPr>
        <w:t>因公出国（境）经费：2019无出国（境）经费预算，与2018年预算基本持平。</w:t>
      </w:r>
    </w:p>
    <w:p>
      <w:pPr>
        <w:ind w:firstLine="600" w:firstLineChars="200"/>
        <w:rPr>
          <w:rFonts w:ascii="仿宋_GB2312" w:hAnsi="Arial Unicode MS" w:eastAsia="仿宋_GB2312" w:cs="Arial Unicode MS"/>
          <w:sz w:val="30"/>
          <w:szCs w:val="30"/>
        </w:rPr>
      </w:pPr>
      <w:r>
        <w:rPr>
          <w:rFonts w:hint="eastAsia" w:ascii="仿宋_GB2312" w:hAnsi="Arial Unicode MS" w:eastAsia="仿宋_GB2312" w:cs="Arial Unicode MS"/>
          <w:sz w:val="30"/>
          <w:szCs w:val="30"/>
        </w:rPr>
        <w:t>公务接待费：2019年安排公务接待费7.27万元，与2017年预算基本持平。</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结合本单位实际情况按财经要求建立健全了财务管理制度、约束机制及监督机制，依法、有效地利用财政资金，提高财政资金使用效率，合理分配人、财、物，完成了部门职能目标，实现了较高的工作效率和支出绩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1.基本支出经费保障水平偏低。预算执行基本围绕保障人员经费、保障正常运转进行。从决算情况看，基本支出比重比较大。</w:t>
      </w:r>
    </w:p>
    <w:p>
      <w:pPr>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2.资产管理资料更新速度较慢。虽然按照财政对资产管理的要求，对各项资产都进行了登记及建立台账，但仍存在更新滞后的情况。</w:t>
      </w:r>
    </w:p>
    <w:p>
      <w:pPr>
        <w:ind w:firstLine="640" w:firstLineChars="200"/>
        <w:rPr>
          <w:rFonts w:ascii="仿宋_GB2312" w:hAnsi="Arial Unicode MS" w:eastAsia="仿宋_GB2312" w:cs="Arial Unicode MS"/>
          <w:szCs w:val="32"/>
        </w:rPr>
      </w:pPr>
      <w:r>
        <w:rPr>
          <w:rFonts w:hint="eastAsia" w:ascii="仿宋_GB2312" w:hAnsi="Arial Unicode MS" w:eastAsia="仿宋_GB2312" w:cs="Arial Unicode MS"/>
          <w:sz w:val="32"/>
          <w:szCs w:val="32"/>
        </w:rPr>
        <w:t>3.财务人员业务水平仍需提高，需加强对财务业务知识的培训。</w:t>
      </w:r>
    </w:p>
    <w:p>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1.加强预算编制工作，认真做好预算的编制。</w:t>
      </w:r>
    </w:p>
    <w:p>
      <w:pPr>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2.提升财务管理，加强财务审核。</w:t>
      </w:r>
    </w:p>
    <w:p>
      <w:pPr>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3.完善资产管理，抓好“三公”经费控制。</w:t>
      </w:r>
    </w:p>
    <w:p>
      <w:pPr>
        <w:ind w:firstLine="420" w:firstLineChars="200"/>
        <w:rPr>
          <w:rFonts w:ascii="仿宋_GB2312" w:hAnsi="Arial Unicode MS" w:eastAsia="仿宋_GB2312" w:cs="Arial Unicode MS"/>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Fonts w:ascii="黑体" w:hAnsi="黑体" w:eastAsia="黑体" w:cs="黑体"/>
          <w:sz w:val="32"/>
          <w:szCs w:val="32"/>
        </w:rPr>
      </w:pPr>
      <w:r>
        <w:rPr>
          <w:rFonts w:ascii="黑体" w:hAnsi="黑体" w:eastAsia="黑体" w:cs="黑体"/>
          <w:sz w:val="32"/>
          <w:szCs w:val="32"/>
        </w:rPr>
        <w:br w:type="page"/>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2019年东区林业局义务植树项目支出</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一、评价工作开展及项目情况</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为了保障我区义务植树活动正常开展，年初，本部门预算编制预算义务植树经费15万元，用于义务植树宣传费、工具准备、人工费、苗木费等。</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二、评价结论及绩效分析</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（一）评价结论</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2019年义务植树专项经费使用资金15万元，完成预算100%，并全面完成绩效目标任务，全面提升全民绿化意识，调动社会各界参与生态文明建设的积极性。</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（二）绩效分析</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1、项目决策</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组织“6.29”义务植树活动，创森成果巩固及大规模绿化全区工作。管护好以往年度植树成果，及时进行补植。包括义务植树宣传费、工具准备、人工费、苗木费等。</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2、项目管理</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2019年义务植树专项经费使用资金15万元。资金按照预算安排，合理科学的用于义务植树宣传费、工具准备、人工费、苗木费等支出，资金支付程序规范严谨透明。</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3、项目绩效</w:t>
      </w:r>
    </w:p>
    <w:p>
      <w:pPr>
        <w:spacing w:line="58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sz w:val="32"/>
          <w:szCs w:val="32"/>
        </w:rPr>
        <w:t>完成“6.29”集中义务植树活动，</w:t>
      </w:r>
      <w:r>
        <w:rPr>
          <w:rFonts w:hint="eastAsia" w:ascii="仿宋_GB2312" w:hAnsi="Arial Unicode MS" w:eastAsia="仿宋_GB2312" w:cs="Arial Unicode MS"/>
          <w:color w:val="000000"/>
          <w:sz w:val="32"/>
          <w:szCs w:val="32"/>
        </w:rPr>
        <w:t>栽植羊蹄甲、红枫、三角梅、爬山虎、炮仗花、黑荆树等植物3万余株。</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项目社会效益指标完成：增强全民绿化观念，调动社会各界参与生态文明建设的积极性，营造浓厚植树氛围，提高义务植树尽责率；</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项目生态效益指标完成：深入推进大规模绿化全攀工作，全面抓好国土绿化，改善人居环境。通过街道绿化、堡坎披彩、乡村花景打造等方式，采取植树增绿、植花添彩的形式开展，达到推动全区生态文明建设和森林质量提升工作。</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满意度指标完成：主管部门和群众满意度达到基本满意以上。</w:t>
      </w:r>
    </w:p>
    <w:p>
      <w:pPr>
        <w:spacing w:line="58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项目实施过程中秉着公平、公正、资金使用规范、透明的原则。资金使用效率较好、受益群体满意度较高。</w:t>
      </w:r>
    </w:p>
    <w:p>
      <w:pPr>
        <w:spacing w:line="600" w:lineRule="exact"/>
        <w:jc w:val="center"/>
        <w:outlineLvl w:val="0"/>
        <w:rPr>
          <w:rFonts w:ascii="Arial Unicode MS" w:hAnsi="Arial Unicode MS" w:eastAsia="Arial Unicode MS" w:cs="Arial Unicode MS"/>
          <w:color w:val="000000"/>
          <w:sz w:val="44"/>
          <w:szCs w:val="44"/>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44"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42"/>
      <w:bookmarkEnd w:id="44"/>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45"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45"/>
    </w:p>
    <w:p>
      <w:pPr>
        <w:pStyle w:val="3"/>
        <w:rPr>
          <w:rFonts w:ascii="仿宋" w:hAnsi="仿宋" w:eastAsia="仿宋"/>
          <w:color w:val="000000"/>
        </w:rPr>
      </w:pPr>
      <w:bookmarkStart w:id="46"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46"/>
    </w:p>
    <w:p>
      <w:pPr>
        <w:pStyle w:val="3"/>
        <w:rPr>
          <w:rFonts w:ascii="仿宋" w:hAnsi="仿宋" w:eastAsia="仿宋"/>
          <w:color w:val="000000"/>
        </w:rPr>
      </w:pPr>
      <w:bookmarkStart w:id="47"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47"/>
    </w:p>
    <w:p>
      <w:pPr>
        <w:pStyle w:val="3"/>
        <w:rPr>
          <w:rFonts w:ascii="仿宋" w:hAnsi="仿宋" w:eastAsia="仿宋"/>
          <w:b w:val="0"/>
          <w:color w:val="000000"/>
        </w:rPr>
      </w:pPr>
      <w:bookmarkStart w:id="48"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48"/>
    </w:p>
    <w:p>
      <w:pPr>
        <w:pStyle w:val="3"/>
        <w:rPr>
          <w:rStyle w:val="26"/>
          <w:rFonts w:ascii="仿宋" w:hAnsi="仿宋" w:eastAsia="仿宋"/>
          <w:b w:val="0"/>
          <w:bCs w:val="0"/>
        </w:rPr>
      </w:pPr>
      <w:bookmarkStart w:id="49"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49"/>
      <w:bookmarkStart w:id="50"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50"/>
    </w:p>
    <w:p>
      <w:pPr>
        <w:pStyle w:val="3"/>
        <w:rPr>
          <w:rFonts w:ascii="仿宋" w:hAnsi="仿宋" w:eastAsia="仿宋"/>
          <w:color w:val="000000"/>
        </w:rPr>
      </w:pPr>
      <w:bookmarkStart w:id="51"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51"/>
    </w:p>
    <w:p>
      <w:pPr>
        <w:pStyle w:val="3"/>
        <w:rPr>
          <w:rFonts w:ascii="仿宋" w:hAnsi="仿宋" w:eastAsia="仿宋"/>
          <w:color w:val="000000"/>
        </w:rPr>
      </w:pPr>
      <w:bookmarkStart w:id="52"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52"/>
    </w:p>
    <w:p>
      <w:pPr>
        <w:pStyle w:val="3"/>
        <w:rPr>
          <w:rFonts w:ascii="仿宋" w:hAnsi="仿宋" w:eastAsia="仿宋"/>
          <w:color w:val="000000"/>
        </w:rPr>
      </w:pPr>
      <w:bookmarkStart w:id="53"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53"/>
    </w:p>
    <w:p>
      <w:pPr>
        <w:pStyle w:val="3"/>
        <w:rPr>
          <w:rFonts w:ascii="仿宋" w:hAnsi="仿宋" w:eastAsia="仿宋"/>
          <w:color w:val="000000"/>
        </w:rPr>
      </w:pPr>
      <w:bookmarkStart w:id="54"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54"/>
    </w:p>
    <w:p>
      <w:pPr>
        <w:pStyle w:val="3"/>
        <w:rPr>
          <w:rFonts w:ascii="仿宋" w:hAnsi="仿宋" w:eastAsia="仿宋"/>
          <w:color w:val="000000"/>
        </w:rPr>
      </w:pPr>
      <w:bookmarkStart w:id="55"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55"/>
    </w:p>
    <w:p>
      <w:pPr>
        <w:pStyle w:val="3"/>
        <w:rPr>
          <w:rFonts w:ascii="仿宋" w:hAnsi="仿宋" w:eastAsia="仿宋"/>
          <w:color w:val="000000"/>
        </w:rPr>
      </w:pPr>
      <w:bookmarkStart w:id="56"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56"/>
    </w:p>
    <w:p>
      <w:pPr>
        <w:pStyle w:val="3"/>
        <w:rPr>
          <w:rFonts w:ascii="仿宋" w:hAnsi="仿宋" w:eastAsia="仿宋"/>
          <w:color w:val="000000" w:themeColor="text1"/>
        </w:rPr>
      </w:pPr>
      <w:bookmarkStart w:id="57"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57"/>
    </w:p>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592432"/>
    </w:sdtPr>
    <w:sdtContent>
      <w:p>
        <w:pPr>
          <w:pStyle w:val="8"/>
          <w:jc w:val="center"/>
        </w:pPr>
        <w:r>
          <w:fldChar w:fldCharType="begin"/>
        </w:r>
        <w:r>
          <w:instrText xml:space="preserve">PAGE   \* MERGEFORMAT</w:instrText>
        </w:r>
        <w:r>
          <w:fldChar w:fldCharType="separate"/>
        </w:r>
        <w:r>
          <w:rPr>
            <w:lang w:val="zh-CN"/>
          </w:rPr>
          <w:t>41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hNzMxOTdmOTE5ODM1YWIyZTEyNmE5OTM2ZmMzMWMifQ=="/>
  </w:docVars>
  <w:rsids>
    <w:rsidRoot w:val="00F1361C"/>
    <w:rsid w:val="000077B6"/>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4330"/>
    <w:rsid w:val="000D1267"/>
    <w:rsid w:val="000D1D50"/>
    <w:rsid w:val="000D5782"/>
    <w:rsid w:val="000E6613"/>
    <w:rsid w:val="000E7119"/>
    <w:rsid w:val="00114E9B"/>
    <w:rsid w:val="00142216"/>
    <w:rsid w:val="00144D6A"/>
    <w:rsid w:val="0014729F"/>
    <w:rsid w:val="00157BAB"/>
    <w:rsid w:val="001654D1"/>
    <w:rsid w:val="00174518"/>
    <w:rsid w:val="0018106D"/>
    <w:rsid w:val="001849CC"/>
    <w:rsid w:val="001877A7"/>
    <w:rsid w:val="00191536"/>
    <w:rsid w:val="00196687"/>
    <w:rsid w:val="001C0962"/>
    <w:rsid w:val="001D603F"/>
    <w:rsid w:val="001D7531"/>
    <w:rsid w:val="001E737D"/>
    <w:rsid w:val="001F0592"/>
    <w:rsid w:val="001F7506"/>
    <w:rsid w:val="002006CD"/>
    <w:rsid w:val="00202B36"/>
    <w:rsid w:val="00204B7A"/>
    <w:rsid w:val="00204CDE"/>
    <w:rsid w:val="0021101A"/>
    <w:rsid w:val="00220536"/>
    <w:rsid w:val="00235629"/>
    <w:rsid w:val="00240A48"/>
    <w:rsid w:val="0025133F"/>
    <w:rsid w:val="00260C38"/>
    <w:rsid w:val="002616C0"/>
    <w:rsid w:val="00265372"/>
    <w:rsid w:val="002662AA"/>
    <w:rsid w:val="00280496"/>
    <w:rsid w:val="00294DC9"/>
    <w:rsid w:val="00295495"/>
    <w:rsid w:val="002A31DE"/>
    <w:rsid w:val="002A4E11"/>
    <w:rsid w:val="002B2613"/>
    <w:rsid w:val="002D19B0"/>
    <w:rsid w:val="002D6D05"/>
    <w:rsid w:val="002F1818"/>
    <w:rsid w:val="002F567B"/>
    <w:rsid w:val="003216A9"/>
    <w:rsid w:val="00335A74"/>
    <w:rsid w:val="00355D0E"/>
    <w:rsid w:val="0036561B"/>
    <w:rsid w:val="0037013F"/>
    <w:rsid w:val="00375DAF"/>
    <w:rsid w:val="00380C92"/>
    <w:rsid w:val="003A484F"/>
    <w:rsid w:val="003A4883"/>
    <w:rsid w:val="003B0107"/>
    <w:rsid w:val="003B0BE0"/>
    <w:rsid w:val="003B0C1B"/>
    <w:rsid w:val="003B688C"/>
    <w:rsid w:val="003C0291"/>
    <w:rsid w:val="003C39AE"/>
    <w:rsid w:val="003C7B60"/>
    <w:rsid w:val="003D0C0F"/>
    <w:rsid w:val="003D1FB2"/>
    <w:rsid w:val="003D66DA"/>
    <w:rsid w:val="003E1310"/>
    <w:rsid w:val="003E6F55"/>
    <w:rsid w:val="00402843"/>
    <w:rsid w:val="00406254"/>
    <w:rsid w:val="00416CD4"/>
    <w:rsid w:val="004223DE"/>
    <w:rsid w:val="00434489"/>
    <w:rsid w:val="00437085"/>
    <w:rsid w:val="00443880"/>
    <w:rsid w:val="004464F4"/>
    <w:rsid w:val="00471401"/>
    <w:rsid w:val="00473F31"/>
    <w:rsid w:val="0048263A"/>
    <w:rsid w:val="00487E5D"/>
    <w:rsid w:val="004A711F"/>
    <w:rsid w:val="004A7C2E"/>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0EBC"/>
    <w:rsid w:val="005C6BD0"/>
    <w:rsid w:val="005C6C4C"/>
    <w:rsid w:val="005D182F"/>
    <w:rsid w:val="005D1C8B"/>
    <w:rsid w:val="005D468D"/>
    <w:rsid w:val="005D5CED"/>
    <w:rsid w:val="005F1A4C"/>
    <w:rsid w:val="00605688"/>
    <w:rsid w:val="006070AF"/>
    <w:rsid w:val="00607E6C"/>
    <w:rsid w:val="006101B1"/>
    <w:rsid w:val="00614E44"/>
    <w:rsid w:val="00616CB7"/>
    <w:rsid w:val="0062270A"/>
    <w:rsid w:val="00622830"/>
    <w:rsid w:val="00623DA0"/>
    <w:rsid w:val="00630AEF"/>
    <w:rsid w:val="006325F8"/>
    <w:rsid w:val="00633463"/>
    <w:rsid w:val="00634C9A"/>
    <w:rsid w:val="006440E4"/>
    <w:rsid w:val="0066343B"/>
    <w:rsid w:val="00664777"/>
    <w:rsid w:val="006748A4"/>
    <w:rsid w:val="00680F3B"/>
    <w:rsid w:val="00681A31"/>
    <w:rsid w:val="00683E73"/>
    <w:rsid w:val="006A3141"/>
    <w:rsid w:val="006A5E34"/>
    <w:rsid w:val="006B2422"/>
    <w:rsid w:val="006B2B9A"/>
    <w:rsid w:val="006B724D"/>
    <w:rsid w:val="006C1937"/>
    <w:rsid w:val="006C362E"/>
    <w:rsid w:val="006F020C"/>
    <w:rsid w:val="007127B7"/>
    <w:rsid w:val="0071798E"/>
    <w:rsid w:val="00724B83"/>
    <w:rsid w:val="00727533"/>
    <w:rsid w:val="007416B6"/>
    <w:rsid w:val="00746F48"/>
    <w:rsid w:val="0075105A"/>
    <w:rsid w:val="0075404D"/>
    <w:rsid w:val="0076182A"/>
    <w:rsid w:val="00767B7E"/>
    <w:rsid w:val="007770C3"/>
    <w:rsid w:val="00784D24"/>
    <w:rsid w:val="00785FBA"/>
    <w:rsid w:val="00786E4A"/>
    <w:rsid w:val="007875EB"/>
    <w:rsid w:val="0079426B"/>
    <w:rsid w:val="00795A48"/>
    <w:rsid w:val="007D1682"/>
    <w:rsid w:val="007D312A"/>
    <w:rsid w:val="007D3F19"/>
    <w:rsid w:val="007E20C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23EA"/>
    <w:rsid w:val="00954C49"/>
    <w:rsid w:val="00955E37"/>
    <w:rsid w:val="00956599"/>
    <w:rsid w:val="0097099F"/>
    <w:rsid w:val="00971997"/>
    <w:rsid w:val="00971FFC"/>
    <w:rsid w:val="0098660A"/>
    <w:rsid w:val="009931C3"/>
    <w:rsid w:val="009A287E"/>
    <w:rsid w:val="009B2C43"/>
    <w:rsid w:val="009B4EAE"/>
    <w:rsid w:val="009B65EF"/>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2CC0"/>
    <w:rsid w:val="00A237D8"/>
    <w:rsid w:val="00A268C4"/>
    <w:rsid w:val="00A307CD"/>
    <w:rsid w:val="00A331C8"/>
    <w:rsid w:val="00A35117"/>
    <w:rsid w:val="00A40A00"/>
    <w:rsid w:val="00A4142F"/>
    <w:rsid w:val="00A422EB"/>
    <w:rsid w:val="00A45BB7"/>
    <w:rsid w:val="00A467DB"/>
    <w:rsid w:val="00A56DF2"/>
    <w:rsid w:val="00A56E6E"/>
    <w:rsid w:val="00A67AB5"/>
    <w:rsid w:val="00A733B2"/>
    <w:rsid w:val="00A741C2"/>
    <w:rsid w:val="00A91760"/>
    <w:rsid w:val="00A93B00"/>
    <w:rsid w:val="00A93C21"/>
    <w:rsid w:val="00AB64C9"/>
    <w:rsid w:val="00AB7168"/>
    <w:rsid w:val="00AC3C6A"/>
    <w:rsid w:val="00AD0F83"/>
    <w:rsid w:val="00AD5620"/>
    <w:rsid w:val="00AD656B"/>
    <w:rsid w:val="00AD7C1B"/>
    <w:rsid w:val="00AE16BA"/>
    <w:rsid w:val="00AE1EBE"/>
    <w:rsid w:val="00B03C9D"/>
    <w:rsid w:val="00B060AE"/>
    <w:rsid w:val="00B10517"/>
    <w:rsid w:val="00B14E76"/>
    <w:rsid w:val="00B161B8"/>
    <w:rsid w:val="00B1737B"/>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0A4D"/>
    <w:rsid w:val="00BC289F"/>
    <w:rsid w:val="00BC2D50"/>
    <w:rsid w:val="00BC5361"/>
    <w:rsid w:val="00BC5460"/>
    <w:rsid w:val="00BC6B50"/>
    <w:rsid w:val="00BD0E25"/>
    <w:rsid w:val="00BE011E"/>
    <w:rsid w:val="00BF5BD6"/>
    <w:rsid w:val="00C03E31"/>
    <w:rsid w:val="00C30E69"/>
    <w:rsid w:val="00C33E72"/>
    <w:rsid w:val="00C354B2"/>
    <w:rsid w:val="00C35554"/>
    <w:rsid w:val="00C42709"/>
    <w:rsid w:val="00C46638"/>
    <w:rsid w:val="00C533CC"/>
    <w:rsid w:val="00C5751C"/>
    <w:rsid w:val="00C61BFC"/>
    <w:rsid w:val="00C62B85"/>
    <w:rsid w:val="00C65438"/>
    <w:rsid w:val="00C77CAA"/>
    <w:rsid w:val="00C91CBB"/>
    <w:rsid w:val="00C92279"/>
    <w:rsid w:val="00CA6BD5"/>
    <w:rsid w:val="00CB4E70"/>
    <w:rsid w:val="00CC09B6"/>
    <w:rsid w:val="00CC666F"/>
    <w:rsid w:val="00CD1E3F"/>
    <w:rsid w:val="00CE44F6"/>
    <w:rsid w:val="00CE49DA"/>
    <w:rsid w:val="00CE7B61"/>
    <w:rsid w:val="00D00095"/>
    <w:rsid w:val="00D03C1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2EE"/>
    <w:rsid w:val="00DC7CBA"/>
    <w:rsid w:val="00DD73B7"/>
    <w:rsid w:val="00DE6657"/>
    <w:rsid w:val="00DF28BC"/>
    <w:rsid w:val="00DF34B9"/>
    <w:rsid w:val="00E01053"/>
    <w:rsid w:val="00E07ACF"/>
    <w:rsid w:val="00E331A1"/>
    <w:rsid w:val="00E33202"/>
    <w:rsid w:val="00E336A9"/>
    <w:rsid w:val="00E472B1"/>
    <w:rsid w:val="00E50624"/>
    <w:rsid w:val="00E568DF"/>
    <w:rsid w:val="00E64269"/>
    <w:rsid w:val="00E66797"/>
    <w:rsid w:val="00E82267"/>
    <w:rsid w:val="00E82911"/>
    <w:rsid w:val="00E853CE"/>
    <w:rsid w:val="00E867B6"/>
    <w:rsid w:val="00E87F08"/>
    <w:rsid w:val="00EA010F"/>
    <w:rsid w:val="00EA51F2"/>
    <w:rsid w:val="00ED1B63"/>
    <w:rsid w:val="00ED3C1F"/>
    <w:rsid w:val="00ED4085"/>
    <w:rsid w:val="00ED420E"/>
    <w:rsid w:val="00ED4CAF"/>
    <w:rsid w:val="00ED6FBE"/>
    <w:rsid w:val="00EE2F57"/>
    <w:rsid w:val="00EF4C34"/>
    <w:rsid w:val="00EF77C6"/>
    <w:rsid w:val="00F05438"/>
    <w:rsid w:val="00F1361C"/>
    <w:rsid w:val="00F156F0"/>
    <w:rsid w:val="00F160C7"/>
    <w:rsid w:val="00F2408F"/>
    <w:rsid w:val="00F240E9"/>
    <w:rsid w:val="00F36D8F"/>
    <w:rsid w:val="00F4037A"/>
    <w:rsid w:val="00F417B1"/>
    <w:rsid w:val="00F45853"/>
    <w:rsid w:val="00F577E9"/>
    <w:rsid w:val="00F602DF"/>
    <w:rsid w:val="00F754A1"/>
    <w:rsid w:val="00F81FD9"/>
    <w:rsid w:val="00F841AA"/>
    <w:rsid w:val="00F84A94"/>
    <w:rsid w:val="00F87E96"/>
    <w:rsid w:val="00FA23E8"/>
    <w:rsid w:val="00FC7695"/>
    <w:rsid w:val="00FD3CC1"/>
    <w:rsid w:val="00FF1E02"/>
    <w:rsid w:val="00FF30B4"/>
    <w:rsid w:val="10C055FF"/>
    <w:rsid w:val="16BB723D"/>
    <w:rsid w:val="240371BF"/>
    <w:rsid w:val="29FD04D3"/>
    <w:rsid w:val="319F7F4E"/>
    <w:rsid w:val="48231574"/>
    <w:rsid w:val="4ECE2238"/>
    <w:rsid w:val="7244038E"/>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autoRedefine/>
    <w:qFormat/>
    <w:uiPriority w:val="9"/>
    <w:rPr>
      <w:rFonts w:ascii="Times New Roman" w:hAnsi="Times New Roman"/>
      <w:b/>
      <w:bCs/>
      <w:kern w:val="2"/>
      <w:sz w:val="32"/>
      <w:szCs w:val="32"/>
    </w:rPr>
  </w:style>
  <w:style w:type="paragraph" w:customStyle="1" w:styleId="30">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invertIfNegative val="0"/>
          <c:dLbls>
            <c:delete val="1"/>
          </c:dLbls>
          <c:cat>
            <c:strRef>
              <c:f>Sheet1!$A$2:$A$5</c:f>
              <c:strCache>
                <c:ptCount val="2"/>
                <c:pt idx="0">
                  <c:v>2018年</c:v>
                </c:pt>
                <c:pt idx="1">
                  <c:v>2019年</c:v>
                </c:pt>
              </c:strCache>
            </c:strRef>
          </c:cat>
          <c:val>
            <c:numRef>
              <c:f>Sheet1!$B$2:$B$5</c:f>
              <c:numCache>
                <c:formatCode>General</c:formatCode>
                <c:ptCount val="4"/>
                <c:pt idx="0">
                  <c:v>2002.54</c:v>
                </c:pt>
                <c:pt idx="1">
                  <c:v>1518.18</c:v>
                </c:pt>
              </c:numCache>
            </c:numRef>
          </c:val>
        </c:ser>
        <c:dLbls>
          <c:showLegendKey val="0"/>
          <c:showVal val="0"/>
          <c:showCatName val="0"/>
          <c:showSerName val="0"/>
          <c:showPercent val="0"/>
          <c:showBubbleSize val="0"/>
        </c:dLbls>
        <c:gapWidth val="150"/>
        <c:axId val="140910976"/>
        <c:axId val="140912512"/>
      </c:barChart>
      <c:catAx>
        <c:axId val="1409109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0912512"/>
        <c:crosses val="autoZero"/>
        <c:auto val="1"/>
        <c:lblAlgn val="ctr"/>
        <c:lblOffset val="100"/>
        <c:noMultiLvlLbl val="0"/>
      </c:catAx>
      <c:valAx>
        <c:axId val="1409125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09109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收入合计（万元）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一般公共预算财政拨款收入</c:v>
                </c:pt>
                <c:pt idx="1">
                  <c:v>政府性基金预算财政拨款收入</c:v>
                </c:pt>
                <c:pt idx="2">
                  <c:v>其他收入</c:v>
                </c:pt>
              </c:strCache>
            </c:strRef>
          </c:cat>
          <c:val>
            <c:numRef>
              <c:f>Sheet1!$B$2:$B$5</c:f>
              <c:numCache>
                <c:formatCode>General</c:formatCode>
                <c:ptCount val="4"/>
                <c:pt idx="0">
                  <c:v>527.37</c:v>
                </c:pt>
                <c:pt idx="1">
                  <c:v>302.73</c:v>
                </c:pt>
                <c:pt idx="2">
                  <c:v>0.86</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2"/>
                <c:pt idx="0">
                  <c:v>基本支出</c:v>
                </c:pt>
                <c:pt idx="1">
                  <c:v>项目支出</c:v>
                </c:pt>
              </c:strCache>
            </c:strRef>
          </c:cat>
          <c:val>
            <c:numRef>
              <c:f>Sheet1!$B$2:$B$5</c:f>
              <c:numCache>
                <c:formatCode>General</c:formatCode>
                <c:ptCount val="4"/>
                <c:pt idx="0">
                  <c:v>345.43</c:v>
                </c:pt>
                <c:pt idx="1">
                  <c:v>341.79</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invertIfNegative val="0"/>
          <c:dLbls>
            <c:delete val="1"/>
          </c:dLbls>
          <c:cat>
            <c:strRef>
              <c:f>Sheet1!$A$2:$A$3</c:f>
              <c:strCache>
                <c:ptCount val="2"/>
                <c:pt idx="0">
                  <c:v>2018年</c:v>
                </c:pt>
                <c:pt idx="1">
                  <c:v>2019年</c:v>
                </c:pt>
              </c:strCache>
            </c:strRef>
          </c:cat>
          <c:val>
            <c:numRef>
              <c:f>Sheet1!$B$2:$B$3</c:f>
              <c:numCache>
                <c:formatCode>General</c:formatCode>
                <c:ptCount val="2"/>
                <c:pt idx="0">
                  <c:v>2001.1</c:v>
                </c:pt>
                <c:pt idx="1">
                  <c:v>1516.46</c:v>
                </c:pt>
              </c:numCache>
            </c:numRef>
          </c:val>
        </c:ser>
        <c:dLbls>
          <c:showLegendKey val="0"/>
          <c:showVal val="0"/>
          <c:showCatName val="0"/>
          <c:showSerName val="0"/>
          <c:showPercent val="0"/>
          <c:showBubbleSize val="0"/>
        </c:dLbls>
        <c:gapWidth val="150"/>
        <c:axId val="157882624"/>
        <c:axId val="157913856"/>
      </c:barChart>
      <c:catAx>
        <c:axId val="1578826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913856"/>
        <c:crosses val="autoZero"/>
        <c:auto val="1"/>
        <c:lblAlgn val="ctr"/>
        <c:lblOffset val="100"/>
        <c:noMultiLvlLbl val="0"/>
      </c:catAx>
      <c:valAx>
        <c:axId val="1579138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8826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拨款支出</c:v>
                </c:pt>
              </c:strCache>
            </c:strRef>
          </c:tx>
          <c:invertIfNegative val="0"/>
          <c:dLbls>
            <c:delete val="1"/>
          </c:dLbls>
          <c:cat>
            <c:strRef>
              <c:f>Sheet1!$A$2:$A$5</c:f>
              <c:strCache>
                <c:ptCount val="2"/>
                <c:pt idx="0">
                  <c:v>2018年</c:v>
                </c:pt>
                <c:pt idx="1">
                  <c:v>2019年</c:v>
                </c:pt>
              </c:strCache>
            </c:strRef>
          </c:cat>
          <c:val>
            <c:numRef>
              <c:f>Sheet1!$B$2:$B$5</c:f>
              <c:numCache>
                <c:formatCode>General</c:formatCode>
                <c:ptCount val="4"/>
                <c:pt idx="0">
                  <c:v>533.73</c:v>
                </c:pt>
                <c:pt idx="1">
                  <c:v>445.86</c:v>
                </c:pt>
              </c:numCache>
            </c:numRef>
          </c:val>
        </c:ser>
        <c:dLbls>
          <c:showLegendKey val="0"/>
          <c:showVal val="0"/>
          <c:showCatName val="0"/>
          <c:showSerName val="0"/>
          <c:showPercent val="0"/>
          <c:showBubbleSize val="0"/>
        </c:dLbls>
        <c:gapWidth val="150"/>
        <c:axId val="158049024"/>
        <c:axId val="158050560"/>
      </c:barChart>
      <c:catAx>
        <c:axId val="1580490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8050560"/>
        <c:crosses val="autoZero"/>
        <c:auto val="1"/>
        <c:lblAlgn val="ctr"/>
        <c:lblOffset val="100"/>
        <c:noMultiLvlLbl val="0"/>
      </c:catAx>
      <c:valAx>
        <c:axId val="1580505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80490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社区保障和就业（类）支出</c:v>
                </c:pt>
                <c:pt idx="1">
                  <c:v>卫生健康支出</c:v>
                </c:pt>
                <c:pt idx="2">
                  <c:v>城乡社区支出</c:v>
                </c:pt>
                <c:pt idx="3">
                  <c:v>农林水支出</c:v>
                </c:pt>
                <c:pt idx="4">
                  <c:v>住房保障支出</c:v>
                </c:pt>
                <c:pt idx="5">
                  <c:v>灾害防治及应急管理支出</c:v>
                </c:pt>
              </c:strCache>
            </c:strRef>
          </c:cat>
          <c:val>
            <c:numRef>
              <c:f>Sheet1!$B$2:$B$7</c:f>
              <c:numCache>
                <c:formatCode>General</c:formatCode>
                <c:ptCount val="6"/>
                <c:pt idx="0">
                  <c:v>36.99</c:v>
                </c:pt>
                <c:pt idx="1">
                  <c:v>15.95</c:v>
                </c:pt>
                <c:pt idx="2">
                  <c:v>0.43</c:v>
                </c:pt>
                <c:pt idx="3">
                  <c:v>305.69</c:v>
                </c:pt>
                <c:pt idx="4">
                  <c:v>28.42</c:v>
                </c:pt>
                <c:pt idx="5">
                  <c:v>58.37</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740C4-3F33-43F2-BD07-B0B5B375DF0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47</Pages>
  <Words>3203</Words>
  <Characters>18259</Characters>
  <Lines>152</Lines>
  <Paragraphs>42</Paragraphs>
  <TotalTime>7</TotalTime>
  <ScaleCrop>false</ScaleCrop>
  <LinksUpToDate>false</LinksUpToDate>
  <CharactersWithSpaces>21420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2020-11-20T04:42:00Z</dcterms:created>
  <dc:creator>曹颖</dc:creator>
  <cp:lastModifiedBy>马ma</cp:lastModifiedBy>
  <cp:lastPrinted>2020-11-20T03:46:00Z</cp:lastPrinted>
  <dcterms:modified xsi:type="dcterms:W3CDTF">2024-01-25T01:03:20Z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ECE57CA151074B2789DA0BB4EA8E0011_12</vt:lpwstr>
  </property>
</Properties>
</file>