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攀枝花市第二小学校</w:t>
      </w:r>
    </w:p>
    <w:p>
      <w:pPr>
        <w:spacing w:line="360" w:lineRule="auto"/>
        <w:jc w:val="center"/>
        <w:rPr>
          <w:rFonts w:hint="eastAsia" w:ascii="方正小标宋简体" w:hAnsi="方正小标宋简体" w:eastAsia="方正小标宋简体"/>
          <w:kern w:val="2"/>
          <w:sz w:val="72"/>
          <w:szCs w:val="24"/>
          <w:lang w:val="en-US" w:eastAsia="zh-CN"/>
        </w:rPr>
      </w:pPr>
      <w:r>
        <w:rPr>
          <w:rFonts w:hint="eastAsia" w:ascii="方正小标宋简体" w:hAnsi="方正小标宋简体" w:eastAsia="方正小标宋简体"/>
          <w:kern w:val="2"/>
          <w:sz w:val="72"/>
          <w:szCs w:val="24"/>
          <w:lang w:val="en-US" w:eastAsia="zh-CN"/>
        </w:rPr>
        <w:t>部门</w:t>
      </w:r>
      <w:r>
        <w:rPr>
          <w:rFonts w:hint="eastAsia" w:ascii="方正小标宋简体" w:hAnsi="方正小标宋简体" w:eastAsia="方正小标宋简体"/>
          <w:kern w:val="2"/>
          <w:sz w:val="72"/>
          <w:szCs w:val="24"/>
          <w:lang w:val="zh-CN"/>
        </w:rPr>
        <w:t>决算</w:t>
      </w:r>
      <w:r>
        <w:rPr>
          <w:rFonts w:hint="eastAsia" w:ascii="方正小标宋简体" w:hAnsi="方正小标宋简体" w:eastAsia="方正小标宋简体"/>
          <w:kern w:val="2"/>
          <w:sz w:val="72"/>
          <w:szCs w:val="24"/>
          <w:lang w:val="en-US" w:eastAsia="zh-CN"/>
        </w:rPr>
        <w:t>公开编制说明</w:t>
      </w:r>
    </w:p>
    <w:p>
      <w:pPr>
        <w:adjustRightInd w:val="0"/>
        <w:snapToGrid w:val="0"/>
        <w:spacing w:line="360" w:lineRule="auto"/>
        <w:jc w:val="center"/>
        <w:outlineLvl w:val="0"/>
        <w:rPr>
          <w:rFonts w:ascii="黑体" w:hAnsi="黑体" w:eastAsia="黑体"/>
          <w:color w:val="000000"/>
          <w:sz w:val="48"/>
          <w:szCs w:val="48"/>
        </w:rPr>
      </w:pPr>
    </w:p>
    <w:p>
      <w:pPr>
        <w:jc w:val="center"/>
        <w:rPr>
          <w:rFonts w:hint="eastAsia" w:ascii="黑体" w:hAnsi="黑体" w:eastAsia="黑体"/>
          <w:color w:val="auto"/>
          <w:kern w:val="2"/>
          <w:sz w:val="48"/>
          <w:szCs w:val="24"/>
          <w:lang w:val="zh-CN"/>
        </w:rPr>
      </w:pPr>
      <w:r>
        <w:rPr>
          <w:rFonts w:ascii="黑体" w:hAnsi="黑体" w:eastAsia="黑体"/>
          <w:color w:val="000000"/>
          <w:sz w:val="48"/>
          <w:szCs w:val="48"/>
        </w:rPr>
        <w:br w:type="page"/>
      </w:r>
      <w:r>
        <w:rPr>
          <w:rFonts w:hint="eastAsia" w:ascii="黑体" w:hAnsi="黑体" w:eastAsia="黑体"/>
          <w:color w:val="auto"/>
          <w:kern w:val="2"/>
          <w:sz w:val="48"/>
          <w:szCs w:val="24"/>
          <w:lang w:val="zh-CN"/>
        </w:rPr>
        <w:t>目录</w:t>
      </w:r>
    </w:p>
    <w:p>
      <w:pPr>
        <w:jc w:val="center"/>
        <w:rPr>
          <w:rFonts w:hint="eastAsia" w:ascii="黑体" w:hAnsi="黑体" w:eastAsia="黑体"/>
          <w:color w:val="auto"/>
          <w:kern w:val="2"/>
          <w:sz w:val="28"/>
          <w:szCs w:val="24"/>
          <w:lang w:val="zh-CN"/>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 xml:space="preserve">公开时间：2023年 </w:t>
      </w:r>
      <w:r>
        <w:rPr>
          <w:rFonts w:hint="eastAsia" w:ascii="仿宋" w:hAnsi="仿宋" w:eastAsia="仿宋"/>
          <w:color w:val="auto"/>
          <w:kern w:val="2"/>
          <w:sz w:val="28"/>
          <w:szCs w:val="24"/>
          <w:lang w:val="en-US" w:eastAsia="zh-CN"/>
        </w:rPr>
        <w:t>11</w:t>
      </w:r>
      <w:r>
        <w:rPr>
          <w:rFonts w:hint="eastAsia" w:ascii="仿宋" w:hAnsi="仿宋" w:eastAsia="仿宋"/>
          <w:color w:val="auto"/>
          <w:kern w:val="2"/>
          <w:sz w:val="28"/>
          <w:szCs w:val="24"/>
          <w:lang w:val="zh-CN"/>
        </w:rPr>
        <w:t xml:space="preserve"> 月 </w:t>
      </w:r>
      <w:r>
        <w:rPr>
          <w:rFonts w:hint="eastAsia" w:ascii="仿宋" w:hAnsi="仿宋" w:eastAsia="仿宋"/>
          <w:color w:val="auto"/>
          <w:kern w:val="2"/>
          <w:sz w:val="28"/>
          <w:szCs w:val="24"/>
          <w:lang w:val="en-US" w:eastAsia="zh-CN"/>
        </w:rPr>
        <w:t>1</w:t>
      </w:r>
      <w:r>
        <w:rPr>
          <w:rFonts w:hint="eastAsia" w:ascii="仿宋" w:hAnsi="仿宋" w:eastAsia="仿宋"/>
          <w:color w:val="auto"/>
          <w:kern w:val="2"/>
          <w:sz w:val="28"/>
          <w:szCs w:val="24"/>
          <w:lang w:val="zh-CN"/>
        </w:rPr>
        <w:t xml:space="preserve"> 日</w:t>
      </w:r>
    </w:p>
    <w:p>
      <w:pPr>
        <w:jc w:val="both"/>
        <w:rPr>
          <w:rFonts w:hint="eastAsia" w:ascii="Times New Roman" w:hAnsi="Times New Roman" w:eastAsia="Times New Roman"/>
          <w:color w:val="auto"/>
          <w:kern w:val="2"/>
          <w:sz w:val="21"/>
          <w:szCs w:val="24"/>
          <w:lang w:val="zh-CN"/>
        </w:rPr>
      </w:pPr>
    </w:p>
    <w:p>
      <w:pPr>
        <w:pStyle w:val="9"/>
        <w:tabs>
          <w:tab w:val="left" w:leader="dot" w:pos="7828"/>
        </w:tabs>
        <w:snapToGrid w:val="0"/>
        <w:spacing w:before="0" w:line="440" w:lineRule="exact"/>
        <w:jc w:val="left"/>
        <w:rPr>
          <w:rFonts w:hint="eastAsia"/>
          <w:sz w:val="24"/>
          <w:szCs w:val="24"/>
        </w:rPr>
      </w:pPr>
      <w:r>
        <w:rPr>
          <w:rFonts w:hint="eastAsia"/>
          <w:sz w:val="24"/>
          <w:szCs w:val="24"/>
        </w:rPr>
        <w:t>第一部分 单位概况</w:t>
      </w:r>
      <w:r>
        <w:rPr>
          <w:rFonts w:hint="eastAsia"/>
          <w:sz w:val="24"/>
          <w:szCs w:val="24"/>
        </w:rPr>
        <w:tab/>
      </w:r>
      <w:r>
        <w:rPr>
          <w:rFonts w:hint="eastAsia"/>
          <w:sz w:val="24"/>
          <w:szCs w:val="24"/>
        </w:rPr>
        <w:t>3</w:t>
      </w:r>
    </w:p>
    <w:p>
      <w:pPr>
        <w:pStyle w:val="10"/>
        <w:tabs>
          <w:tab w:val="left" w:leader="dot" w:pos="7828"/>
        </w:tabs>
        <w:snapToGrid w:val="0"/>
        <w:spacing w:line="440" w:lineRule="exact"/>
        <w:ind w:left="412"/>
        <w:rPr>
          <w:rFonts w:hint="eastAsia" w:ascii="仿宋" w:hAnsi="仿宋" w:eastAsia="仿宋"/>
          <w:sz w:val="24"/>
          <w:szCs w:val="24"/>
        </w:rPr>
      </w:pPr>
      <w:r>
        <w:rPr>
          <w:rFonts w:hint="eastAsia" w:ascii="Times New Roman" w:hAnsi="Times New Roman" w:eastAsia="宋体"/>
          <w:sz w:val="24"/>
          <w:szCs w:val="24"/>
        </w:rPr>
        <w:t>一、</w:t>
      </w:r>
      <w:r>
        <w:rPr>
          <w:rFonts w:hint="eastAsia" w:ascii="宋体" w:hAnsi="宋体" w:eastAsia="宋体"/>
          <w:color w:val="auto"/>
          <w:kern w:val="2"/>
          <w:sz w:val="24"/>
          <w:szCs w:val="24"/>
          <w:lang w:val="zh-CN"/>
        </w:rPr>
        <w:t>部门职责</w:t>
      </w:r>
      <w:r>
        <w:rPr>
          <w:rFonts w:hint="default"/>
          <w:sz w:val="24"/>
          <w:szCs w:val="24"/>
        </w:rPr>
        <w:tab/>
      </w:r>
      <w:r>
        <w:rPr>
          <w:rFonts w:hint="default"/>
          <w:sz w:val="24"/>
          <w:szCs w:val="24"/>
        </w:rPr>
        <w:t>3</w:t>
      </w:r>
    </w:p>
    <w:p>
      <w:pPr>
        <w:pStyle w:val="10"/>
        <w:tabs>
          <w:tab w:val="left" w:leader="dot" w:pos="7828"/>
        </w:tabs>
        <w:snapToGrid w:val="0"/>
        <w:spacing w:line="440" w:lineRule="exact"/>
        <w:ind w:left="412"/>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olor w:val="auto"/>
          <w:kern w:val="2"/>
          <w:sz w:val="24"/>
          <w:szCs w:val="24"/>
          <w:lang w:val="zh-CN"/>
        </w:rPr>
        <w:t>机构设置</w:t>
      </w:r>
      <w:r>
        <w:rPr>
          <w:rFonts w:hint="eastAsia" w:ascii="宋体" w:hAnsi="宋体" w:eastAsia="宋体" w:cs="宋体"/>
          <w:sz w:val="24"/>
          <w:szCs w:val="24"/>
        </w:rPr>
        <w:tab/>
      </w:r>
      <w:r>
        <w:rPr>
          <w:rFonts w:hint="eastAsia" w:ascii="宋体" w:hAnsi="宋体" w:eastAsia="宋体" w:cs="宋体"/>
          <w:sz w:val="24"/>
          <w:szCs w:val="24"/>
        </w:rPr>
        <w:t>3</w:t>
      </w:r>
    </w:p>
    <w:p>
      <w:pPr>
        <w:pStyle w:val="9"/>
        <w:tabs>
          <w:tab w:val="left" w:leader="dot" w:pos="7828"/>
        </w:tabs>
        <w:snapToGrid w:val="0"/>
        <w:spacing w:before="0" w:line="440" w:lineRule="exact"/>
        <w:jc w:val="left"/>
        <w:rPr>
          <w:rFonts w:hint="eastAsia"/>
          <w:sz w:val="24"/>
          <w:szCs w:val="24"/>
        </w:rPr>
      </w:pPr>
      <w:r>
        <w:rPr>
          <w:rFonts w:hint="eastAsia"/>
          <w:sz w:val="24"/>
          <w:szCs w:val="24"/>
        </w:rPr>
        <w:t xml:space="preserve">第二部分 </w:t>
      </w:r>
      <w:r>
        <w:rPr>
          <w:rFonts w:hint="eastAsia"/>
          <w:color w:val="auto"/>
          <w:kern w:val="2"/>
          <w:sz w:val="24"/>
          <w:szCs w:val="24"/>
          <w:lang w:val="zh-CN"/>
        </w:rPr>
        <w:t>2022年度</w:t>
      </w:r>
      <w:r>
        <w:rPr>
          <w:rFonts w:hint="eastAsia"/>
          <w:sz w:val="24"/>
          <w:szCs w:val="24"/>
        </w:rPr>
        <w:t>单位决算情况说明</w:t>
      </w:r>
      <w:r>
        <w:rPr>
          <w:rFonts w:hint="eastAsia"/>
          <w:sz w:val="24"/>
          <w:szCs w:val="24"/>
        </w:rPr>
        <w:tab/>
      </w:r>
      <w:r>
        <w:rPr>
          <w:rFonts w:hint="eastAsia"/>
          <w:sz w:val="24"/>
          <w:szCs w:val="24"/>
        </w:rPr>
        <w:t>4</w:t>
      </w:r>
    </w:p>
    <w:p>
      <w:pPr>
        <w:pStyle w:val="10"/>
        <w:tabs>
          <w:tab w:val="left" w:leader="dot" w:pos="7828"/>
        </w:tabs>
        <w:snapToGrid w:val="0"/>
        <w:spacing w:line="440" w:lineRule="exact"/>
        <w:ind w:left="412"/>
        <w:rPr>
          <w:rFonts w:hint="eastAsia" w:ascii="宋体" w:hAnsi="宋体" w:eastAsia="宋体"/>
          <w:sz w:val="24"/>
          <w:szCs w:val="24"/>
        </w:rPr>
      </w:pPr>
      <w:r>
        <w:rPr>
          <w:rFonts w:hint="eastAsia" w:ascii="宋体" w:hAnsi="宋体" w:eastAsia="宋体"/>
          <w:sz w:val="24"/>
          <w:szCs w:val="24"/>
        </w:rPr>
        <w:t>一、收入支出决算总体情况说明</w:t>
      </w:r>
      <w:r>
        <w:rPr>
          <w:rFonts w:hint="eastAsia" w:ascii="宋体" w:hAnsi="宋体" w:eastAsia="宋体"/>
          <w:sz w:val="24"/>
          <w:szCs w:val="24"/>
        </w:rPr>
        <w:tab/>
      </w:r>
      <w:r>
        <w:rPr>
          <w:rFonts w:hint="eastAsia" w:ascii="宋体" w:hAnsi="宋体" w:eastAsia="宋体"/>
          <w:sz w:val="24"/>
          <w:szCs w:val="24"/>
        </w:rPr>
        <w:t>4</w:t>
      </w:r>
    </w:p>
    <w:p>
      <w:pPr>
        <w:pStyle w:val="10"/>
        <w:tabs>
          <w:tab w:val="left" w:leader="dot" w:pos="7828"/>
        </w:tabs>
        <w:snapToGrid w:val="0"/>
        <w:spacing w:line="440" w:lineRule="exact"/>
        <w:ind w:left="412"/>
        <w:rPr>
          <w:rFonts w:hint="eastAsia" w:ascii="宋体" w:hAnsi="宋体" w:eastAsia="宋体"/>
          <w:sz w:val="24"/>
          <w:szCs w:val="24"/>
        </w:rPr>
      </w:pPr>
      <w:r>
        <w:rPr>
          <w:rFonts w:hint="eastAsia" w:ascii="宋体" w:hAnsi="宋体" w:eastAsia="宋体"/>
          <w:sz w:val="24"/>
          <w:szCs w:val="24"/>
        </w:rPr>
        <w:t>二、收入决算情况说明</w:t>
      </w:r>
      <w:r>
        <w:rPr>
          <w:rFonts w:hint="eastAsia" w:ascii="宋体" w:hAnsi="宋体" w:eastAsia="宋体"/>
          <w:sz w:val="24"/>
          <w:szCs w:val="24"/>
        </w:rPr>
        <w:tab/>
      </w:r>
      <w:r>
        <w:rPr>
          <w:rFonts w:hint="eastAsia" w:ascii="宋体" w:hAnsi="宋体" w:eastAsia="宋体"/>
          <w:sz w:val="24"/>
          <w:szCs w:val="24"/>
        </w:rPr>
        <w:t>4</w:t>
      </w:r>
    </w:p>
    <w:p>
      <w:pPr>
        <w:pStyle w:val="10"/>
        <w:tabs>
          <w:tab w:val="left" w:leader="dot" w:pos="7828"/>
        </w:tabs>
        <w:snapToGrid w:val="0"/>
        <w:spacing w:line="440" w:lineRule="exact"/>
        <w:ind w:left="412"/>
        <w:rPr>
          <w:rFonts w:hint="eastAsia" w:ascii="宋体" w:hAnsi="宋体" w:eastAsia="宋体"/>
          <w:sz w:val="24"/>
          <w:szCs w:val="24"/>
          <w:lang w:eastAsia="zh-CN"/>
        </w:rPr>
      </w:pPr>
      <w:r>
        <w:rPr>
          <w:rFonts w:hint="eastAsia" w:ascii="宋体" w:hAnsi="宋体" w:eastAsia="宋体"/>
          <w:sz w:val="24"/>
          <w:szCs w:val="24"/>
        </w:rPr>
        <w:t>三、支出决算情况说明</w:t>
      </w:r>
      <w:r>
        <w:rPr>
          <w:rFonts w:hint="eastAsia" w:ascii="宋体" w:hAnsi="宋体" w:eastAsia="宋体"/>
          <w:sz w:val="24"/>
          <w:szCs w:val="24"/>
        </w:rPr>
        <w:tab/>
      </w:r>
      <w:r>
        <w:rPr>
          <w:rFonts w:hint="eastAsia" w:ascii="宋体" w:hAnsi="宋体"/>
          <w:sz w:val="24"/>
          <w:szCs w:val="24"/>
          <w:lang w:val="en-US" w:eastAsia="zh-CN"/>
        </w:rPr>
        <w:t>5</w:t>
      </w:r>
    </w:p>
    <w:p>
      <w:pPr>
        <w:pStyle w:val="10"/>
        <w:tabs>
          <w:tab w:val="left" w:leader="dot" w:pos="7828"/>
        </w:tabs>
        <w:snapToGrid w:val="0"/>
        <w:spacing w:line="440" w:lineRule="exact"/>
        <w:ind w:left="412"/>
        <w:rPr>
          <w:rFonts w:hint="eastAsia" w:ascii="宋体" w:hAnsi="宋体" w:eastAsia="宋体"/>
          <w:sz w:val="24"/>
          <w:szCs w:val="24"/>
          <w:lang w:eastAsia="zh-CN"/>
        </w:rPr>
      </w:pPr>
      <w:r>
        <w:rPr>
          <w:rFonts w:hint="eastAsia" w:ascii="宋体" w:hAnsi="宋体" w:eastAsia="宋体"/>
          <w:sz w:val="24"/>
          <w:szCs w:val="24"/>
        </w:rPr>
        <w:t>四、财政拨款收入支出决算总体情况说明</w:t>
      </w:r>
      <w:r>
        <w:rPr>
          <w:rFonts w:hint="eastAsia" w:ascii="宋体" w:hAnsi="宋体" w:eastAsia="宋体"/>
          <w:sz w:val="24"/>
          <w:szCs w:val="24"/>
        </w:rPr>
        <w:tab/>
      </w:r>
      <w:r>
        <w:rPr>
          <w:rFonts w:hint="eastAsia" w:ascii="宋体" w:hAnsi="宋体"/>
          <w:sz w:val="24"/>
          <w:szCs w:val="24"/>
          <w:lang w:val="en-US" w:eastAsia="zh-CN"/>
        </w:rPr>
        <w:t>6</w:t>
      </w:r>
    </w:p>
    <w:p>
      <w:pPr>
        <w:pStyle w:val="10"/>
        <w:tabs>
          <w:tab w:val="left" w:leader="dot" w:pos="7828"/>
        </w:tabs>
        <w:snapToGrid w:val="0"/>
        <w:spacing w:line="440" w:lineRule="exact"/>
        <w:ind w:left="412"/>
        <w:rPr>
          <w:rFonts w:hint="eastAsia" w:ascii="宋体" w:hAnsi="宋体" w:eastAsia="宋体"/>
          <w:sz w:val="24"/>
          <w:szCs w:val="24"/>
          <w:lang w:eastAsia="zh-CN"/>
        </w:rPr>
      </w:pPr>
      <w:r>
        <w:rPr>
          <w:rFonts w:hint="eastAsia" w:ascii="宋体" w:hAnsi="宋体" w:eastAsia="宋体"/>
          <w:sz w:val="24"/>
          <w:szCs w:val="24"/>
        </w:rPr>
        <w:t>五、一般公共预算财政拨款支出决算情况说明</w:t>
      </w:r>
      <w:r>
        <w:rPr>
          <w:rFonts w:hint="eastAsia" w:ascii="宋体" w:hAnsi="宋体" w:eastAsia="宋体"/>
          <w:sz w:val="24"/>
          <w:szCs w:val="24"/>
        </w:rPr>
        <w:tab/>
      </w:r>
      <w:r>
        <w:rPr>
          <w:rFonts w:hint="eastAsia" w:ascii="宋体" w:hAnsi="宋体"/>
          <w:sz w:val="24"/>
          <w:szCs w:val="24"/>
          <w:lang w:val="en-US" w:eastAsia="zh-CN"/>
        </w:rPr>
        <w:t>6</w:t>
      </w:r>
    </w:p>
    <w:p>
      <w:pPr>
        <w:pStyle w:val="10"/>
        <w:tabs>
          <w:tab w:val="left" w:leader="dot" w:pos="7828"/>
        </w:tabs>
        <w:snapToGrid w:val="0"/>
        <w:spacing w:line="440" w:lineRule="exact"/>
        <w:ind w:left="412"/>
        <w:rPr>
          <w:rFonts w:hint="eastAsia" w:ascii="宋体" w:hAnsi="宋体" w:eastAsia="宋体"/>
          <w:sz w:val="24"/>
          <w:szCs w:val="24"/>
          <w:lang w:eastAsia="zh-CN"/>
        </w:rPr>
      </w:pPr>
      <w:r>
        <w:rPr>
          <w:rFonts w:hint="eastAsia" w:ascii="宋体" w:hAnsi="宋体" w:eastAsia="宋体"/>
          <w:sz w:val="24"/>
          <w:szCs w:val="24"/>
        </w:rPr>
        <w:t>六、一般公共预算财政拨款基本支出决算情况说明</w:t>
      </w:r>
      <w:r>
        <w:rPr>
          <w:rFonts w:hint="eastAsia" w:ascii="宋体" w:hAnsi="宋体" w:eastAsia="宋体"/>
          <w:sz w:val="24"/>
          <w:szCs w:val="24"/>
        </w:rPr>
        <w:tab/>
      </w:r>
      <w:r>
        <w:rPr>
          <w:rFonts w:hint="eastAsia" w:ascii="宋体" w:hAnsi="宋体"/>
          <w:sz w:val="24"/>
          <w:szCs w:val="24"/>
          <w:lang w:val="en-US" w:eastAsia="zh-CN"/>
        </w:rPr>
        <w:t>9</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七、财政拨款“三公”经费支出决算情况说明</w:t>
      </w:r>
      <w:r>
        <w:rPr>
          <w:rFonts w:hint="eastAsia" w:ascii="宋体" w:hAnsi="宋体" w:eastAsia="宋体"/>
          <w:sz w:val="24"/>
          <w:szCs w:val="24"/>
        </w:rPr>
        <w:tab/>
      </w:r>
      <w:r>
        <w:rPr>
          <w:rFonts w:hint="eastAsia" w:ascii="宋体" w:hAnsi="宋体"/>
          <w:sz w:val="24"/>
          <w:szCs w:val="24"/>
          <w:lang w:val="en-US" w:eastAsia="zh-CN"/>
        </w:rPr>
        <w:t>10</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八、政府性基金预算支出决算情况说明</w:t>
      </w:r>
      <w:r>
        <w:rPr>
          <w:rFonts w:hint="eastAsia" w:ascii="宋体" w:hAnsi="宋体" w:eastAsia="宋体"/>
          <w:sz w:val="24"/>
          <w:szCs w:val="24"/>
        </w:rPr>
        <w:tab/>
      </w:r>
      <w:r>
        <w:rPr>
          <w:rFonts w:hint="eastAsia" w:ascii="宋体" w:hAnsi="宋体"/>
          <w:sz w:val="24"/>
          <w:szCs w:val="24"/>
          <w:lang w:val="en-US" w:eastAsia="zh-CN"/>
        </w:rPr>
        <w:t>12</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九、 国有资本经营预算支出决算情况说明</w:t>
      </w:r>
      <w:r>
        <w:rPr>
          <w:rFonts w:hint="eastAsia" w:ascii="宋体" w:hAnsi="宋体" w:eastAsia="宋体"/>
          <w:sz w:val="24"/>
          <w:szCs w:val="24"/>
        </w:rPr>
        <w:tab/>
      </w:r>
      <w:r>
        <w:rPr>
          <w:rFonts w:hint="eastAsia" w:ascii="宋体" w:hAnsi="宋体"/>
          <w:sz w:val="24"/>
          <w:szCs w:val="24"/>
          <w:lang w:val="en-US" w:eastAsia="zh-CN"/>
        </w:rPr>
        <w:t>12</w:t>
      </w:r>
    </w:p>
    <w:p>
      <w:pPr>
        <w:tabs>
          <w:tab w:val="left" w:leader="dot" w:pos="7828"/>
        </w:tabs>
        <w:snapToGrid w:val="0"/>
        <w:spacing w:line="440" w:lineRule="exact"/>
        <w:ind w:firstLine="472" w:firstLineChars="200"/>
        <w:rPr>
          <w:rFonts w:hint="default" w:ascii="宋体" w:hAnsi="宋体" w:eastAsia="宋体"/>
          <w:sz w:val="24"/>
          <w:szCs w:val="24"/>
          <w:lang w:val="en-US" w:eastAsia="zh-CN"/>
        </w:rPr>
      </w:pPr>
      <w:r>
        <w:rPr>
          <w:rStyle w:val="15"/>
          <w:rFonts w:hint="eastAsia" w:ascii="宋体" w:hAnsi="宋体" w:eastAsia="宋体"/>
          <w:color w:val="000000"/>
          <w:sz w:val="24"/>
          <w:szCs w:val="24"/>
          <w:u w:val="none"/>
        </w:rPr>
        <w:t>十、</w:t>
      </w:r>
      <w:r>
        <w:rPr>
          <w:rFonts w:hint="eastAsia" w:ascii="宋体" w:hAnsi="宋体" w:eastAsia="宋体"/>
          <w:sz w:val="24"/>
          <w:szCs w:val="24"/>
        </w:rPr>
        <w:t>其他重要事项的情况说明</w:t>
      </w:r>
      <w:r>
        <w:rPr>
          <w:rFonts w:hint="eastAsia" w:ascii="宋体" w:hAnsi="宋体" w:eastAsia="宋体"/>
          <w:sz w:val="24"/>
          <w:szCs w:val="24"/>
        </w:rPr>
        <w:tab/>
      </w:r>
      <w:r>
        <w:rPr>
          <w:rFonts w:hint="eastAsia" w:ascii="宋体" w:hAnsi="宋体"/>
          <w:sz w:val="24"/>
          <w:szCs w:val="24"/>
          <w:lang w:val="en-US" w:eastAsia="zh-CN"/>
        </w:rPr>
        <w:t>12</w:t>
      </w:r>
    </w:p>
    <w:p>
      <w:pPr>
        <w:pStyle w:val="9"/>
        <w:tabs>
          <w:tab w:val="left" w:leader="dot" w:pos="7828"/>
        </w:tabs>
        <w:snapToGrid w:val="0"/>
        <w:spacing w:before="0" w:line="440" w:lineRule="exact"/>
        <w:jc w:val="left"/>
        <w:rPr>
          <w:rFonts w:hint="eastAsia" w:eastAsia="仿宋"/>
          <w:sz w:val="24"/>
          <w:szCs w:val="24"/>
          <w:lang w:eastAsia="zh-CN"/>
        </w:rPr>
      </w:pPr>
      <w:r>
        <w:rPr>
          <w:rFonts w:hint="eastAsia"/>
          <w:sz w:val="24"/>
          <w:szCs w:val="24"/>
        </w:rPr>
        <w:t>第三部分 名词解释</w:t>
      </w:r>
      <w:r>
        <w:rPr>
          <w:rFonts w:hint="eastAsia"/>
          <w:sz w:val="24"/>
          <w:szCs w:val="24"/>
        </w:rPr>
        <w:tab/>
      </w:r>
      <w:r>
        <w:rPr>
          <w:rFonts w:hint="eastAsia"/>
          <w:sz w:val="24"/>
          <w:szCs w:val="24"/>
        </w:rPr>
        <w:t>1</w:t>
      </w:r>
      <w:r>
        <w:rPr>
          <w:rFonts w:hint="eastAsia"/>
          <w:sz w:val="24"/>
          <w:szCs w:val="24"/>
          <w:lang w:val="en-US" w:eastAsia="zh-CN"/>
        </w:rPr>
        <w:t>4</w:t>
      </w:r>
    </w:p>
    <w:p>
      <w:pPr>
        <w:pStyle w:val="9"/>
        <w:tabs>
          <w:tab w:val="left" w:leader="dot" w:pos="7828"/>
        </w:tabs>
        <w:snapToGrid w:val="0"/>
        <w:spacing w:before="0" w:line="440" w:lineRule="exact"/>
        <w:jc w:val="left"/>
        <w:rPr>
          <w:rFonts w:hint="eastAsia" w:eastAsia="仿宋"/>
          <w:sz w:val="24"/>
          <w:szCs w:val="24"/>
          <w:lang w:eastAsia="zh-CN"/>
        </w:rPr>
      </w:pPr>
      <w:r>
        <w:rPr>
          <w:rFonts w:hint="eastAsia"/>
          <w:sz w:val="24"/>
          <w:szCs w:val="24"/>
        </w:rPr>
        <w:t>第四部分 附件</w:t>
      </w:r>
      <w:r>
        <w:rPr>
          <w:rFonts w:hint="eastAsia"/>
          <w:sz w:val="24"/>
          <w:szCs w:val="24"/>
        </w:rPr>
        <w:tab/>
      </w:r>
      <w:r>
        <w:rPr>
          <w:rFonts w:hint="eastAsia"/>
          <w:sz w:val="24"/>
          <w:szCs w:val="24"/>
        </w:rPr>
        <w:t>1</w:t>
      </w:r>
      <w:r>
        <w:rPr>
          <w:rFonts w:hint="eastAsia"/>
          <w:sz w:val="24"/>
          <w:szCs w:val="24"/>
          <w:lang w:val="en-US" w:eastAsia="zh-CN"/>
        </w:rPr>
        <w:t>7</w:t>
      </w:r>
    </w:p>
    <w:p>
      <w:pPr>
        <w:pStyle w:val="9"/>
        <w:tabs>
          <w:tab w:val="left" w:leader="dot" w:pos="7828"/>
        </w:tabs>
        <w:snapToGrid w:val="0"/>
        <w:spacing w:before="0" w:line="440" w:lineRule="exact"/>
        <w:jc w:val="left"/>
        <w:rPr>
          <w:rFonts w:hint="default" w:eastAsia="仿宋"/>
          <w:sz w:val="24"/>
          <w:szCs w:val="24"/>
          <w:lang w:val="en-US" w:eastAsia="zh-CN"/>
        </w:rPr>
      </w:pPr>
      <w:r>
        <w:rPr>
          <w:rFonts w:hint="eastAsia"/>
          <w:sz w:val="24"/>
          <w:szCs w:val="24"/>
        </w:rPr>
        <w:t>第五部分 附表</w:t>
      </w:r>
      <w:r>
        <w:rPr>
          <w:rFonts w:hint="eastAsia"/>
          <w:sz w:val="24"/>
          <w:szCs w:val="24"/>
        </w:rPr>
        <w:tab/>
      </w:r>
      <w:r>
        <w:rPr>
          <w:rFonts w:hint="eastAsia"/>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一、收入支出决算总表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二、收入决算表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三、支出决算表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四、财政拨款收入支出决算总表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五、财政拨款支出决算明细表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六、一般公共预算财政拨款支出决算表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七、一般公共预算财政拨款支出决算明细表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八、一般公共预算财政拨款基本支出决算</w:t>
      </w:r>
      <w:r>
        <w:rPr>
          <w:rFonts w:hint="eastAsia" w:ascii="宋体" w:hAnsi="宋体" w:eastAsia="宋体"/>
          <w:sz w:val="24"/>
          <w:szCs w:val="24"/>
          <w:lang w:val="en-US" w:eastAsia="zh-CN"/>
        </w:rPr>
        <w:t>明细</w:t>
      </w:r>
      <w:r>
        <w:rPr>
          <w:rFonts w:hint="eastAsia" w:ascii="宋体" w:hAnsi="宋体" w:eastAsia="宋体"/>
          <w:sz w:val="24"/>
          <w:szCs w:val="24"/>
        </w:rPr>
        <w:t>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九、一般公共预算财政拨款项目支出决算表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十、政府性基金预算财政拨款收入支出决算表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十一、</w:t>
      </w:r>
      <w:r>
        <w:rPr>
          <w:rFonts w:hint="eastAsia" w:ascii="宋体" w:hAnsi="宋体" w:eastAsia="宋体"/>
          <w:color w:val="auto"/>
          <w:kern w:val="2"/>
          <w:sz w:val="24"/>
          <w:szCs w:val="24"/>
          <w:lang w:val="zh-CN"/>
        </w:rPr>
        <w:t>国有资本经营预算财政拨款收入支出决算</w:t>
      </w:r>
      <w:r>
        <w:rPr>
          <w:rFonts w:hint="eastAsia" w:ascii="宋体" w:hAnsi="宋体" w:eastAsia="宋体"/>
          <w:sz w:val="24"/>
          <w:szCs w:val="24"/>
        </w:rPr>
        <w:t>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十二、</w:t>
      </w:r>
      <w:r>
        <w:rPr>
          <w:rFonts w:hint="eastAsia" w:ascii="宋体" w:hAnsi="宋体" w:eastAsia="宋体"/>
          <w:color w:val="auto"/>
          <w:kern w:val="2"/>
          <w:sz w:val="24"/>
          <w:szCs w:val="24"/>
          <w:lang w:val="zh-CN"/>
        </w:rPr>
        <w:t>国有资本经营预算财政拨款支出决算表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dot" w:pos="7828"/>
        </w:tabs>
        <w:snapToGrid w:val="0"/>
        <w:spacing w:line="440" w:lineRule="exact"/>
        <w:ind w:left="412"/>
        <w:rPr>
          <w:rFonts w:hint="default" w:ascii="宋体" w:hAnsi="宋体" w:eastAsia="宋体"/>
          <w:sz w:val="24"/>
          <w:szCs w:val="24"/>
          <w:lang w:val="en-US" w:eastAsia="zh-CN"/>
        </w:rPr>
      </w:pPr>
      <w:r>
        <w:rPr>
          <w:rFonts w:hint="eastAsia" w:ascii="宋体" w:hAnsi="宋体" w:eastAsia="宋体"/>
          <w:sz w:val="24"/>
          <w:szCs w:val="24"/>
        </w:rPr>
        <w:t>十三、</w:t>
      </w:r>
      <w:r>
        <w:rPr>
          <w:rFonts w:hint="eastAsia" w:ascii="宋体" w:hAnsi="宋体" w:eastAsia="宋体"/>
          <w:color w:val="auto"/>
          <w:kern w:val="2"/>
          <w:sz w:val="24"/>
          <w:szCs w:val="24"/>
          <w:lang w:val="zh-CN"/>
        </w:rPr>
        <w:t>财政拨款“三公”经费支出决算</w:t>
      </w:r>
      <w:r>
        <w:rPr>
          <w:rFonts w:hint="eastAsia" w:ascii="宋体" w:hAnsi="宋体" w:eastAsia="宋体"/>
          <w:sz w:val="24"/>
          <w:szCs w:val="24"/>
        </w:rPr>
        <w:t>表</w:t>
      </w:r>
      <w:r>
        <w:rPr>
          <w:rFonts w:hint="eastAsia" w:ascii="宋体" w:hAnsi="宋体" w:eastAsia="宋体"/>
          <w:sz w:val="24"/>
          <w:szCs w:val="24"/>
        </w:rPr>
        <w:tab/>
      </w:r>
      <w:r>
        <w:rPr>
          <w:rFonts w:hint="eastAsia" w:ascii="宋体" w:hAnsi="宋体"/>
          <w:sz w:val="24"/>
          <w:szCs w:val="24"/>
          <w:lang w:val="en-US" w:eastAsia="zh-CN"/>
        </w:rPr>
        <w:t>33</w:t>
      </w:r>
    </w:p>
    <w:p>
      <w:pPr>
        <w:pStyle w:val="10"/>
        <w:tabs>
          <w:tab w:val="left" w:leader="middleDot" w:pos="7828"/>
        </w:tabs>
        <w:adjustRightInd w:val="0"/>
        <w:snapToGrid w:val="0"/>
        <w:spacing w:line="440" w:lineRule="exact"/>
        <w:ind w:left="412"/>
        <w:jc w:val="left"/>
        <w:rPr>
          <w:rFonts w:ascii="宋体" w:hAnsi="宋体"/>
          <w:sz w:val="24"/>
        </w:rPr>
      </w:pPr>
    </w:p>
    <w:p>
      <w:pPr>
        <w:widowControl/>
        <w:jc w:val="left"/>
      </w:pPr>
      <w:r>
        <w:br w:type="page"/>
      </w:r>
    </w:p>
    <w:p>
      <w:pPr>
        <w:pStyle w:val="2"/>
        <w:keepNext/>
        <w:keepLines/>
        <w:spacing w:before="340" w:after="330" w:line="576" w:lineRule="auto"/>
        <w:jc w:val="center"/>
        <w:rPr>
          <w:rFonts w:hint="eastAsia" w:ascii="黑体" w:hAnsi="黑体" w:eastAsia="黑体"/>
          <w:b/>
          <w:color w:val="auto"/>
          <w:kern w:val="44"/>
          <w:sz w:val="44"/>
          <w:szCs w:val="24"/>
          <w:lang w:val="zh-CN"/>
        </w:rPr>
      </w:pPr>
      <w:bookmarkStart w:id="0" w:name="_Toc15396602"/>
      <w:bookmarkStart w:id="1" w:name="_Toc15377204"/>
      <w:r>
        <w:rPr>
          <w:rFonts w:hint="eastAsia" w:ascii="黑体" w:hAnsi="黑体" w:eastAsia="黑体"/>
          <w:color w:val="auto"/>
          <w:kern w:val="44"/>
          <w:sz w:val="44"/>
          <w:szCs w:val="24"/>
          <w:lang w:val="zh-CN"/>
        </w:rPr>
        <w:t>第一部分 单位概况</w:t>
      </w:r>
    </w:p>
    <w:p>
      <w:pPr>
        <w:pStyle w:val="4"/>
        <w:keepNext w:val="0"/>
        <w:keepLines w:val="0"/>
        <w:pageBreakBefore w:val="0"/>
        <w:widowControl w:val="0"/>
        <w:kinsoku/>
        <w:wordWrap/>
        <w:overflowPunct/>
        <w:topLinePunct w:val="0"/>
        <w:autoSpaceDE w:val="0"/>
        <w:autoSpaceDN w:val="0"/>
        <w:bidi w:val="0"/>
        <w:adjustRightInd w:val="0"/>
        <w:spacing w:before="0" w:beforeLines="0" w:after="260" w:line="576" w:lineRule="exact"/>
        <w:ind w:firstLine="640"/>
        <w:jc w:val="both"/>
        <w:textAlignment w:val="auto"/>
        <w:outlineLvl w:val="2"/>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pStyle w:val="5"/>
        <w:keepNext w:val="0"/>
        <w:keepLines w:val="0"/>
        <w:pageBreakBefore w:val="0"/>
        <w:widowControl w:val="0"/>
        <w:kinsoku/>
        <w:wordWrap/>
        <w:overflowPunct/>
        <w:topLinePunct w:val="0"/>
        <w:autoSpaceDE w:val="0"/>
        <w:autoSpaceDN w:val="0"/>
        <w:bidi w:val="0"/>
        <w:adjustRightInd w:val="0"/>
        <w:snapToGrid w:val="0"/>
        <w:spacing w:before="0" w:beforeLines="0" w:line="576" w:lineRule="exact"/>
        <w:ind w:firstLine="664" w:firstLineChars="210"/>
        <w:textAlignment w:val="auto"/>
        <w:outlineLvl w:val="2"/>
        <w:rPr>
          <w:rFonts w:hint="eastAsia" w:ascii="仿宋" w:hAnsi="仿宋" w:eastAsia="仿宋"/>
          <w:color w:val="000000"/>
          <w:sz w:val="32"/>
          <w:szCs w:val="24"/>
          <w:lang w:val="en-US" w:eastAsia="zh-CN"/>
        </w:rPr>
      </w:pPr>
      <w:r>
        <w:rPr>
          <w:rFonts w:hint="eastAsia" w:ascii="仿宋" w:hAnsi="仿宋" w:eastAsia="仿宋"/>
          <w:color w:val="000000"/>
          <w:sz w:val="32"/>
          <w:szCs w:val="24"/>
        </w:rPr>
        <w:t>攀枝花市第二小学校是具有小学学历招生资格的区属公办全日制初等教育学校，其主要职能为实施小学义务教育，促进基础教育发展；为少年儿童的德、智、体、美、劳各种素质全面发展打下基础。</w:t>
      </w:r>
      <w:r>
        <w:rPr>
          <w:rFonts w:hint="eastAsia" w:ascii="仿宋" w:hAnsi="仿宋" w:eastAsia="仿宋"/>
          <w:bCs/>
          <w:color w:val="000000"/>
          <w:sz w:val="32"/>
          <w:szCs w:val="32"/>
        </w:rPr>
        <w:t>加大教育投入，着力改善办学条件，完善学校的基础设施建设，努力将攀枝花</w:t>
      </w:r>
      <w:r>
        <w:rPr>
          <w:rFonts w:ascii="仿宋" w:hAnsi="仿宋" w:eastAsia="仿宋"/>
          <w:bCs/>
          <w:color w:val="000000"/>
          <w:sz w:val="32"/>
          <w:szCs w:val="32"/>
        </w:rPr>
        <w:t>市第二小学校</w:t>
      </w:r>
      <w:r>
        <w:rPr>
          <w:rFonts w:hint="eastAsia" w:ascii="仿宋" w:hAnsi="仿宋" w:eastAsia="仿宋"/>
          <w:bCs/>
          <w:color w:val="000000"/>
          <w:sz w:val="32"/>
          <w:szCs w:val="32"/>
        </w:rPr>
        <w:t>管理的两个学校建设成为攀枝花市的优秀义务教育基地；同时全面推进素质教育，加大课堂教学改革力度；继续加强教师培训，提升教师专业素养；强化学校内部管理，提升学校办学效益</w:t>
      </w:r>
      <w:r>
        <w:rPr>
          <w:rFonts w:hint="eastAsia" w:hAnsi="仿宋_GB2312" w:cs="Times New Roman"/>
          <w:color w:val="000000"/>
          <w:kern w:val="2"/>
          <w:sz w:val="32"/>
          <w:szCs w:val="24"/>
          <w:lang w:val="en-US" w:eastAsia="zh-CN"/>
        </w:rPr>
        <w:t>。</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val="0"/>
        <w:spacing w:before="0" w:beforeLines="0" w:line="576" w:lineRule="exact"/>
        <w:ind w:firstLine="664" w:firstLineChars="210"/>
        <w:textAlignment w:val="auto"/>
        <w:outlineLvl w:val="2"/>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机</w:t>
      </w:r>
      <w:r>
        <w:rPr>
          <w:rFonts w:hint="eastAsia" w:ascii="黑体" w:hAnsi="黑体" w:eastAsia="黑体"/>
          <w:color w:val="auto"/>
          <w:kern w:val="2"/>
          <w:sz w:val="32"/>
          <w:szCs w:val="24"/>
          <w:lang w:val="zh-CN"/>
        </w:rPr>
        <w:t>构设置</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576" w:lineRule="exact"/>
        <w:ind w:firstLine="631"/>
        <w:textAlignment w:val="auto"/>
        <w:outlineLvl w:val="2"/>
        <w:rPr>
          <w:rFonts w:hint="eastAsia" w:hAnsi="仿宋_GB2312" w:cs="Times New Roman"/>
          <w:color w:val="000000"/>
          <w:kern w:val="2"/>
          <w:sz w:val="32"/>
          <w:szCs w:val="24"/>
          <w:lang w:val="en-US" w:eastAsia="zh-CN"/>
        </w:rPr>
      </w:pPr>
      <w:r>
        <w:rPr>
          <w:rFonts w:hint="eastAsia" w:hAnsi="仿宋_GB2312" w:cs="Times New Roman"/>
          <w:color w:val="000000"/>
          <w:kern w:val="2"/>
          <w:sz w:val="32"/>
          <w:szCs w:val="24"/>
          <w:lang w:val="en-US" w:eastAsia="zh-CN"/>
        </w:rPr>
        <w:t>攀枝花市第二小学校隶属于攀枝花市东区教育和体育局，其中含攀枝花市第二小学校1所，攀枝花市二小龙珠学校1所，属于全额拨款事业单位，二级决算单位。学校内设机构8个（含教导处、德育处、办公室、总务处均*2），现实有公务用车2辆。</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576" w:lineRule="exact"/>
        <w:ind w:firstLine="631"/>
        <w:textAlignment w:val="auto"/>
        <w:outlineLvl w:val="2"/>
        <w:rPr>
          <w:rFonts w:hint="eastAsia" w:hAnsi="仿宋_GB2312" w:cs="Times New Roman"/>
          <w:color w:val="000000"/>
          <w:kern w:val="2"/>
          <w:sz w:val="32"/>
          <w:szCs w:val="24"/>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576" w:lineRule="exact"/>
        <w:ind w:firstLine="631"/>
        <w:textAlignment w:val="auto"/>
        <w:outlineLvl w:val="2"/>
        <w:rPr>
          <w:rFonts w:hint="eastAsia" w:hAnsi="仿宋_GB2312" w:cs="Times New Roman"/>
          <w:color w:val="000000"/>
          <w:kern w:val="2"/>
          <w:sz w:val="32"/>
          <w:szCs w:val="24"/>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576" w:lineRule="exact"/>
        <w:ind w:firstLine="631"/>
        <w:textAlignment w:val="auto"/>
        <w:outlineLvl w:val="2"/>
        <w:rPr>
          <w:rFonts w:hint="eastAsia" w:hAnsi="仿宋_GB2312" w:cs="Times New Roman"/>
          <w:color w:val="000000"/>
          <w:kern w:val="2"/>
          <w:sz w:val="32"/>
          <w:szCs w:val="24"/>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576" w:lineRule="exact"/>
        <w:ind w:firstLine="631"/>
        <w:textAlignment w:val="auto"/>
        <w:outlineLvl w:val="2"/>
        <w:rPr>
          <w:rFonts w:hint="eastAsia" w:hAnsi="仿宋_GB2312" w:cs="Times New Roman"/>
          <w:color w:val="000000"/>
          <w:kern w:val="2"/>
          <w:sz w:val="32"/>
          <w:szCs w:val="24"/>
          <w:lang w:val="en-US" w:eastAsia="zh-CN"/>
        </w:rPr>
      </w:pPr>
    </w:p>
    <w:p>
      <w:pPr>
        <w:pStyle w:val="5"/>
        <w:numPr>
          <w:ilvl w:val="0"/>
          <w:numId w:val="2"/>
        </w:numPr>
        <w:snapToGrid w:val="0"/>
        <w:spacing w:before="173" w:line="600" w:lineRule="exact"/>
        <w:jc w:val="center"/>
        <w:outlineLvl w:val="2"/>
        <w:rPr>
          <w:rFonts w:hint="eastAsia" w:ascii="黑体" w:hAnsi="黑体" w:eastAsia="黑体"/>
          <w:color w:val="auto"/>
          <w:kern w:val="44"/>
          <w:sz w:val="44"/>
          <w:szCs w:val="24"/>
          <w:lang w:val="zh-CN"/>
        </w:rPr>
      </w:pPr>
      <w:r>
        <w:rPr>
          <w:rFonts w:hint="eastAsia" w:ascii="黑体" w:hAnsi="黑体" w:eastAsia="黑体"/>
          <w:color w:val="auto"/>
          <w:kern w:val="44"/>
          <w:sz w:val="44"/>
          <w:szCs w:val="24"/>
          <w:lang w:val="zh-CN"/>
        </w:rPr>
        <w:t>2022年度单位决算情况说明</w:t>
      </w:r>
    </w:p>
    <w:p>
      <w:pPr>
        <w:pStyle w:val="5"/>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line="576" w:lineRule="exact"/>
        <w:ind w:firstLine="316" w:firstLineChars="100"/>
        <w:textAlignment w:val="auto"/>
        <w:outlineLvl w:val="2"/>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收</w:t>
      </w:r>
      <w:r>
        <w:rPr>
          <w:rFonts w:hint="eastAsia" w:ascii="黑体" w:hAnsi="黑体" w:eastAsia="黑体"/>
          <w:color w:val="auto"/>
          <w:kern w:val="2"/>
          <w:sz w:val="32"/>
          <w:szCs w:val="24"/>
          <w:lang w:val="zh-CN"/>
        </w:rPr>
        <w:t>入支出决算总体情况说明</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576" w:lineRule="exact"/>
        <w:ind w:firstLine="632" w:firstLineChars="200"/>
        <w:textAlignment w:val="auto"/>
        <w:outlineLvl w:val="2"/>
        <w:rPr>
          <w:rFonts w:hint="eastAsia" w:hAnsi="仿宋_GB2312"/>
          <w:color w:val="000000"/>
          <w:kern w:val="2"/>
          <w:sz w:val="32"/>
          <w:szCs w:val="24"/>
          <w:lang w:val="zh-CN"/>
        </w:rPr>
      </w:pPr>
      <w:r>
        <w:rPr>
          <w:rFonts w:hint="eastAsia" w:hAnsi="仿宋_GB2312"/>
          <w:color w:val="000000"/>
          <w:kern w:val="2"/>
          <w:sz w:val="32"/>
          <w:szCs w:val="24"/>
          <w:lang w:val="zh-CN"/>
        </w:rPr>
        <w:t>2022年度收、支总计3,518.56万元。与2021年相比，收、支总计增加351.28万元，增长11.1%。主要变动原因是</w:t>
      </w:r>
      <w:r>
        <w:rPr>
          <w:rFonts w:hint="eastAsia" w:ascii="仿宋" w:hAnsi="仿宋" w:eastAsia="仿宋"/>
          <w:color w:val="000000"/>
          <w:sz w:val="32"/>
          <w:szCs w:val="24"/>
        </w:rPr>
        <w:t>随着学校办学规模扩大，招生人数增加，故造成人员经费的正常增长以及公用经费的相应增加</w:t>
      </w:r>
      <w:r>
        <w:rPr>
          <w:rFonts w:hint="eastAsia" w:hAnsi="仿宋_GB2312"/>
          <w:color w:val="000000"/>
          <w:kern w:val="2"/>
          <w:sz w:val="32"/>
          <w:szCs w:val="24"/>
          <w:lang w:val="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576" w:lineRule="exact"/>
        <w:textAlignment w:val="auto"/>
        <w:outlineLvl w:val="2"/>
        <w:rPr>
          <w:rFonts w:hint="default" w:hAnsi="仿宋_GB2312" w:eastAsia="仿宋_GB2312"/>
          <w:color w:val="000000"/>
          <w:kern w:val="2"/>
          <w:sz w:val="32"/>
          <w:szCs w:val="24"/>
          <w:lang w:val="en-US" w:eastAsia="zh-CN"/>
        </w:rPr>
      </w:pPr>
      <w:r>
        <w:rPr>
          <w:rFonts w:hint="eastAsia" w:hAnsi="仿宋_GB2312"/>
          <w:color w:val="000000"/>
          <w:kern w:val="2"/>
          <w:sz w:val="32"/>
          <w:szCs w:val="24"/>
          <w:lang w:val="en-US" w:eastAsia="zh-CN"/>
        </w:rPr>
        <w:t xml:space="preserve">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textAlignment w:val="auto"/>
        <w:outlineLvl w:val="2"/>
        <w:rPr>
          <w:rFonts w:hint="eastAsia" w:hAnsi="仿宋_GB2312"/>
          <w:color w:val="000000"/>
          <w:kern w:val="2"/>
          <w:sz w:val="32"/>
          <w:szCs w:val="24"/>
          <w:lang w:val="zh-CN"/>
        </w:rPr>
      </w:pPr>
      <w:r>
        <w:rPr>
          <w:rFonts w:hint="eastAsia" w:hAnsi="仿宋_GB2312"/>
          <w:color w:val="000000"/>
          <w:kern w:val="2"/>
          <w:sz w:val="32"/>
          <w:szCs w:val="24"/>
          <w:lang w:val="zh-CN"/>
        </w:rPr>
        <w:drawing>
          <wp:inline distT="0" distB="0" distL="114300" distR="114300">
            <wp:extent cx="5323840" cy="2822575"/>
            <wp:effectExtent l="0" t="0" r="10160" b="1587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5"/>
                    <a:stretch>
                      <a:fillRect/>
                    </a:stretch>
                  </pic:blipFill>
                  <pic:spPr>
                    <a:xfrm>
                      <a:off x="0" y="0"/>
                      <a:ext cx="5323840" cy="2822575"/>
                    </a:xfrm>
                    <a:prstGeom prst="rect">
                      <a:avLst/>
                    </a:prstGeom>
                  </pic:spPr>
                </pic:pic>
              </a:graphicData>
            </a:graphic>
          </wp:inline>
        </w:drawing>
      </w:r>
    </w:p>
    <w:p>
      <w:pPr>
        <w:pStyle w:val="5"/>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line="240" w:lineRule="auto"/>
        <w:ind w:left="0" w:leftChars="0" w:firstLine="316" w:firstLineChars="100"/>
        <w:textAlignment w:val="auto"/>
        <w:outlineLvl w:val="2"/>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收</w:t>
      </w:r>
      <w:r>
        <w:rPr>
          <w:rFonts w:hint="eastAsia" w:ascii="黑体" w:hAnsi="黑体" w:eastAsia="黑体"/>
          <w:color w:val="auto"/>
          <w:kern w:val="2"/>
          <w:sz w:val="32"/>
          <w:szCs w:val="24"/>
          <w:lang w:val="zh-CN"/>
        </w:rPr>
        <w:t>入决算情况说明</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2022年本年收入合计3,492.1</w:t>
      </w:r>
      <w:r>
        <w:rPr>
          <w:rFonts w:hint="eastAsia" w:ascii="仿宋_GB2312" w:hAnsi="仿宋_GB2312" w:eastAsia="仿宋_GB2312"/>
          <w:color w:val="000000"/>
          <w:kern w:val="2"/>
          <w:sz w:val="32"/>
          <w:szCs w:val="24"/>
          <w:lang w:val="en-US" w:eastAsia="zh-CN"/>
        </w:rPr>
        <w:t>9</w:t>
      </w:r>
      <w:r>
        <w:rPr>
          <w:rFonts w:hint="eastAsia" w:ascii="仿宋_GB2312" w:hAnsi="仿宋_GB2312" w:eastAsia="仿宋_GB2312"/>
          <w:color w:val="000000"/>
          <w:kern w:val="2"/>
          <w:sz w:val="32"/>
          <w:szCs w:val="24"/>
          <w:lang w:val="zh-CN"/>
        </w:rPr>
        <w:t>万元，其中：一般公共预算财政拨款收入3,309.57万元，占94.8%；政府性基金预算财政拨款收入5.5万元，占0.2%；国有资本经营预算财政拨款收入0万元，占0%；上级补助收入0万元，占0%；事业收入0万元，占0%；经营收入0万元，占0%；附属单位上缴收入0万元，占0%；其他收入177.1</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万元，占5.1%。</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textAlignment w:val="auto"/>
        <w:outlineLvl w:val="2"/>
        <w:rPr>
          <w:rFonts w:hint="eastAsia" w:ascii="仿宋_GB2312" w:hAnsi="仿宋_GB2312" w:eastAsia="仿宋_GB2312"/>
          <w:color w:val="000000"/>
          <w:kern w:val="2"/>
          <w:sz w:val="32"/>
          <w:szCs w:val="24"/>
          <w:lang w:val="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黑体" w:hAnsi="黑体" w:eastAsia="黑体"/>
          <w:color w:val="000000"/>
          <w:kern w:val="2"/>
          <w:sz w:val="32"/>
          <w:szCs w:val="24"/>
          <w:lang w:val="zh-CN"/>
        </w:rPr>
      </w:pPr>
      <w:r>
        <w:rPr>
          <w:rFonts w:hint="eastAsia" w:ascii="仿宋_GB2312" w:hAnsi="仿宋_GB2312" w:eastAsia="仿宋_GB2312"/>
          <w:color w:val="000000"/>
          <w:kern w:val="2"/>
          <w:sz w:val="32"/>
          <w:szCs w:val="24"/>
          <w:lang w:val="zh-CN"/>
        </w:rPr>
        <w:drawing>
          <wp:inline distT="0" distB="0" distL="114300" distR="114300">
            <wp:extent cx="4834255" cy="2767965"/>
            <wp:effectExtent l="0" t="0" r="4445" b="13335"/>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6"/>
                    <a:stretch>
                      <a:fillRect/>
                    </a:stretch>
                  </pic:blipFill>
                  <pic:spPr>
                    <a:xfrm>
                      <a:off x="0" y="0"/>
                      <a:ext cx="4834255" cy="2767965"/>
                    </a:xfrm>
                    <a:prstGeom prst="rect">
                      <a:avLst/>
                    </a:prstGeom>
                  </pic:spPr>
                </pic:pic>
              </a:graphicData>
            </a:graphic>
          </wp:inline>
        </w:drawing>
      </w:r>
      <w:r>
        <w:rPr>
          <w:rFonts w:hint="eastAsia" w:ascii="黑体" w:hAnsi="黑体" w:eastAsia="黑体"/>
          <w:color w:val="000000"/>
          <w:kern w:val="2"/>
          <w:sz w:val="32"/>
          <w:szCs w:val="24"/>
          <w:lang w:val="zh-CN"/>
        </w:rPr>
        <w:t>三、</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textAlignment w:val="auto"/>
        <w:outlineLvl w:val="2"/>
        <w:rPr>
          <w:rFonts w:hint="eastAsia" w:ascii="黑体" w:hAnsi="黑体" w:eastAsia="黑体"/>
          <w:color w:val="000000"/>
          <w:kern w:val="2"/>
          <w:sz w:val="32"/>
          <w:szCs w:val="24"/>
          <w:lang w:val="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firstLine="316" w:firstLineChars="100"/>
        <w:textAlignment w:val="auto"/>
        <w:outlineLvl w:val="2"/>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en-US" w:eastAsia="zh-CN"/>
        </w:rPr>
        <w:t>三、</w:t>
      </w:r>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2022年本年支出合计3,342.38万元，其中：基本支出3,246.16万元，占97.1%；项目支出96.22万元，占2.9%；上缴上级支出0万元，占0%；经营支出0万元，占0%；对附属单位补助支出0万元，占0%。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ind w:leftChars="100" w:firstLine="632" w:firstLineChars="200"/>
        <w:textAlignment w:val="auto"/>
        <w:outlineLvl w:val="2"/>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drawing>
          <wp:inline distT="0" distB="0" distL="114300" distR="114300">
            <wp:extent cx="5163185" cy="3081655"/>
            <wp:effectExtent l="0" t="0" r="18415" b="4445"/>
            <wp:docPr id="8" name="图片 8" descr="图片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33"/>
                    <pic:cNvPicPr>
                      <a:picLocks noChangeAspect="1"/>
                    </pic:cNvPicPr>
                  </pic:nvPicPr>
                  <pic:blipFill>
                    <a:blip r:embed="rId7"/>
                    <a:stretch>
                      <a:fillRect/>
                    </a:stretch>
                  </pic:blipFill>
                  <pic:spPr>
                    <a:xfrm>
                      <a:off x="0" y="0"/>
                      <a:ext cx="5163185" cy="3081655"/>
                    </a:xfrm>
                    <a:prstGeom prst="rect">
                      <a:avLst/>
                    </a:prstGeom>
                  </pic:spPr>
                </pic:pic>
              </a:graphicData>
            </a:graphic>
          </wp:inline>
        </w:drawing>
      </w:r>
    </w:p>
    <w:p>
      <w:pPr>
        <w:keepNext/>
        <w:keepLines/>
        <w:spacing w:line="576" w:lineRule="exact"/>
        <w:ind w:firstLine="632" w:firstLineChars="20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2022年财政拨款收、支总计3,341.44万元。与2021年相比，财政拨款收、支总计增加175.34万元，增长5.5%。主要变动原因是</w:t>
      </w:r>
      <w:r>
        <w:rPr>
          <w:rFonts w:hint="eastAsia" w:ascii="仿宋" w:hAnsi="仿宋" w:eastAsia="仿宋"/>
          <w:color w:val="000000"/>
          <w:sz w:val="32"/>
          <w:szCs w:val="24"/>
        </w:rPr>
        <w:t>随着学校办学规模扩大，招生人数增加，故造成人员经费的正常增长以及公用经费的相应增加</w:t>
      </w:r>
      <w:r>
        <w:rPr>
          <w:rFonts w:hint="eastAsia" w:ascii="仿宋_GB2312" w:hAnsi="仿宋_GB2312" w:eastAsia="仿宋_GB2312"/>
          <w:color w:val="000000"/>
          <w:kern w:val="2"/>
          <w:sz w:val="32"/>
          <w:szCs w:val="24"/>
          <w:lang w:val="zh-CN"/>
        </w:rPr>
        <w:t>。</w:t>
      </w:r>
    </w:p>
    <w:p>
      <w:pPr>
        <w:spacing w:line="240" w:lineRule="auto"/>
        <w:ind w:firstLine="640"/>
        <w:jc w:val="both"/>
        <w:rPr>
          <w:rFonts w:hint="eastAsia" w:ascii="黑体" w:hAnsi="黑体" w:eastAsia="黑体"/>
          <w:b/>
          <w:color w:val="000000"/>
          <w:kern w:val="2"/>
          <w:sz w:val="32"/>
          <w:szCs w:val="24"/>
          <w:lang w:val="en-US" w:eastAsia="zh-CN"/>
        </w:rPr>
      </w:pPr>
      <w:r>
        <w:rPr>
          <w:rFonts w:hint="eastAsia" w:ascii="仿宋_GB2312" w:hAnsi="仿宋_GB2312" w:eastAsia="仿宋_GB2312"/>
          <w:color w:val="000000"/>
          <w:kern w:val="2"/>
          <w:sz w:val="32"/>
          <w:szCs w:val="24"/>
          <w:lang w:val="zh-CN"/>
        </w:rPr>
        <w:drawing>
          <wp:inline distT="0" distB="0" distL="114300" distR="114300">
            <wp:extent cx="4848860" cy="2744470"/>
            <wp:effectExtent l="0" t="0" r="8890" b="17780"/>
            <wp:docPr id="14" name="图片 14" descr="图片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414"/>
                    <pic:cNvPicPr>
                      <a:picLocks noChangeAspect="1"/>
                    </pic:cNvPicPr>
                  </pic:nvPicPr>
                  <pic:blipFill>
                    <a:blip r:embed="rId8"/>
                    <a:stretch>
                      <a:fillRect/>
                    </a:stretch>
                  </pic:blipFill>
                  <pic:spPr>
                    <a:xfrm>
                      <a:off x="0" y="0"/>
                      <a:ext cx="4848860" cy="2744470"/>
                    </a:xfrm>
                    <a:prstGeom prst="rect">
                      <a:avLst/>
                    </a:prstGeom>
                  </pic:spPr>
                </pic:pic>
              </a:graphicData>
            </a:graphic>
          </wp:inline>
        </w:drawing>
      </w:r>
    </w:p>
    <w:p>
      <w:pPr>
        <w:numPr>
          <w:ilvl w:val="0"/>
          <w:numId w:val="0"/>
        </w:numPr>
        <w:tabs>
          <w:tab w:val="left" w:pos="939"/>
        </w:tabs>
        <w:spacing w:line="576" w:lineRule="exact"/>
        <w:ind w:firstLine="316" w:firstLineChars="100"/>
        <w:rPr>
          <w:rFonts w:hint="eastAsia" w:ascii="仿宋_GB2312" w:hAnsi="仿宋_GB2312" w:eastAsia="仿宋_GB2312"/>
          <w:b/>
          <w:color w:val="000000"/>
          <w:kern w:val="2"/>
          <w:sz w:val="32"/>
          <w:szCs w:val="24"/>
          <w:lang w:val="zh-CN"/>
        </w:rPr>
      </w:pPr>
      <w:r>
        <w:rPr>
          <w:rFonts w:hint="eastAsia" w:ascii="黑体" w:hAnsi="黑体" w:eastAsia="黑体"/>
          <w:b/>
          <w:color w:val="000000"/>
          <w:kern w:val="2"/>
          <w:sz w:val="32"/>
          <w:szCs w:val="24"/>
          <w:lang w:val="en-US" w:eastAsia="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numPr>
          <w:ilvl w:val="0"/>
          <w:numId w:val="4"/>
        </w:numPr>
        <w:tabs>
          <w:tab w:val="left" w:pos="939"/>
        </w:tabs>
        <w:spacing w:line="576" w:lineRule="exact"/>
        <w:ind w:firstLine="316" w:firstLineChars="100"/>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一般公共预算财政拨款支出决算总体情况。</w:t>
      </w:r>
    </w:p>
    <w:p>
      <w:pPr>
        <w:keepNext w:val="0"/>
        <w:keepLines w:val="0"/>
        <w:pageBreakBefore w:val="0"/>
        <w:widowControl w:val="0"/>
        <w:numPr>
          <w:ilvl w:val="0"/>
          <w:numId w:val="0"/>
        </w:numPr>
        <w:tabs>
          <w:tab w:val="left" w:pos="939"/>
        </w:tabs>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2022年一般公共预算财政拨款支出3,334.94万元，占本年支出合计的99.8%。与2021年相比，一般公共预算财政拨款支出增加182.8万元，增长5.8%。主要变动原因是</w:t>
      </w:r>
      <w:r>
        <w:rPr>
          <w:rFonts w:hint="eastAsia" w:ascii="仿宋" w:hAnsi="仿宋" w:eastAsia="仿宋"/>
          <w:color w:val="000000"/>
          <w:sz w:val="32"/>
          <w:szCs w:val="24"/>
        </w:rPr>
        <w:t>随着学校办学规模扩大，招生人数增加，故造成人员经费的正常增长以及公用经费的相应增加</w:t>
      </w:r>
      <w:r>
        <w:rPr>
          <w:rFonts w:hint="eastAsia" w:ascii="仿宋_GB2312" w:hAnsi="仿宋_GB2312" w:eastAsia="仿宋_GB2312"/>
          <w:color w:val="000000"/>
          <w:kern w:val="2"/>
          <w:sz w:val="32"/>
          <w:szCs w:val="24"/>
          <w:lang w:val="zh-CN"/>
        </w:rPr>
        <w:t>。</w:t>
      </w:r>
    </w:p>
    <w:p>
      <w:pPr>
        <w:keepNext w:val="0"/>
        <w:keepLines w:val="0"/>
        <w:pageBreakBefore w:val="0"/>
        <w:widowControl w:val="0"/>
        <w:numPr>
          <w:ilvl w:val="0"/>
          <w:numId w:val="0"/>
        </w:numPr>
        <w:tabs>
          <w:tab w:val="left" w:pos="939"/>
        </w:tab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drawing>
          <wp:inline distT="0" distB="0" distL="114300" distR="114300">
            <wp:extent cx="4791075" cy="2736850"/>
            <wp:effectExtent l="0" t="0" r="9525" b="6350"/>
            <wp:docPr id="12" name="图片 12" descr="图片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55"/>
                    <pic:cNvPicPr>
                      <a:picLocks noChangeAspect="1"/>
                    </pic:cNvPicPr>
                  </pic:nvPicPr>
                  <pic:blipFill>
                    <a:blip r:embed="rId9"/>
                    <a:stretch>
                      <a:fillRect/>
                    </a:stretch>
                  </pic:blipFill>
                  <pic:spPr>
                    <a:xfrm>
                      <a:off x="0" y="0"/>
                      <a:ext cx="4791075" cy="2736850"/>
                    </a:xfrm>
                    <a:prstGeom prst="rect">
                      <a:avLst/>
                    </a:prstGeom>
                  </pic:spPr>
                </pic:pic>
              </a:graphicData>
            </a:graphic>
          </wp:inline>
        </w:drawing>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316" w:firstLineChars="100"/>
        <w:jc w:val="both"/>
        <w:textAlignment w:val="auto"/>
        <w:rPr>
          <w:rFonts w:hint="eastAsia" w:ascii="仿宋_GB2312" w:hAnsi="仿宋_GB2312" w:eastAsia="仿宋_GB2312"/>
          <w:b/>
          <w:color w:val="auto"/>
          <w:kern w:val="2"/>
          <w:sz w:val="32"/>
          <w:szCs w:val="24"/>
          <w:lang w:val="zh-CN"/>
        </w:rPr>
      </w:pPr>
      <w:r>
        <w:rPr>
          <w:rFonts w:hint="eastAsia" w:ascii="仿宋_GB2312" w:hAnsi="仿宋_GB2312" w:eastAsia="仿宋_GB2312"/>
          <w:b/>
          <w:color w:val="auto"/>
          <w:kern w:val="2"/>
          <w:sz w:val="32"/>
          <w:szCs w:val="24"/>
          <w:lang w:val="zh-CN"/>
        </w:rPr>
        <w:t>一般公共预算财政拨款支出决算结构情况。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olor w:val="auto"/>
          <w:kern w:val="2"/>
          <w:sz w:val="32"/>
          <w:szCs w:val="24"/>
          <w:lang w:val="zh-CN"/>
        </w:rPr>
      </w:pPr>
      <w:r>
        <w:rPr>
          <w:rFonts w:hint="eastAsia" w:ascii="仿宋_GB2312" w:hAnsi="仿宋_GB2312" w:eastAsia="仿宋_GB2312"/>
          <w:color w:val="auto"/>
          <w:kern w:val="2"/>
          <w:sz w:val="32"/>
          <w:szCs w:val="24"/>
          <w:lang w:val="zh-CN"/>
        </w:rPr>
        <w:t>2022年一般公共预算财政拨款支出3,334.94万元，主要用于以下方面: 一般公共服务支出0万元，占0%；外交支出0万元，占0%；国防支出0万元，占0%；公共安全支出0万元，占0%；教育支出2,500.82万元，占75%；科学技术支出0万元，占0%；文化体育与传媒支出9.02万元，占0.3%；社会保障和就业支出253.32万元，占7.6%；卫生健康支出277.52万元，占8.3%；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住房保障支出271.85万元，占8.2%；粮油物资储备支出0万元，占0%；国有资本经营预算支出0万元，占0%；灾害防治及应急管理支出0万元，占0%；其他支出22.41万元，占0.7%；债务还本支出0万元，占0%；债务付息支出0万元，占0%；抗疫特别国债安排的支出0万元，占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olor w:val="auto"/>
          <w:kern w:val="2"/>
          <w:sz w:val="32"/>
          <w:szCs w:val="24"/>
          <w:lang w:val="en-US" w:eastAsia="zh-CN"/>
        </w:rPr>
      </w:pPr>
      <w:r>
        <w:rPr>
          <w:rFonts w:hint="eastAsia" w:ascii="仿宋_GB2312" w:hAnsi="仿宋_GB2312" w:eastAsia="仿宋_GB2312"/>
          <w:color w:val="auto"/>
          <w:kern w:val="2"/>
          <w:sz w:val="32"/>
          <w:szCs w:val="24"/>
          <w:lang w:val="en-US" w:eastAsia="zh-CN"/>
        </w:rPr>
        <w:t xml:space="preserve"> </w:t>
      </w:r>
      <w:r>
        <w:rPr>
          <w:rFonts w:hint="eastAsia" w:ascii="仿宋_GB2312" w:hAnsi="仿宋_GB2312" w:eastAsia="仿宋_GB2312"/>
          <w:color w:val="auto"/>
          <w:kern w:val="2"/>
          <w:sz w:val="32"/>
          <w:szCs w:val="24"/>
          <w:lang w:val="en-US" w:eastAsia="zh-CN"/>
        </w:rPr>
        <w:drawing>
          <wp:inline distT="0" distB="0" distL="114300" distR="114300">
            <wp:extent cx="5297170" cy="3078480"/>
            <wp:effectExtent l="0" t="0" r="17780" b="7620"/>
            <wp:docPr id="16" name="图片 16" descr="图片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66"/>
                    <pic:cNvPicPr>
                      <a:picLocks noChangeAspect="1"/>
                    </pic:cNvPicPr>
                  </pic:nvPicPr>
                  <pic:blipFill>
                    <a:blip r:embed="rId10"/>
                    <a:stretch>
                      <a:fillRect/>
                    </a:stretch>
                  </pic:blipFill>
                  <pic:spPr>
                    <a:xfrm>
                      <a:off x="0" y="0"/>
                      <a:ext cx="5297170" cy="3078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2022年一般公共预算支出决算数为3,334.94万元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1.教育支出（类）</w:t>
      </w:r>
      <w:r>
        <w:rPr>
          <w:rFonts w:hint="eastAsia" w:ascii="仿宋_GB2312" w:hAnsi="仿宋_GB2312" w:eastAsia="仿宋_GB2312"/>
          <w:b/>
          <w:color w:val="000000"/>
          <w:kern w:val="2"/>
          <w:sz w:val="32"/>
          <w:szCs w:val="24"/>
          <w:lang w:val="en-US" w:eastAsia="zh-CN"/>
        </w:rPr>
        <w:t>普通教育</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小学教育</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2431.49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2.教育支出（类）</w:t>
      </w:r>
      <w:r>
        <w:rPr>
          <w:rFonts w:hint="eastAsia" w:ascii="仿宋_GB2312" w:hAnsi="仿宋_GB2312" w:eastAsia="仿宋_GB2312"/>
          <w:b/>
          <w:color w:val="000000"/>
          <w:kern w:val="2"/>
          <w:sz w:val="32"/>
          <w:szCs w:val="24"/>
          <w:lang w:val="en-US" w:eastAsia="zh-CN"/>
        </w:rPr>
        <w:t>普通教育</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其他普通教育支出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2.43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3.教育支出（类）</w:t>
      </w:r>
      <w:r>
        <w:rPr>
          <w:rFonts w:hint="eastAsia" w:ascii="仿宋_GB2312" w:hAnsi="仿宋_GB2312" w:eastAsia="仿宋_GB2312"/>
          <w:b/>
          <w:color w:val="000000"/>
          <w:kern w:val="2"/>
          <w:sz w:val="32"/>
          <w:szCs w:val="24"/>
          <w:lang w:val="en-US" w:eastAsia="zh-CN"/>
        </w:rPr>
        <w:t>教育费附加安排的支出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其他教育费附加安排的支出</w:t>
      </w:r>
      <w:r>
        <w:rPr>
          <w:rFonts w:hint="eastAsia" w:ascii="仿宋_GB2312" w:hAnsi="仿宋_GB2312" w:eastAsia="仿宋_GB2312"/>
          <w:b/>
          <w:color w:val="000000"/>
          <w:kern w:val="2"/>
          <w:sz w:val="32"/>
          <w:szCs w:val="24"/>
          <w:lang w:val="en-US"/>
        </w:rPr>
        <w:t>（</w:t>
      </w:r>
      <w:r>
        <w:rPr>
          <w:rFonts w:hint="eastAsia" w:ascii="仿宋_GB2312" w:hAnsi="仿宋_GB2312" w:eastAsia="仿宋_GB2312"/>
          <w:b/>
          <w:color w:val="000000"/>
          <w:kern w:val="2"/>
          <w:sz w:val="32"/>
          <w:szCs w:val="24"/>
          <w:lang w:val="en-US" w:eastAsia="zh-CN"/>
        </w:rPr>
        <w:t>99</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66.90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4.文化旅游体育与传媒支出（类）</w:t>
      </w:r>
      <w:r>
        <w:rPr>
          <w:rFonts w:hint="eastAsia" w:ascii="仿宋_GB2312" w:hAnsi="仿宋_GB2312" w:eastAsia="仿宋_GB2312"/>
          <w:b/>
          <w:color w:val="000000"/>
          <w:kern w:val="2"/>
          <w:sz w:val="32"/>
          <w:szCs w:val="24"/>
          <w:lang w:val="en-US" w:eastAsia="zh-CN"/>
        </w:rPr>
        <w:t>体育</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其他体育支出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9.02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5.社会保障和就业支出（类）</w:t>
      </w:r>
      <w:r>
        <w:rPr>
          <w:rFonts w:hint="eastAsia" w:ascii="仿宋_GB2312" w:hAnsi="仿宋_GB2312" w:eastAsia="仿宋_GB2312"/>
          <w:b/>
          <w:color w:val="000000"/>
          <w:kern w:val="2"/>
          <w:sz w:val="32"/>
          <w:szCs w:val="24"/>
          <w:lang w:val="en-US" w:eastAsia="zh-CN"/>
        </w:rPr>
        <w:t>行政事业单位养老支出</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机关事业单位基本养老保险缴费支出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249.52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textAlignment w:val="auto"/>
        <w:rPr>
          <w:rFonts w:hint="eastAsia" w:ascii="仿宋_GB2312" w:hAnsi="仿宋_GB2312" w:eastAsia="仿宋"/>
          <w:b/>
          <w:color w:val="000000"/>
          <w:kern w:val="2"/>
          <w:sz w:val="32"/>
          <w:szCs w:val="24"/>
          <w:lang w:val="en-US" w:eastAsia="zh-CN"/>
        </w:rPr>
      </w:pPr>
      <w:r>
        <w:rPr>
          <w:rFonts w:hint="eastAsia" w:ascii="仿宋_GB2312" w:hAnsi="仿宋_GB2312" w:eastAsia="仿宋_GB2312"/>
          <w:b/>
          <w:color w:val="000000"/>
          <w:kern w:val="2"/>
          <w:sz w:val="32"/>
          <w:szCs w:val="24"/>
          <w:lang w:val="en-US"/>
        </w:rPr>
        <w:t>6.社会保障和就业支出（类）</w:t>
      </w:r>
      <w:r>
        <w:rPr>
          <w:rFonts w:hint="eastAsia" w:ascii="仿宋_GB2312" w:hAnsi="仿宋_GB2312" w:eastAsia="仿宋_GB2312"/>
          <w:b/>
          <w:color w:val="000000"/>
          <w:kern w:val="2"/>
          <w:sz w:val="32"/>
          <w:szCs w:val="24"/>
          <w:lang w:val="en-US" w:eastAsia="zh-CN"/>
        </w:rPr>
        <w:t>抚恤</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伤残抚恤</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3.8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spacing w:line="600" w:lineRule="exact"/>
        <w:ind w:firstLine="63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卫生健康支出</w:t>
      </w:r>
      <w:r>
        <w:rPr>
          <w:rStyle w:val="14"/>
          <w:rFonts w:hint="eastAsia" w:ascii="仿宋" w:hAnsi="仿宋" w:eastAsia="仿宋"/>
          <w:bCs/>
          <w:color w:val="000000"/>
          <w:sz w:val="32"/>
          <w:szCs w:val="32"/>
        </w:rPr>
        <w:t>（类）行事事业</w:t>
      </w:r>
      <w:r>
        <w:rPr>
          <w:rStyle w:val="14"/>
          <w:rFonts w:ascii="仿宋" w:hAnsi="仿宋" w:eastAsia="仿宋"/>
          <w:bCs/>
          <w:color w:val="000000"/>
          <w:sz w:val="32"/>
          <w:szCs w:val="32"/>
        </w:rPr>
        <w:t>单位医疗</w:t>
      </w:r>
      <w:r>
        <w:rPr>
          <w:rStyle w:val="14"/>
          <w:rFonts w:hint="eastAsia" w:ascii="仿宋" w:hAnsi="仿宋" w:eastAsia="仿宋"/>
          <w:bCs/>
          <w:color w:val="000000"/>
          <w:sz w:val="32"/>
          <w:szCs w:val="32"/>
        </w:rPr>
        <w:t>（款）事业单位</w:t>
      </w:r>
      <w:r>
        <w:rPr>
          <w:rStyle w:val="14"/>
          <w:rFonts w:ascii="仿宋" w:hAnsi="仿宋" w:eastAsia="仿宋"/>
          <w:bCs/>
          <w:color w:val="000000"/>
          <w:sz w:val="32"/>
          <w:szCs w:val="32"/>
        </w:rPr>
        <w:t>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188.86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32"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卫生健康支出</w:t>
      </w:r>
      <w:r>
        <w:rPr>
          <w:rStyle w:val="14"/>
          <w:rFonts w:hint="eastAsia" w:ascii="仿宋" w:hAnsi="仿宋" w:eastAsia="仿宋"/>
          <w:bCs/>
          <w:color w:val="000000"/>
          <w:sz w:val="32"/>
          <w:szCs w:val="32"/>
        </w:rPr>
        <w:t>（类）行事事业</w:t>
      </w:r>
      <w:r>
        <w:rPr>
          <w:rStyle w:val="14"/>
          <w:rFonts w:ascii="仿宋" w:hAnsi="仿宋" w:eastAsia="仿宋"/>
          <w:bCs/>
          <w:color w:val="000000"/>
          <w:sz w:val="32"/>
          <w:szCs w:val="32"/>
        </w:rPr>
        <w:t>单位医疗</w:t>
      </w:r>
      <w:r>
        <w:rPr>
          <w:rStyle w:val="14"/>
          <w:rFonts w:hint="eastAsia" w:ascii="仿宋" w:hAnsi="仿宋" w:eastAsia="仿宋"/>
          <w:bCs/>
          <w:color w:val="000000"/>
          <w:sz w:val="32"/>
          <w:szCs w:val="32"/>
        </w:rPr>
        <w:t>（款）公务员</w:t>
      </w:r>
      <w:r>
        <w:rPr>
          <w:rStyle w:val="14"/>
          <w:rFonts w:ascii="仿宋" w:hAnsi="仿宋" w:eastAsia="仿宋"/>
          <w:bCs/>
          <w:color w:val="000000"/>
          <w:sz w:val="32"/>
          <w:szCs w:val="32"/>
        </w:rPr>
        <w:t>医疗</w:t>
      </w:r>
      <w:r>
        <w:rPr>
          <w:rStyle w:val="14"/>
          <w:rFonts w:hint="eastAsia" w:ascii="仿宋" w:hAnsi="仿宋" w:eastAsia="仿宋"/>
          <w:bCs/>
          <w:color w:val="000000"/>
          <w:sz w:val="32"/>
          <w:szCs w:val="32"/>
        </w:rPr>
        <w:t>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88.66</w:t>
      </w:r>
      <w:r>
        <w:rPr>
          <w:rStyle w:val="14"/>
          <w:rFonts w:hint="eastAsia" w:ascii="仿宋" w:hAnsi="仿宋" w:eastAsia="仿宋"/>
          <w:b w:val="0"/>
          <w:bCs/>
          <w:color w:val="000000"/>
          <w:sz w:val="32"/>
          <w:szCs w:val="32"/>
        </w:rPr>
        <w:t>万元，完成调整</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32" w:firstLineChars="200"/>
        <w:rPr>
          <w:rStyle w:val="14"/>
          <w:rFonts w:hint="eastAsia" w:ascii="仿宋" w:hAnsi="仿宋" w:eastAsia="仿宋"/>
          <w:b w:val="0"/>
          <w:bCs/>
          <w:color w:val="000000"/>
          <w:sz w:val="32"/>
          <w:szCs w:val="32"/>
        </w:rPr>
      </w:pPr>
      <w:r>
        <w:rPr>
          <w:rFonts w:hint="eastAsia" w:ascii="仿宋" w:hAnsi="仿宋" w:eastAsia="仿宋"/>
          <w:b/>
          <w:bCs/>
          <w:color w:val="000000"/>
          <w:sz w:val="32"/>
          <w:szCs w:val="32"/>
          <w:lang w:val="en-US" w:eastAsia="zh-CN"/>
        </w:rPr>
        <w:t>9.</w:t>
      </w:r>
      <w:r>
        <w:rPr>
          <w:rFonts w:hint="eastAsia" w:ascii="仿宋" w:hAnsi="仿宋" w:eastAsia="仿宋"/>
          <w:b/>
          <w:bCs/>
          <w:color w:val="000000"/>
          <w:sz w:val="32"/>
          <w:szCs w:val="32"/>
        </w:rPr>
        <w:t>住房</w:t>
      </w:r>
      <w:r>
        <w:rPr>
          <w:rFonts w:ascii="仿宋" w:hAnsi="仿宋" w:eastAsia="仿宋"/>
          <w:b/>
          <w:bCs/>
          <w:color w:val="000000"/>
          <w:sz w:val="32"/>
          <w:szCs w:val="32"/>
        </w:rPr>
        <w:t>保障</w:t>
      </w:r>
      <w:r>
        <w:rPr>
          <w:rFonts w:hint="eastAsia" w:ascii="仿宋" w:hAnsi="仿宋" w:eastAsia="仿宋"/>
          <w:b/>
          <w:bCs/>
          <w:color w:val="000000"/>
          <w:sz w:val="32"/>
          <w:szCs w:val="32"/>
        </w:rPr>
        <w:t>支出</w:t>
      </w:r>
      <w:r>
        <w:rPr>
          <w:rStyle w:val="14"/>
          <w:rFonts w:hint="eastAsia" w:ascii="仿宋" w:hAnsi="仿宋" w:eastAsia="仿宋"/>
          <w:bCs/>
          <w:color w:val="000000"/>
          <w:sz w:val="32"/>
          <w:szCs w:val="32"/>
        </w:rPr>
        <w:t>（类）住房改革</w:t>
      </w:r>
      <w:r>
        <w:rPr>
          <w:rStyle w:val="14"/>
          <w:rFonts w:ascii="仿宋" w:hAnsi="仿宋" w:eastAsia="仿宋"/>
          <w:bCs/>
          <w:color w:val="000000"/>
          <w:sz w:val="32"/>
          <w:szCs w:val="32"/>
        </w:rPr>
        <w:t>支出</w:t>
      </w:r>
      <w:r>
        <w:rPr>
          <w:rStyle w:val="14"/>
          <w:rFonts w:hint="eastAsia" w:ascii="仿宋" w:hAnsi="仿宋" w:eastAsia="仿宋"/>
          <w:bCs/>
          <w:color w:val="000000"/>
          <w:sz w:val="32"/>
          <w:szCs w:val="32"/>
        </w:rPr>
        <w:t>（款）住房</w:t>
      </w:r>
      <w:r>
        <w:rPr>
          <w:rStyle w:val="14"/>
          <w:rFonts w:ascii="仿宋" w:hAnsi="仿宋" w:eastAsia="仿宋"/>
          <w:bCs/>
          <w:color w:val="000000"/>
          <w:sz w:val="32"/>
          <w:szCs w:val="32"/>
        </w:rPr>
        <w:t>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271.85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32" w:firstLineChars="200"/>
        <w:rPr>
          <w:rStyle w:val="14"/>
          <w:rFonts w:hint="eastAsia" w:ascii="仿宋" w:hAnsi="仿宋" w:eastAsia="仿宋"/>
          <w:b w:val="0"/>
          <w:bCs/>
          <w:color w:val="000000"/>
          <w:sz w:val="32"/>
          <w:szCs w:val="32"/>
        </w:rPr>
      </w:pPr>
      <w:r>
        <w:rPr>
          <w:rFonts w:hint="eastAsia" w:ascii="仿宋" w:hAnsi="仿宋" w:eastAsia="仿宋"/>
          <w:b/>
          <w:bCs/>
          <w:color w:val="000000"/>
          <w:sz w:val="32"/>
          <w:szCs w:val="32"/>
          <w:lang w:val="en-US" w:eastAsia="zh-CN"/>
        </w:rPr>
        <w:t>10.其他支出（</w:t>
      </w:r>
      <w:r>
        <w:rPr>
          <w:rStyle w:val="14"/>
          <w:rFonts w:hint="eastAsia" w:ascii="仿宋" w:hAnsi="仿宋" w:eastAsia="仿宋"/>
          <w:bCs/>
          <w:color w:val="000000"/>
          <w:sz w:val="32"/>
          <w:szCs w:val="32"/>
        </w:rPr>
        <w:t>类</w:t>
      </w:r>
      <w:r>
        <w:rPr>
          <w:rFonts w:hint="eastAsia" w:ascii="仿宋" w:hAnsi="仿宋" w:eastAsia="仿宋"/>
          <w:b/>
          <w:bCs/>
          <w:color w:val="000000"/>
          <w:sz w:val="32"/>
          <w:szCs w:val="32"/>
          <w:lang w:val="en-US" w:eastAsia="zh-CN"/>
        </w:rPr>
        <w:t>）其他支出（</w:t>
      </w:r>
      <w:r>
        <w:rPr>
          <w:rStyle w:val="14"/>
          <w:rFonts w:hint="eastAsia" w:ascii="仿宋" w:hAnsi="仿宋" w:eastAsia="仿宋"/>
          <w:bCs/>
          <w:color w:val="000000"/>
          <w:sz w:val="32"/>
          <w:szCs w:val="32"/>
        </w:rPr>
        <w:t>款</w:t>
      </w:r>
      <w:r>
        <w:rPr>
          <w:rFonts w:hint="eastAsia" w:ascii="仿宋" w:hAnsi="仿宋" w:eastAsia="仿宋"/>
          <w:b/>
          <w:bCs/>
          <w:color w:val="000000"/>
          <w:sz w:val="32"/>
          <w:szCs w:val="32"/>
          <w:lang w:val="en-US" w:eastAsia="zh-CN"/>
        </w:rPr>
        <w:t>）其他支出（</w:t>
      </w:r>
      <w:r>
        <w:rPr>
          <w:rStyle w:val="14"/>
          <w:rFonts w:hint="eastAsia" w:ascii="仿宋" w:hAnsi="仿宋" w:eastAsia="仿宋"/>
          <w:bCs/>
          <w:color w:val="000000"/>
          <w:sz w:val="32"/>
          <w:szCs w:val="32"/>
        </w:rPr>
        <w:t>项</w:t>
      </w:r>
      <w:r>
        <w:rPr>
          <w:rFonts w:hint="eastAsia" w:ascii="仿宋" w:hAnsi="仿宋" w:eastAsia="仿宋"/>
          <w:b/>
          <w:bCs/>
          <w:color w:val="000000"/>
          <w:sz w:val="32"/>
          <w:szCs w:val="32"/>
          <w:lang w:val="en-US"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22.41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32" w:firstLineChars="20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r>
        <w:rPr>
          <w:rFonts w:hint="eastAsia" w:ascii="黑体" w:hAnsi="黑体" w:eastAsia="黑体"/>
          <w:color w:val="auto"/>
          <w:kern w:val="2"/>
          <w:sz w:val="32"/>
          <w:szCs w:val="24"/>
          <w:lang w:val="zh-CN"/>
        </w:rPr>
        <w:tab/>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2022年一般公共预算财政拨款基本支出3,245.2</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2,968.5</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基本工资</w:t>
      </w:r>
      <w:r>
        <w:rPr>
          <w:rFonts w:hint="eastAsia" w:ascii="仿宋" w:hAnsi="仿宋" w:eastAsia="仿宋"/>
          <w:color w:val="auto"/>
          <w:kern w:val="2"/>
          <w:sz w:val="32"/>
          <w:szCs w:val="24"/>
          <w:lang w:val="en-US" w:eastAsia="zh-CN"/>
        </w:rPr>
        <w:t>870.95万元</w:t>
      </w:r>
      <w:r>
        <w:rPr>
          <w:rFonts w:hint="eastAsia" w:ascii="仿宋" w:hAnsi="仿宋" w:eastAsia="仿宋"/>
          <w:color w:val="auto"/>
          <w:kern w:val="2"/>
          <w:sz w:val="32"/>
          <w:szCs w:val="24"/>
          <w:lang w:val="en-US"/>
        </w:rPr>
        <w:t>、津贴补贴</w:t>
      </w:r>
      <w:r>
        <w:rPr>
          <w:rFonts w:hint="eastAsia" w:ascii="仿宋" w:hAnsi="仿宋" w:eastAsia="仿宋"/>
          <w:color w:val="auto"/>
          <w:kern w:val="2"/>
          <w:sz w:val="32"/>
          <w:szCs w:val="24"/>
          <w:lang w:val="en-US" w:eastAsia="zh-CN"/>
        </w:rPr>
        <w:t>93.73万元</w:t>
      </w:r>
      <w:r>
        <w:rPr>
          <w:rFonts w:hint="eastAsia" w:ascii="仿宋" w:hAnsi="仿宋" w:eastAsia="仿宋"/>
          <w:color w:val="auto"/>
          <w:kern w:val="2"/>
          <w:sz w:val="32"/>
          <w:szCs w:val="24"/>
          <w:lang w:val="en-US"/>
        </w:rPr>
        <w:t>、绩效工资</w:t>
      </w:r>
      <w:r>
        <w:rPr>
          <w:rFonts w:hint="eastAsia" w:ascii="仿宋" w:hAnsi="仿宋" w:eastAsia="仿宋"/>
          <w:color w:val="auto"/>
          <w:kern w:val="2"/>
          <w:sz w:val="32"/>
          <w:szCs w:val="24"/>
          <w:lang w:val="en-US" w:eastAsia="zh-CN"/>
        </w:rPr>
        <w:t>1080.68万元</w:t>
      </w:r>
      <w:r>
        <w:rPr>
          <w:rFonts w:hint="eastAsia" w:ascii="仿宋" w:hAnsi="仿宋" w:eastAsia="仿宋"/>
          <w:color w:val="auto"/>
          <w:kern w:val="2"/>
          <w:sz w:val="32"/>
          <w:szCs w:val="24"/>
          <w:lang w:val="en-US"/>
        </w:rPr>
        <w:t>、机关事业单位基本养老保险缴费</w:t>
      </w:r>
      <w:r>
        <w:rPr>
          <w:rFonts w:hint="eastAsia" w:ascii="仿宋" w:hAnsi="仿宋" w:eastAsia="仿宋"/>
          <w:color w:val="auto"/>
          <w:kern w:val="2"/>
          <w:sz w:val="32"/>
          <w:szCs w:val="24"/>
          <w:lang w:val="en-US" w:eastAsia="zh-CN"/>
        </w:rPr>
        <w:t>249.52万元</w:t>
      </w:r>
      <w:r>
        <w:rPr>
          <w:rFonts w:hint="eastAsia" w:ascii="仿宋" w:hAnsi="仿宋" w:eastAsia="仿宋"/>
          <w:color w:val="auto"/>
          <w:kern w:val="2"/>
          <w:sz w:val="32"/>
          <w:szCs w:val="24"/>
          <w:lang w:val="en-US"/>
        </w:rPr>
        <w:t>、</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188.86</w:t>
      </w:r>
      <w:r>
        <w:rPr>
          <w:rFonts w:hint="eastAsia" w:ascii="仿宋" w:hAnsi="仿宋" w:eastAsia="仿宋"/>
          <w:color w:val="000000"/>
          <w:sz w:val="32"/>
          <w:szCs w:val="32"/>
        </w:rPr>
        <w:t>万元、公务员医疗补助缴费</w:t>
      </w:r>
      <w:r>
        <w:rPr>
          <w:rFonts w:hint="eastAsia" w:ascii="仿宋" w:hAnsi="仿宋" w:eastAsia="仿宋"/>
          <w:color w:val="000000"/>
          <w:sz w:val="32"/>
          <w:szCs w:val="32"/>
          <w:lang w:val="en-US" w:eastAsia="zh-CN"/>
        </w:rPr>
        <w:t>88.66</w:t>
      </w:r>
      <w:r>
        <w:rPr>
          <w:rFonts w:hint="eastAsia" w:ascii="仿宋" w:hAnsi="仿宋" w:eastAsia="仿宋"/>
          <w:color w:val="000000"/>
          <w:sz w:val="32"/>
          <w:szCs w:val="32"/>
        </w:rPr>
        <w:t>万元、</w:t>
      </w:r>
      <w:r>
        <w:rPr>
          <w:rFonts w:hint="eastAsia" w:ascii="仿宋" w:hAnsi="仿宋" w:eastAsia="仿宋"/>
          <w:color w:val="auto"/>
          <w:kern w:val="2"/>
          <w:sz w:val="32"/>
          <w:szCs w:val="24"/>
          <w:lang w:val="en-US"/>
        </w:rPr>
        <w:t>其他社会保障缴费</w:t>
      </w:r>
      <w:r>
        <w:rPr>
          <w:rFonts w:hint="eastAsia" w:ascii="仿宋" w:hAnsi="仿宋" w:eastAsia="仿宋"/>
          <w:color w:val="auto"/>
          <w:kern w:val="2"/>
          <w:sz w:val="32"/>
          <w:szCs w:val="24"/>
          <w:lang w:val="en-US" w:eastAsia="zh-CN"/>
        </w:rPr>
        <w:t>43.85万元</w:t>
      </w:r>
      <w:r>
        <w:rPr>
          <w:rFonts w:hint="eastAsia" w:ascii="仿宋" w:hAnsi="仿宋" w:eastAsia="仿宋"/>
          <w:color w:val="auto"/>
          <w:kern w:val="2"/>
          <w:sz w:val="32"/>
          <w:szCs w:val="24"/>
          <w:lang w:val="en-US"/>
        </w:rPr>
        <w:t>、其他工资福利支出</w:t>
      </w:r>
      <w:r>
        <w:rPr>
          <w:rFonts w:hint="eastAsia" w:ascii="仿宋" w:hAnsi="仿宋" w:eastAsia="仿宋"/>
          <w:color w:val="auto"/>
          <w:kern w:val="2"/>
          <w:sz w:val="32"/>
          <w:szCs w:val="24"/>
          <w:lang w:val="en-US" w:eastAsia="zh-CN"/>
        </w:rPr>
        <w:t>6.23万元</w:t>
      </w:r>
      <w:r>
        <w:rPr>
          <w:rFonts w:hint="eastAsia" w:ascii="仿宋" w:hAnsi="仿宋" w:eastAsia="仿宋"/>
          <w:color w:val="auto"/>
          <w:kern w:val="2"/>
          <w:sz w:val="32"/>
          <w:szCs w:val="24"/>
          <w:lang w:val="en-US"/>
        </w:rPr>
        <w:t>、抚恤金</w:t>
      </w:r>
      <w:r>
        <w:rPr>
          <w:rFonts w:hint="eastAsia" w:ascii="仿宋" w:hAnsi="仿宋" w:eastAsia="仿宋"/>
          <w:color w:val="auto"/>
          <w:kern w:val="2"/>
          <w:sz w:val="32"/>
          <w:szCs w:val="24"/>
          <w:lang w:val="en-US" w:eastAsia="zh-CN"/>
        </w:rPr>
        <w:t>3.8万元</w:t>
      </w:r>
      <w:r>
        <w:rPr>
          <w:rFonts w:hint="eastAsia" w:ascii="仿宋" w:hAnsi="仿宋" w:eastAsia="仿宋"/>
          <w:color w:val="auto"/>
          <w:kern w:val="2"/>
          <w:sz w:val="32"/>
          <w:szCs w:val="24"/>
          <w:lang w:val="en-US"/>
        </w:rPr>
        <w:t>、生活补助</w:t>
      </w:r>
      <w:r>
        <w:rPr>
          <w:rFonts w:hint="eastAsia" w:ascii="仿宋" w:hAnsi="仿宋" w:eastAsia="仿宋"/>
          <w:color w:val="auto"/>
          <w:kern w:val="2"/>
          <w:sz w:val="32"/>
          <w:szCs w:val="24"/>
          <w:lang w:val="en-US" w:eastAsia="zh-CN"/>
        </w:rPr>
        <w:t>70.44万元</w:t>
      </w:r>
      <w:r>
        <w:rPr>
          <w:rFonts w:hint="eastAsia" w:ascii="仿宋" w:hAnsi="仿宋" w:eastAsia="仿宋"/>
          <w:color w:val="auto"/>
          <w:kern w:val="2"/>
          <w:sz w:val="32"/>
          <w:szCs w:val="24"/>
          <w:lang w:val="en-US"/>
        </w:rPr>
        <w:t>、住房公积金</w:t>
      </w:r>
      <w:r>
        <w:rPr>
          <w:rFonts w:hint="eastAsia" w:ascii="仿宋" w:hAnsi="仿宋" w:eastAsia="仿宋"/>
          <w:color w:val="auto"/>
          <w:kern w:val="2"/>
          <w:sz w:val="32"/>
          <w:szCs w:val="24"/>
          <w:lang w:val="en-US" w:eastAsia="zh-CN"/>
        </w:rPr>
        <w:t>271.85万元、</w:t>
      </w:r>
      <w:r>
        <w:rPr>
          <w:rFonts w:hint="eastAsia" w:ascii="仿宋" w:hAnsi="仿宋" w:eastAsia="仿宋"/>
          <w:color w:val="000000"/>
          <w:sz w:val="32"/>
          <w:szCs w:val="32"/>
        </w:rPr>
        <w:t>助学金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万元、奖励金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_GB2312" w:hAnsi="仿宋_GB2312" w:eastAsia="仿宋_GB2312"/>
          <w:color w:val="000000"/>
          <w:kern w:val="2"/>
          <w:sz w:val="32"/>
          <w:szCs w:val="24"/>
          <w:lang w:val="zh-CN"/>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276.64万元，主要包括：</w:t>
      </w:r>
      <w:r>
        <w:rPr>
          <w:rFonts w:hint="eastAsia" w:ascii="仿宋" w:hAnsi="仿宋" w:eastAsia="仿宋"/>
          <w:color w:val="auto"/>
          <w:kern w:val="2"/>
          <w:sz w:val="32"/>
          <w:szCs w:val="24"/>
          <w:lang w:val="en-US"/>
        </w:rPr>
        <w:t>办公费</w:t>
      </w:r>
      <w:r>
        <w:rPr>
          <w:rFonts w:hint="eastAsia" w:ascii="仿宋" w:hAnsi="仿宋" w:eastAsia="仿宋"/>
          <w:color w:val="auto"/>
          <w:kern w:val="2"/>
          <w:sz w:val="32"/>
          <w:szCs w:val="24"/>
          <w:lang w:val="en-US" w:eastAsia="zh-CN"/>
        </w:rPr>
        <w:t>30.86万元</w:t>
      </w:r>
      <w:r>
        <w:rPr>
          <w:rFonts w:hint="eastAsia" w:ascii="仿宋" w:hAnsi="仿宋" w:eastAsia="仿宋"/>
          <w:color w:val="auto"/>
          <w:kern w:val="2"/>
          <w:sz w:val="32"/>
          <w:szCs w:val="24"/>
          <w:lang w:val="en-US"/>
        </w:rPr>
        <w:t>、</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auto"/>
          <w:kern w:val="2"/>
          <w:sz w:val="32"/>
          <w:szCs w:val="24"/>
          <w:lang w:val="en-US"/>
        </w:rPr>
        <w:t>水费</w:t>
      </w:r>
      <w:r>
        <w:rPr>
          <w:rFonts w:hint="eastAsia" w:ascii="仿宋" w:hAnsi="仿宋" w:eastAsia="仿宋"/>
          <w:color w:val="auto"/>
          <w:kern w:val="2"/>
          <w:sz w:val="32"/>
          <w:szCs w:val="24"/>
          <w:lang w:val="en-US" w:eastAsia="zh-CN"/>
        </w:rPr>
        <w:t>14.4万元</w:t>
      </w:r>
      <w:r>
        <w:rPr>
          <w:rFonts w:hint="eastAsia" w:ascii="仿宋" w:hAnsi="仿宋" w:eastAsia="仿宋"/>
          <w:color w:val="auto"/>
          <w:kern w:val="2"/>
          <w:sz w:val="32"/>
          <w:szCs w:val="24"/>
          <w:lang w:val="en-US"/>
        </w:rPr>
        <w:t>、电费</w:t>
      </w:r>
      <w:r>
        <w:rPr>
          <w:rFonts w:hint="eastAsia" w:ascii="仿宋" w:hAnsi="仿宋" w:eastAsia="仿宋"/>
          <w:color w:val="auto"/>
          <w:kern w:val="2"/>
          <w:sz w:val="32"/>
          <w:szCs w:val="24"/>
          <w:lang w:val="en-US" w:eastAsia="zh-CN"/>
        </w:rPr>
        <w:t>22.77万元</w:t>
      </w:r>
      <w:r>
        <w:rPr>
          <w:rFonts w:hint="eastAsia" w:ascii="仿宋" w:hAnsi="仿宋" w:eastAsia="仿宋"/>
          <w:color w:val="auto"/>
          <w:kern w:val="2"/>
          <w:sz w:val="32"/>
          <w:szCs w:val="24"/>
          <w:lang w:val="en-US"/>
        </w:rPr>
        <w:t>、邮电费</w:t>
      </w:r>
      <w:r>
        <w:rPr>
          <w:rFonts w:hint="eastAsia" w:ascii="仿宋" w:hAnsi="仿宋" w:eastAsia="仿宋"/>
          <w:color w:val="auto"/>
          <w:kern w:val="2"/>
          <w:sz w:val="32"/>
          <w:szCs w:val="24"/>
          <w:lang w:val="en-US" w:eastAsia="zh-CN"/>
        </w:rPr>
        <w:t>4.78万元</w:t>
      </w:r>
      <w:r>
        <w:rPr>
          <w:rFonts w:hint="eastAsia" w:ascii="仿宋" w:hAnsi="仿宋" w:eastAsia="仿宋"/>
          <w:color w:val="auto"/>
          <w:kern w:val="2"/>
          <w:sz w:val="32"/>
          <w:szCs w:val="24"/>
          <w:lang w:val="en-US"/>
        </w:rPr>
        <w:t>、物业管理费</w:t>
      </w:r>
      <w:r>
        <w:rPr>
          <w:rFonts w:hint="eastAsia" w:ascii="仿宋" w:hAnsi="仿宋" w:eastAsia="仿宋"/>
          <w:color w:val="auto"/>
          <w:kern w:val="2"/>
          <w:sz w:val="32"/>
          <w:szCs w:val="24"/>
          <w:lang w:val="en-US" w:eastAsia="zh-CN"/>
        </w:rPr>
        <w:t>10.15万元</w:t>
      </w:r>
      <w:r>
        <w:rPr>
          <w:rFonts w:hint="eastAsia" w:ascii="仿宋" w:hAnsi="仿宋" w:eastAsia="仿宋"/>
          <w:color w:val="auto"/>
          <w:kern w:val="2"/>
          <w:sz w:val="32"/>
          <w:szCs w:val="24"/>
          <w:lang w:val="en-US"/>
        </w:rPr>
        <w:t>、差旅费</w:t>
      </w:r>
      <w:r>
        <w:rPr>
          <w:rFonts w:hint="eastAsia" w:ascii="仿宋" w:hAnsi="仿宋" w:eastAsia="仿宋"/>
          <w:color w:val="auto"/>
          <w:kern w:val="2"/>
          <w:sz w:val="32"/>
          <w:szCs w:val="24"/>
          <w:lang w:val="en-US" w:eastAsia="zh-CN"/>
        </w:rPr>
        <w:t>11.21万元</w:t>
      </w:r>
      <w:r>
        <w:rPr>
          <w:rFonts w:hint="eastAsia" w:ascii="仿宋" w:hAnsi="仿宋" w:eastAsia="仿宋"/>
          <w:color w:val="auto"/>
          <w:kern w:val="2"/>
          <w:sz w:val="32"/>
          <w:szCs w:val="24"/>
          <w:lang w:val="en-US"/>
        </w:rPr>
        <w:t>、维修（护）费</w:t>
      </w:r>
      <w:r>
        <w:rPr>
          <w:rFonts w:hint="eastAsia" w:ascii="仿宋" w:hAnsi="仿宋" w:eastAsia="仿宋"/>
          <w:color w:val="auto"/>
          <w:kern w:val="2"/>
          <w:sz w:val="32"/>
          <w:szCs w:val="24"/>
          <w:lang w:val="en-US" w:eastAsia="zh-CN"/>
        </w:rPr>
        <w:t>17.96万元</w:t>
      </w:r>
      <w:r>
        <w:rPr>
          <w:rFonts w:hint="eastAsia" w:ascii="仿宋" w:hAnsi="仿宋" w:eastAsia="仿宋"/>
          <w:color w:val="auto"/>
          <w:kern w:val="2"/>
          <w:sz w:val="32"/>
          <w:szCs w:val="24"/>
          <w:lang w:val="en-US"/>
        </w:rPr>
        <w:t>、租赁费</w:t>
      </w:r>
      <w:r>
        <w:rPr>
          <w:rFonts w:hint="eastAsia" w:ascii="仿宋" w:hAnsi="仿宋" w:eastAsia="仿宋"/>
          <w:color w:val="auto"/>
          <w:kern w:val="2"/>
          <w:sz w:val="32"/>
          <w:szCs w:val="24"/>
          <w:lang w:val="en-US" w:eastAsia="zh-CN"/>
        </w:rPr>
        <w:t>0.92万元</w:t>
      </w:r>
      <w:r>
        <w:rPr>
          <w:rFonts w:hint="eastAsia" w:ascii="仿宋" w:hAnsi="仿宋" w:eastAsia="仿宋"/>
          <w:color w:val="auto"/>
          <w:kern w:val="2"/>
          <w:sz w:val="32"/>
          <w:szCs w:val="24"/>
          <w:lang w:val="en-US"/>
        </w:rPr>
        <w:t>、培训费</w:t>
      </w:r>
      <w:r>
        <w:rPr>
          <w:rFonts w:hint="eastAsia" w:ascii="仿宋" w:hAnsi="仿宋" w:eastAsia="仿宋"/>
          <w:color w:val="auto"/>
          <w:kern w:val="2"/>
          <w:sz w:val="32"/>
          <w:szCs w:val="24"/>
          <w:lang w:val="en-US" w:eastAsia="zh-CN"/>
        </w:rPr>
        <w:t>3.47万元</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专用材料费4.98万元、</w:t>
      </w:r>
      <w:r>
        <w:rPr>
          <w:rFonts w:hint="eastAsia" w:ascii="仿宋" w:hAnsi="仿宋" w:eastAsia="仿宋"/>
          <w:color w:val="auto"/>
          <w:kern w:val="2"/>
          <w:sz w:val="32"/>
          <w:szCs w:val="24"/>
          <w:lang w:val="en-US"/>
        </w:rPr>
        <w:t>劳务费</w:t>
      </w:r>
      <w:r>
        <w:rPr>
          <w:rFonts w:hint="eastAsia" w:ascii="仿宋" w:hAnsi="仿宋" w:eastAsia="仿宋"/>
          <w:color w:val="auto"/>
          <w:kern w:val="2"/>
          <w:sz w:val="32"/>
          <w:szCs w:val="24"/>
          <w:lang w:val="en-US" w:eastAsia="zh-CN"/>
        </w:rPr>
        <w:t>49.24万元</w:t>
      </w:r>
      <w:r>
        <w:rPr>
          <w:rFonts w:hint="eastAsia" w:ascii="仿宋" w:hAnsi="仿宋" w:eastAsia="仿宋"/>
          <w:color w:val="auto"/>
          <w:kern w:val="2"/>
          <w:sz w:val="32"/>
          <w:szCs w:val="24"/>
          <w:lang w:val="en-US"/>
        </w:rPr>
        <w:t>、工会经费</w:t>
      </w:r>
      <w:r>
        <w:rPr>
          <w:rFonts w:hint="eastAsia" w:ascii="仿宋" w:hAnsi="仿宋" w:eastAsia="仿宋"/>
          <w:color w:val="auto"/>
          <w:kern w:val="2"/>
          <w:sz w:val="32"/>
          <w:szCs w:val="24"/>
          <w:lang w:val="en-US" w:eastAsia="zh-CN"/>
        </w:rPr>
        <w:t>39.44万元</w:t>
      </w:r>
      <w:r>
        <w:rPr>
          <w:rFonts w:hint="eastAsia" w:ascii="仿宋" w:hAnsi="仿宋" w:eastAsia="仿宋"/>
          <w:color w:val="auto"/>
          <w:kern w:val="2"/>
          <w:sz w:val="32"/>
          <w:szCs w:val="24"/>
          <w:lang w:val="en-US"/>
        </w:rPr>
        <w:t>、福利费</w:t>
      </w:r>
      <w:r>
        <w:rPr>
          <w:rFonts w:hint="eastAsia" w:ascii="仿宋" w:hAnsi="仿宋" w:eastAsia="仿宋"/>
          <w:color w:val="auto"/>
          <w:kern w:val="2"/>
          <w:sz w:val="32"/>
          <w:szCs w:val="24"/>
          <w:lang w:val="en-US" w:eastAsia="zh-CN"/>
        </w:rPr>
        <w:t>22.91万元</w:t>
      </w:r>
      <w:r>
        <w:rPr>
          <w:rFonts w:hint="eastAsia" w:ascii="仿宋" w:hAnsi="仿宋" w:eastAsia="仿宋"/>
          <w:color w:val="auto"/>
          <w:kern w:val="2"/>
          <w:sz w:val="32"/>
          <w:szCs w:val="24"/>
          <w:lang w:val="en-US"/>
        </w:rPr>
        <w:t>、公务用车运行维护费</w:t>
      </w:r>
      <w:r>
        <w:rPr>
          <w:rFonts w:hint="eastAsia" w:ascii="仿宋" w:hAnsi="仿宋" w:eastAsia="仿宋"/>
          <w:color w:val="auto"/>
          <w:kern w:val="2"/>
          <w:sz w:val="32"/>
          <w:szCs w:val="24"/>
          <w:lang w:val="en-US" w:eastAsia="zh-CN"/>
        </w:rPr>
        <w:t>1.65万元</w:t>
      </w:r>
      <w:r>
        <w:rPr>
          <w:rFonts w:hint="eastAsia" w:ascii="仿宋" w:hAnsi="仿宋" w:eastAsia="仿宋"/>
          <w:color w:val="auto"/>
          <w:kern w:val="2"/>
          <w:sz w:val="32"/>
          <w:szCs w:val="24"/>
          <w:lang w:val="en-US"/>
        </w:rPr>
        <w:t>、其他交通费</w:t>
      </w:r>
      <w:r>
        <w:rPr>
          <w:rFonts w:hint="eastAsia" w:ascii="仿宋" w:hAnsi="仿宋" w:eastAsia="仿宋"/>
          <w:color w:val="auto"/>
          <w:kern w:val="2"/>
          <w:sz w:val="32"/>
          <w:szCs w:val="24"/>
          <w:lang w:val="en-US" w:eastAsia="zh-CN"/>
        </w:rPr>
        <w:t>0.85万元</w:t>
      </w:r>
      <w:r>
        <w:rPr>
          <w:rFonts w:hint="eastAsia" w:ascii="仿宋" w:hAnsi="仿宋" w:eastAsia="仿宋"/>
          <w:color w:val="auto"/>
          <w:kern w:val="2"/>
          <w:sz w:val="32"/>
          <w:szCs w:val="24"/>
          <w:lang w:val="en-US"/>
        </w:rPr>
        <w:t>、其他商品和服务支出</w:t>
      </w:r>
      <w:r>
        <w:rPr>
          <w:rFonts w:hint="eastAsia" w:ascii="仿宋" w:hAnsi="仿宋" w:eastAsia="仿宋"/>
          <w:color w:val="auto"/>
          <w:kern w:val="2"/>
          <w:sz w:val="32"/>
          <w:szCs w:val="24"/>
          <w:lang w:val="en-US" w:eastAsia="zh-CN"/>
        </w:rPr>
        <w:t>41.06万元、</w:t>
      </w:r>
      <w:r>
        <w:rPr>
          <w:rFonts w:hint="eastAsia" w:ascii="仿宋" w:hAnsi="仿宋" w:eastAsia="仿宋"/>
          <w:color w:val="000000"/>
          <w:sz w:val="32"/>
          <w:szCs w:val="32"/>
        </w:rPr>
        <w:t>办公设备购置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万元、信息网络及软件购置更新</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_GB2312" w:hAnsi="仿宋_GB2312" w:eastAsia="仿宋_GB2312"/>
          <w:color w:val="000000"/>
          <w:kern w:val="2"/>
          <w:sz w:val="32"/>
          <w:szCs w:val="24"/>
          <w:lang w:val="zh-CN"/>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2022年“三公”经费财政拨款支出决算为1.65万元，完成预算100%；较上年减少0.11万元，下降6.3%。</w:t>
      </w:r>
      <w:r>
        <w:rPr>
          <w:rFonts w:hint="eastAsia" w:ascii="仿宋_GB2312" w:hAnsi="仿宋_GB2312" w:eastAsia="仿宋_GB2312"/>
          <w:color w:val="000000"/>
          <w:kern w:val="2"/>
          <w:sz w:val="32"/>
          <w:szCs w:val="24"/>
          <w:lang w:val="en-US" w:eastAsia="zh-CN"/>
        </w:rPr>
        <w:t>主要原因是本年厉行节约</w:t>
      </w:r>
      <w:r>
        <w:rPr>
          <w:rFonts w:hint="eastAsia" w:ascii="仿宋_GB2312" w:hAnsi="仿宋_GB2312" w:eastAsia="仿宋_GB2312"/>
          <w:color w:val="000000"/>
          <w:kern w:val="2"/>
          <w:sz w:val="32"/>
          <w:szCs w:val="24"/>
          <w:lang w:val="zh-CN"/>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2022年“三公”经费财政拨款支出决算中，因公出国（境）费支出决算0万元，占0%；公务用车购置及运行维护费支出决算1.65万元，占100%；公务接待费支出决算0万元，占0%。具体情况如下：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drawing>
          <wp:inline distT="0" distB="0" distL="114300" distR="114300">
            <wp:extent cx="4869180" cy="2755265"/>
            <wp:effectExtent l="0" t="0" r="7620" b="6985"/>
            <wp:docPr id="1" name="图片 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7"/>
                    <pic:cNvPicPr>
                      <a:picLocks noChangeAspect="1"/>
                    </pic:cNvPicPr>
                  </pic:nvPicPr>
                  <pic:blipFill>
                    <a:blip r:embed="rId11"/>
                    <a:stretch>
                      <a:fillRect/>
                    </a:stretch>
                  </pic:blipFill>
                  <pic:spPr>
                    <a:xfrm>
                      <a:off x="0" y="0"/>
                      <a:ext cx="4869180" cy="2755265"/>
                    </a:xfrm>
                    <a:prstGeom prst="rect">
                      <a:avLst/>
                    </a:prstGeom>
                  </pic:spPr>
                </pic:pic>
              </a:graphicData>
            </a:graphic>
          </wp:inline>
        </w:drawing>
      </w:r>
    </w:p>
    <w:p>
      <w:pPr>
        <w:spacing w:line="600" w:lineRule="exact"/>
        <w:ind w:firstLine="640"/>
        <w:rPr>
          <w:rFonts w:ascii="仿宋_GB2312" w:eastAsia="仿宋_GB2312"/>
          <w:color w:val="000000"/>
          <w:sz w:val="32"/>
          <w:szCs w:val="32"/>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支出0万元，完成预算0%。全年安排因公出国（境）团组0个，出国（境）0人。</w:t>
      </w:r>
      <w:r>
        <w:rPr>
          <w:rFonts w:hint="eastAsia" w:ascii="仿宋_GB2312" w:eastAsia="仿宋_GB2312"/>
          <w:color w:val="000000"/>
          <w:sz w:val="32"/>
          <w:szCs w:val="32"/>
        </w:rPr>
        <w:t>因公出国（境）支出决算与202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持平。</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支出1.65万元，完成预算100%。公务用车购置及运行维护费支出决算比2021年减少0.11万元，下降6.3%。</w:t>
      </w:r>
      <w:r>
        <w:rPr>
          <w:rFonts w:hint="eastAsia" w:ascii="仿宋" w:hAnsi="仿宋" w:eastAsia="仿宋"/>
          <w:color w:val="000000"/>
          <w:sz w:val="32"/>
          <w:szCs w:val="32"/>
        </w:rPr>
        <w:t>主要原因是</w:t>
      </w:r>
      <w:r>
        <w:rPr>
          <w:rFonts w:hint="eastAsia" w:ascii="仿宋" w:hAnsi="仿宋" w:eastAsia="仿宋"/>
          <w:sz w:val="32"/>
          <w:szCs w:val="32"/>
        </w:rPr>
        <w:t>学校认真</w:t>
      </w:r>
      <w:r>
        <w:rPr>
          <w:rFonts w:ascii="仿宋" w:hAnsi="仿宋" w:eastAsia="仿宋"/>
          <w:sz w:val="32"/>
          <w:szCs w:val="32"/>
        </w:rPr>
        <w:t>贯彻落实</w:t>
      </w:r>
      <w:bookmarkStart w:id="3" w:name="_GoBack"/>
      <w:bookmarkEnd w:id="3"/>
      <w:r>
        <w:rPr>
          <w:rFonts w:ascii="仿宋" w:hAnsi="仿宋" w:eastAsia="仿宋"/>
          <w:sz w:val="32"/>
          <w:szCs w:val="32"/>
        </w:rPr>
        <w:t>中</w:t>
      </w:r>
      <w:r>
        <w:rPr>
          <w:rFonts w:hint="eastAsia" w:ascii="仿宋" w:hAnsi="仿宋" w:eastAsia="仿宋"/>
          <w:sz w:val="32"/>
          <w:szCs w:val="32"/>
        </w:rPr>
        <w:t>央八</w:t>
      </w:r>
      <w:r>
        <w:rPr>
          <w:rFonts w:ascii="仿宋" w:hAnsi="仿宋" w:eastAsia="仿宋"/>
          <w:sz w:val="32"/>
          <w:szCs w:val="32"/>
        </w:rPr>
        <w:t>项规定</w:t>
      </w:r>
      <w:r>
        <w:rPr>
          <w:rFonts w:hint="eastAsia" w:ascii="仿宋" w:hAnsi="仿宋" w:eastAsia="仿宋"/>
          <w:sz w:val="32"/>
          <w:szCs w:val="32"/>
        </w:rPr>
        <w:t>精神</w:t>
      </w:r>
      <w:r>
        <w:rPr>
          <w:rFonts w:ascii="仿宋" w:hAnsi="仿宋" w:eastAsia="仿宋"/>
          <w:sz w:val="32"/>
          <w:szCs w:val="32"/>
        </w:rPr>
        <w:t>和</w:t>
      </w:r>
      <w:r>
        <w:rPr>
          <w:rFonts w:hint="eastAsia" w:ascii="仿宋" w:hAnsi="仿宋" w:eastAsia="仿宋"/>
          <w:sz w:val="32"/>
          <w:szCs w:val="32"/>
        </w:rPr>
        <w:t>厉行</w:t>
      </w:r>
      <w:r>
        <w:rPr>
          <w:rFonts w:ascii="仿宋" w:hAnsi="仿宋" w:eastAsia="仿宋"/>
          <w:sz w:val="32"/>
          <w:szCs w:val="32"/>
        </w:rPr>
        <w:t>节约要求，进一步从严控制“</w:t>
      </w:r>
      <w:r>
        <w:rPr>
          <w:rFonts w:hint="eastAsia" w:ascii="仿宋" w:hAnsi="仿宋" w:eastAsia="仿宋"/>
          <w:sz w:val="32"/>
          <w:szCs w:val="32"/>
        </w:rPr>
        <w:t>三</w:t>
      </w:r>
      <w:r>
        <w:rPr>
          <w:rFonts w:ascii="仿宋" w:hAnsi="仿宋" w:eastAsia="仿宋"/>
          <w:sz w:val="32"/>
          <w:szCs w:val="32"/>
        </w:rPr>
        <w:t>公”</w:t>
      </w:r>
      <w:r>
        <w:rPr>
          <w:rFonts w:hint="eastAsia" w:ascii="仿宋" w:hAnsi="仿宋" w:eastAsia="仿宋"/>
          <w:sz w:val="32"/>
          <w:szCs w:val="32"/>
        </w:rPr>
        <w:t>经费</w:t>
      </w:r>
      <w:r>
        <w:rPr>
          <w:rFonts w:ascii="仿宋" w:hAnsi="仿宋" w:eastAsia="仿宋"/>
          <w:sz w:val="32"/>
          <w:szCs w:val="32"/>
        </w:rPr>
        <w:t>支出</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 xml:space="preserve">           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万元。截至2022年12月底，本部门共有公务用车2辆，其中：轿车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支出1.65万元。主要用于</w:t>
      </w:r>
      <w:r>
        <w:rPr>
          <w:rFonts w:hint="eastAsia" w:ascii="仿宋" w:hAnsi="仿宋" w:eastAsia="仿宋"/>
          <w:sz w:val="32"/>
          <w:szCs w:val="32"/>
        </w:rPr>
        <w:t>学校</w:t>
      </w:r>
      <w:r>
        <w:rPr>
          <w:rFonts w:ascii="仿宋" w:hAnsi="仿宋" w:eastAsia="仿宋"/>
          <w:sz w:val="32"/>
          <w:szCs w:val="32"/>
        </w:rPr>
        <w:t>与教育教学相关的各类活动，学校慰问</w:t>
      </w:r>
      <w:r>
        <w:rPr>
          <w:rFonts w:hint="eastAsia" w:ascii="仿宋" w:hAnsi="仿宋" w:eastAsia="仿宋"/>
          <w:sz w:val="32"/>
          <w:szCs w:val="32"/>
        </w:rPr>
        <w:t>支</w:t>
      </w:r>
      <w:r>
        <w:rPr>
          <w:rFonts w:ascii="仿宋" w:hAnsi="仿宋" w:eastAsia="仿宋"/>
          <w:sz w:val="32"/>
          <w:szCs w:val="32"/>
        </w:rPr>
        <w:t>教教师，重要考试及接收上级考试</w:t>
      </w:r>
      <w:r>
        <w:rPr>
          <w:rFonts w:hint="eastAsia" w:ascii="仿宋" w:hAnsi="仿宋" w:eastAsia="仿宋"/>
          <w:sz w:val="32"/>
          <w:szCs w:val="32"/>
        </w:rPr>
        <w:t>试</w:t>
      </w:r>
      <w:r>
        <w:rPr>
          <w:rFonts w:ascii="仿宋" w:hAnsi="仿宋" w:eastAsia="仿宋"/>
          <w:sz w:val="32"/>
          <w:szCs w:val="32"/>
        </w:rPr>
        <w:t>卷</w:t>
      </w:r>
      <w:r>
        <w:rPr>
          <w:rFonts w:hint="eastAsia" w:ascii="仿宋" w:hAnsi="仿宋" w:eastAsia="仿宋"/>
          <w:color w:val="000000"/>
          <w:sz w:val="32"/>
          <w:szCs w:val="32"/>
        </w:rPr>
        <w:t>等所需的公务用车</w:t>
      </w:r>
      <w:r>
        <w:rPr>
          <w:rFonts w:hint="eastAsia" w:ascii="仿宋_GB2312" w:hAnsi="仿宋_GB2312" w:eastAsia="仿宋_GB2312"/>
          <w:color w:val="000000"/>
          <w:kern w:val="2"/>
          <w:sz w:val="32"/>
          <w:szCs w:val="24"/>
          <w:lang w:val="zh-CN"/>
        </w:rPr>
        <w:t>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支出0万元，完成预算0%。</w:t>
      </w:r>
      <w:r>
        <w:rPr>
          <w:rFonts w:hint="eastAsia" w:ascii="仿宋_GB2312" w:hAnsi="仿宋_GB2312" w:eastAsia="仿宋_GB2312"/>
          <w:color w:val="000000"/>
          <w:kern w:val="2"/>
          <w:sz w:val="32"/>
          <w:szCs w:val="24"/>
          <w:lang w:val="en-US" w:eastAsia="zh-CN"/>
        </w:rPr>
        <w:t>主要原因是本年厉行节约，当年没有发生公务接待费</w:t>
      </w:r>
      <w:r>
        <w:rPr>
          <w:rFonts w:hint="eastAsia" w:ascii="仿宋_GB2312" w:hAnsi="仿宋_GB2312" w:eastAsia="仿宋_GB2312"/>
          <w:color w:val="000000"/>
          <w:kern w:val="2"/>
          <w:sz w:val="32"/>
          <w:szCs w:val="24"/>
          <w:lang w:val="zh-CN"/>
        </w:rPr>
        <w:t>。其中：</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支出0万元</w:t>
      </w:r>
      <w:r>
        <w:rPr>
          <w:rFonts w:hint="eastAsia" w:ascii="仿宋_GB2312" w:hAnsi="仿宋_GB2312" w:eastAsia="仿宋_GB2312"/>
          <w:color w:val="000000"/>
          <w:kern w:val="2"/>
          <w:sz w:val="32"/>
          <w:szCs w:val="24"/>
          <w:highlight w:val="white"/>
          <w:lang w:val="en-US"/>
        </w:rPr>
        <w:t>。</w:t>
      </w:r>
      <w:r>
        <w:rPr>
          <w:rFonts w:hint="eastAsia" w:ascii="仿宋_GB2312" w:hAnsi="仿宋_GB2312" w:eastAsia="仿宋_GB2312"/>
          <w:color w:val="000000"/>
          <w:kern w:val="2"/>
          <w:sz w:val="32"/>
          <w:szCs w:val="24"/>
          <w:lang w:val="zh-CN"/>
        </w:rPr>
        <w:t>国内公务接待0批次，0人次，共计支出0万元</w:t>
      </w:r>
      <w:r>
        <w:rPr>
          <w:rFonts w:hint="eastAsia" w:ascii="仿宋_GB2312" w:hAnsi="仿宋_GB2312" w:eastAsia="仿宋_GB2312"/>
          <w:color w:val="000000"/>
          <w:kern w:val="2"/>
          <w:sz w:val="32"/>
          <w:szCs w:val="24"/>
          <w:highlight w:val="white"/>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支出0万元。外事接待0批次，0人</w:t>
      </w:r>
      <w:r>
        <w:rPr>
          <w:rFonts w:hint="eastAsia" w:ascii="仿宋_GB2312" w:hAnsi="仿宋_GB2312" w:eastAsia="仿宋_GB2312"/>
          <w:color w:val="000000"/>
          <w:kern w:val="2"/>
          <w:sz w:val="32"/>
          <w:szCs w:val="24"/>
          <w:lang w:val="en-US" w:eastAsia="zh-CN"/>
        </w:rPr>
        <w:t>次（不包括陪同人员）</w:t>
      </w:r>
      <w:r>
        <w:rPr>
          <w:rFonts w:hint="eastAsia" w:ascii="仿宋_GB2312" w:hAnsi="仿宋_GB2312" w:eastAsia="仿宋_GB2312"/>
          <w:color w:val="000000"/>
          <w:kern w:val="2"/>
          <w:sz w:val="32"/>
          <w:szCs w:val="24"/>
          <w:lang w:val="zh-CN"/>
        </w:rPr>
        <w:t>，共计支出0万元。</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2022年政府性基金预算拨款支出6.5万元。</w:t>
      </w:r>
      <w:r>
        <w:rPr>
          <w:rFonts w:hint="eastAsia" w:ascii="仿宋_GB2312" w:hAnsi="仿宋_GB2312" w:eastAsia="仿宋_GB2312"/>
          <w:color w:val="000000"/>
          <w:kern w:val="2"/>
          <w:sz w:val="32"/>
          <w:szCs w:val="24"/>
          <w:lang w:val="en-US" w:eastAsia="zh-CN"/>
        </w:rPr>
        <w:t>主要</w:t>
      </w:r>
      <w:r>
        <w:rPr>
          <w:rFonts w:hint="eastAsia" w:ascii="仿宋_GB2312" w:hAnsi="仿宋_GB2312" w:eastAsia="仿宋_GB2312"/>
          <w:color w:val="000000"/>
          <w:kern w:val="2"/>
          <w:sz w:val="32"/>
          <w:szCs w:val="24"/>
          <w:lang w:val="zh-CN"/>
        </w:rPr>
        <w:t>用于体育事业的彩票公益金支出。</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line="600" w:lineRule="exact"/>
        <w:ind w:firstLine="632" w:firstLineChars="200"/>
        <w:rPr>
          <w:rFonts w:hint="eastAsia" w:ascii="仿宋" w:hAnsi="仿宋" w:eastAsia="仿宋_GB2312"/>
          <w:b/>
          <w:color w:val="auto"/>
          <w:kern w:val="2"/>
          <w:sz w:val="32"/>
          <w:szCs w:val="24"/>
          <w:lang w:val="en-US" w:eastAsia="zh-CN"/>
        </w:rPr>
      </w:pPr>
      <w:r>
        <w:rPr>
          <w:rFonts w:hint="eastAsia" w:ascii="仿宋_GB2312" w:hAnsi="仿宋_GB2312" w:eastAsia="仿宋_GB2312"/>
          <w:color w:val="000000"/>
          <w:kern w:val="2"/>
          <w:sz w:val="32"/>
          <w:szCs w:val="24"/>
          <w:lang w:val="zh-CN"/>
        </w:rPr>
        <w:t>2022年，攀枝花市第二小学校机关运行经费支出0万元，</w:t>
      </w:r>
      <w:r>
        <w:rPr>
          <w:rFonts w:hint="eastAsia" w:ascii="仿宋_GB2312" w:hAnsi="仿宋_GB2312" w:eastAsia="仿宋_GB2312"/>
          <w:color w:val="auto"/>
          <w:kern w:val="2"/>
          <w:sz w:val="32"/>
          <w:szCs w:val="24"/>
          <w:lang w:val="en-US"/>
        </w:rPr>
        <w:t>与2021年决算数持平</w:t>
      </w:r>
      <w:r>
        <w:rPr>
          <w:rFonts w:hint="eastAsia" w:ascii="仿宋_GB2312" w:hAnsi="仿宋_GB2312" w:eastAsia="仿宋_GB2312"/>
          <w:color w:val="000000"/>
          <w:kern w:val="2"/>
          <w:sz w:val="32"/>
          <w:szCs w:val="24"/>
          <w:lang w:val="zh-CN"/>
        </w:rPr>
        <w:t>。（</w:t>
      </w:r>
      <w:r>
        <w:rPr>
          <w:rFonts w:hint="eastAsia" w:ascii="仿宋_GB2312" w:eastAsia="仿宋_GB2312"/>
          <w:color w:val="000000"/>
          <w:sz w:val="32"/>
          <w:szCs w:val="32"/>
        </w:rPr>
        <w:t>攀枝花市第二小学校</w:t>
      </w:r>
      <w:r>
        <w:rPr>
          <w:rFonts w:ascii="仿宋_GB2312" w:eastAsia="仿宋_GB2312"/>
          <w:color w:val="000000"/>
          <w:sz w:val="32"/>
          <w:szCs w:val="32"/>
        </w:rPr>
        <w:t>属于财政补助的事业单位，无机关运行经费。</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2022年，攀枝花市第二小学校政府采购支出总额0万元，其中：政府采购货物支出0万元、政府采购工程支出0万元、政府采购服务支出0万元</w:t>
      </w:r>
      <w:r>
        <w:rPr>
          <w:rFonts w:hint="eastAsia" w:ascii="仿宋_GB2312" w:hAnsi="仿宋_GB2312" w:eastAsia="仿宋_GB2312"/>
          <w:color w:val="000000"/>
          <w:kern w:val="2"/>
          <w:sz w:val="32"/>
          <w:szCs w:val="24"/>
          <w:highlight w:val="white"/>
          <w:lang w:val="zh-CN"/>
        </w:rPr>
        <w:t>。</w:t>
      </w:r>
      <w:r>
        <w:rPr>
          <w:rFonts w:hint="eastAsia" w:ascii="仿宋_GB2312" w:hAnsi="仿宋_GB2312" w:eastAsia="仿宋_GB2312"/>
          <w:color w:val="000000"/>
          <w:kern w:val="2"/>
          <w:sz w:val="32"/>
          <w:szCs w:val="24"/>
          <w:lang w:val="zh-CN"/>
        </w:rPr>
        <w:t>授予中小企业合同金额0万元，占政府采购支出总额的0%，其中：授予小微企业合同金额0万元，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0%。</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攀枝花市第二小学校共有车辆2辆，其中：副部（省）级及以上领导用车0辆、主要领导干部用车0辆、机要通信用车0辆、应急保障用车0辆、执法执勤用车0辆、特种专业技术用车0辆、离退休干部用车0辆、其他用车2辆。其中：其他用车</w:t>
      </w:r>
      <w:r>
        <w:rPr>
          <w:rFonts w:hint="eastAsia" w:ascii="仿宋_GB2312" w:hAnsi="仿宋_GB2312" w:eastAsia="仿宋_GB2312"/>
          <w:color w:val="000000"/>
          <w:kern w:val="2"/>
          <w:sz w:val="32"/>
          <w:szCs w:val="24"/>
          <w:lang w:val="en-US" w:eastAsia="zh-CN"/>
        </w:rPr>
        <w:t>主要用于</w:t>
      </w:r>
      <w:r>
        <w:rPr>
          <w:rFonts w:hint="eastAsia" w:ascii="仿宋" w:hAnsi="仿宋" w:eastAsia="仿宋"/>
          <w:sz w:val="32"/>
          <w:szCs w:val="32"/>
        </w:rPr>
        <w:t>学校</w:t>
      </w:r>
      <w:r>
        <w:rPr>
          <w:rFonts w:ascii="仿宋" w:hAnsi="仿宋" w:eastAsia="仿宋"/>
          <w:sz w:val="32"/>
          <w:szCs w:val="32"/>
        </w:rPr>
        <w:t>与教育教学相关的各类活动，学校慰问</w:t>
      </w:r>
      <w:r>
        <w:rPr>
          <w:rFonts w:hint="eastAsia" w:ascii="仿宋" w:hAnsi="仿宋" w:eastAsia="仿宋"/>
          <w:sz w:val="32"/>
          <w:szCs w:val="32"/>
        </w:rPr>
        <w:t>支</w:t>
      </w:r>
      <w:r>
        <w:rPr>
          <w:rFonts w:ascii="仿宋" w:hAnsi="仿宋" w:eastAsia="仿宋"/>
          <w:sz w:val="32"/>
          <w:szCs w:val="32"/>
        </w:rPr>
        <w:t>教教师，重要考试及接收上级考试</w:t>
      </w:r>
      <w:r>
        <w:rPr>
          <w:rFonts w:hint="eastAsia" w:ascii="仿宋" w:hAnsi="仿宋" w:eastAsia="仿宋"/>
          <w:sz w:val="32"/>
          <w:szCs w:val="32"/>
        </w:rPr>
        <w:t>试</w:t>
      </w:r>
      <w:r>
        <w:rPr>
          <w:rFonts w:ascii="仿宋" w:hAnsi="仿宋" w:eastAsia="仿宋"/>
          <w:sz w:val="32"/>
          <w:szCs w:val="32"/>
        </w:rPr>
        <w:t>卷</w:t>
      </w:r>
      <w:r>
        <w:rPr>
          <w:rFonts w:hint="eastAsia" w:ascii="仿宋" w:hAnsi="仿宋" w:eastAsia="仿宋"/>
          <w:color w:val="000000"/>
          <w:sz w:val="32"/>
          <w:szCs w:val="32"/>
        </w:rPr>
        <w:t>等所需的公务用车</w:t>
      </w:r>
      <w:r>
        <w:rPr>
          <w:rFonts w:hint="eastAsia" w:ascii="仿宋_GB2312" w:hAnsi="仿宋_GB2312" w:eastAsia="仿宋_GB2312"/>
          <w:color w:val="000000"/>
          <w:kern w:val="2"/>
          <w:sz w:val="32"/>
          <w:szCs w:val="24"/>
          <w:lang w:val="zh-CN"/>
        </w:rPr>
        <w:t>燃料费、维修费、过路过桥费、保险费等支</w:t>
      </w:r>
      <w:r>
        <w:rPr>
          <w:rFonts w:hint="eastAsia" w:ascii="仿宋_GB2312" w:hAnsi="仿宋_GB2312" w:eastAsia="仿宋_GB2312"/>
          <w:color w:val="000000"/>
          <w:kern w:val="2"/>
          <w:sz w:val="32"/>
          <w:szCs w:val="24"/>
          <w:lang w:val="en-US" w:eastAsia="zh-CN"/>
        </w:rPr>
        <w:t>出</w:t>
      </w:r>
      <w:r>
        <w:rPr>
          <w:rFonts w:hint="eastAsia" w:ascii="仿宋_GB2312" w:hAnsi="仿宋_GB2312" w:eastAsia="仿宋_GB2312"/>
          <w:color w:val="000000"/>
          <w:kern w:val="2"/>
          <w:sz w:val="32"/>
          <w:szCs w:val="24"/>
          <w:lang w:val="zh-CN"/>
        </w:rPr>
        <w:t>。单价100万元（含）以上设备0台（套)。</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教育事业发展</w:t>
      </w:r>
      <w:r>
        <w:rPr>
          <w:rFonts w:hint="eastAsia" w:ascii="仿宋_GB2312" w:hAnsi="仿宋_GB2312" w:eastAsia="仿宋_GB2312"/>
          <w:color w:val="auto"/>
          <w:kern w:val="2"/>
          <w:sz w:val="32"/>
          <w:szCs w:val="24"/>
          <w:lang w:val="en-US"/>
        </w:rPr>
        <w:t>项目等</w:t>
      </w:r>
      <w:r>
        <w:rPr>
          <w:rFonts w:hint="eastAsia" w:ascii="仿宋_GB2312" w:hAnsi="仿宋_GB2312" w:eastAsia="仿宋_GB2312"/>
          <w:color w:val="auto"/>
          <w:kern w:val="2"/>
          <w:sz w:val="32"/>
          <w:szCs w:val="24"/>
          <w:lang w:val="en-US" w:eastAsia="zh-CN"/>
        </w:rPr>
        <w:t>和三免一补2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个项目开展绩效自评，绩效自评表详见第四部分附件。</w:t>
      </w:r>
    </w:p>
    <w:p>
      <w:pPr>
        <w:keepNext w:val="0"/>
        <w:keepLines w:val="0"/>
        <w:pageBreakBefore w:val="0"/>
        <w:widowControl w:val="0"/>
        <w:kinsoku/>
        <w:wordWrap/>
        <w:overflowPunct/>
        <w:topLinePunct w:val="0"/>
        <w:autoSpaceDE/>
        <w:autoSpaceDN/>
        <w:bidi w:val="0"/>
        <w:adjustRightInd/>
        <w:snapToGrid/>
        <w:spacing w:line="576" w:lineRule="exact"/>
        <w:jc w:val="both"/>
        <w:rPr>
          <w:rFonts w:hint="eastAsia" w:ascii="黑体" w:hAnsi="黑体" w:eastAsia="黑体"/>
          <w:color w:val="000000"/>
          <w:kern w:val="2"/>
          <w:sz w:val="44"/>
          <w:szCs w:val="24"/>
          <w:lang w:val="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olor w:val="000000"/>
          <w:kern w:val="2"/>
          <w:sz w:val="44"/>
          <w:szCs w:val="24"/>
          <w:lang w:val="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olor w:val="000000"/>
          <w:kern w:val="2"/>
          <w:sz w:val="44"/>
          <w:szCs w:val="24"/>
          <w:lang w:val="zh-CN"/>
        </w:rPr>
      </w:pPr>
    </w:p>
    <w:p>
      <w:pPr>
        <w:keepNext w:val="0"/>
        <w:keepLines w:val="0"/>
        <w:pageBreakBefore w:val="0"/>
        <w:widowControl w:val="0"/>
        <w:kinsoku/>
        <w:wordWrap/>
        <w:overflowPunct/>
        <w:topLinePunct w:val="0"/>
        <w:autoSpaceDE/>
        <w:autoSpaceDN/>
        <w:bidi w:val="0"/>
        <w:adjustRightInd/>
        <w:snapToGrid/>
        <w:spacing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第三部分 名</w:t>
      </w:r>
      <w:r>
        <w:rPr>
          <w:rFonts w:hint="eastAsia" w:ascii="黑体" w:hAnsi="黑体" w:eastAsia="黑体"/>
          <w:color w:val="auto"/>
          <w:kern w:val="44"/>
          <w:sz w:val="44"/>
          <w:szCs w:val="24"/>
          <w:lang w:val="zh-CN"/>
        </w:rPr>
        <w:t>词解释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w:t>
      </w:r>
      <w:r>
        <w:rPr>
          <w:rFonts w:hint="eastAsia" w:ascii="仿宋_GB2312" w:eastAsia="仿宋_GB2312"/>
          <w:sz w:val="32"/>
          <w:szCs w:val="32"/>
        </w:rPr>
        <w:t>主要是银行存款</w:t>
      </w:r>
      <w:r>
        <w:rPr>
          <w:rFonts w:ascii="仿宋_GB2312" w:eastAsia="仿宋_GB2312"/>
          <w:sz w:val="32"/>
          <w:szCs w:val="32"/>
        </w:rPr>
        <w:t>利息收入</w:t>
      </w:r>
      <w:r>
        <w:rPr>
          <w:rFonts w:hint="eastAsia" w:ascii="仿宋_GB2312" w:hAnsi="仿宋_GB2312" w:eastAsia="仿宋_GB2312"/>
          <w:color w:val="000000"/>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9.</w:t>
      </w:r>
      <w:r>
        <w:rPr>
          <w:rFonts w:hint="eastAsia" w:ascii="仿宋_GB2312" w:hAnsi="仿宋_GB2312" w:eastAsia="仿宋_GB2312"/>
          <w:color w:val="000000"/>
          <w:sz w:val="32"/>
          <w:szCs w:val="24"/>
          <w:lang w:val="en-US" w:eastAsia="zh-CN"/>
        </w:rPr>
        <w:t>教育支出</w:t>
      </w:r>
      <w:r>
        <w:rPr>
          <w:rFonts w:hint="eastAsia" w:ascii="仿宋_GB2312" w:hAnsi="仿宋_GB2312" w:eastAsia="仿宋_GB2312"/>
          <w:color w:val="000000"/>
          <w:sz w:val="32"/>
          <w:szCs w:val="24"/>
          <w:lang w:val="en-US"/>
        </w:rPr>
        <w:t>（类）</w:t>
      </w:r>
      <w:r>
        <w:rPr>
          <w:rFonts w:hint="eastAsia" w:ascii="仿宋_GB2312" w:hAnsi="仿宋_GB2312" w:eastAsia="仿宋_GB2312"/>
          <w:color w:val="000000"/>
          <w:sz w:val="32"/>
          <w:szCs w:val="24"/>
          <w:lang w:val="en-US" w:eastAsia="zh-CN"/>
        </w:rPr>
        <w:t>普通教育</w:t>
      </w:r>
      <w:r>
        <w:rPr>
          <w:rFonts w:hint="eastAsia" w:ascii="仿宋_GB2312" w:hAnsi="仿宋_GB2312" w:eastAsia="仿宋_GB2312"/>
          <w:color w:val="000000"/>
          <w:sz w:val="32"/>
          <w:szCs w:val="24"/>
          <w:lang w:val="en-US"/>
        </w:rPr>
        <w:t>（款）</w:t>
      </w:r>
      <w:r>
        <w:rPr>
          <w:rFonts w:hint="eastAsia" w:ascii="仿宋_GB2312" w:hAnsi="仿宋_GB2312" w:eastAsia="仿宋_GB2312"/>
          <w:color w:val="000000"/>
          <w:sz w:val="32"/>
          <w:szCs w:val="24"/>
          <w:lang w:val="en-US" w:eastAsia="zh-CN"/>
        </w:rPr>
        <w:t>小学教育（</w:t>
      </w:r>
      <w:r>
        <w:rPr>
          <w:rFonts w:hint="eastAsia" w:ascii="仿宋_GB2312" w:hAnsi="仿宋_GB2312" w:eastAsia="仿宋_GB2312"/>
          <w:color w:val="000000"/>
          <w:sz w:val="32"/>
          <w:szCs w:val="24"/>
          <w:lang w:val="en-US"/>
        </w:rPr>
        <w:t>项）：</w:t>
      </w:r>
      <w:r>
        <w:rPr>
          <w:rFonts w:hint="eastAsia" w:ascii="仿宋_GB2312" w:hAnsi="仿宋_GB2312" w:eastAsia="仿宋_GB2312"/>
          <w:color w:val="000000"/>
          <w:kern w:val="2"/>
          <w:sz w:val="32"/>
          <w:szCs w:val="24"/>
          <w:lang w:val="en-US"/>
        </w:rPr>
        <w:t>指</w:t>
      </w:r>
      <w:r>
        <w:rPr>
          <w:rFonts w:hint="eastAsia" w:ascii="仿宋_GB2312" w:eastAsia="仿宋_GB2312"/>
          <w:sz w:val="32"/>
          <w:szCs w:val="32"/>
        </w:rPr>
        <w:t>反映各</w:t>
      </w:r>
      <w:r>
        <w:rPr>
          <w:rFonts w:ascii="仿宋_GB2312" w:eastAsia="仿宋_GB2312"/>
          <w:sz w:val="32"/>
          <w:szCs w:val="32"/>
        </w:rPr>
        <w:t>部门举办的小学教育支出。</w:t>
      </w:r>
      <w:r>
        <w:rPr>
          <w:rFonts w:hint="eastAsia" w:ascii="仿宋_GB2312" w:eastAsia="仿宋_GB2312"/>
          <w:sz w:val="32"/>
          <w:szCs w:val="32"/>
        </w:rPr>
        <w:t>政府</w:t>
      </w:r>
      <w:r>
        <w:rPr>
          <w:rFonts w:ascii="仿宋_GB2312" w:eastAsia="仿宋_GB2312"/>
          <w:sz w:val="32"/>
          <w:szCs w:val="32"/>
        </w:rPr>
        <w:t>各部门对社会组织等举办的小学的资助</w:t>
      </w:r>
      <w:r>
        <w:rPr>
          <w:rFonts w:hint="eastAsia" w:ascii="仿宋_GB2312" w:eastAsia="仿宋_GB2312"/>
          <w:sz w:val="32"/>
          <w:szCs w:val="32"/>
        </w:rPr>
        <w:t>，</w:t>
      </w:r>
      <w:r>
        <w:rPr>
          <w:rFonts w:ascii="仿宋_GB2312" w:eastAsia="仿宋_GB2312"/>
          <w:sz w:val="32"/>
          <w:szCs w:val="32"/>
        </w:rPr>
        <w:t>如捐赠、补贴等</w:t>
      </w:r>
      <w:r>
        <w:rPr>
          <w:rFonts w:hint="eastAsia" w:ascii="仿宋_GB2312" w:eastAsia="仿宋_GB2312"/>
          <w:sz w:val="32"/>
          <w:szCs w:val="32"/>
        </w:rPr>
        <w:t>，</w:t>
      </w:r>
      <w:r>
        <w:rPr>
          <w:rFonts w:ascii="仿宋_GB2312" w:eastAsia="仿宋_GB2312"/>
          <w:sz w:val="32"/>
          <w:szCs w:val="32"/>
        </w:rPr>
        <w:t>也在本科</w:t>
      </w:r>
      <w:r>
        <w:rPr>
          <w:rFonts w:hint="eastAsia" w:ascii="仿宋_GB2312" w:eastAsia="仿宋_GB2312"/>
          <w:sz w:val="32"/>
          <w:szCs w:val="32"/>
        </w:rPr>
        <w:t>目</w:t>
      </w:r>
      <w:r>
        <w:rPr>
          <w:rFonts w:ascii="仿宋_GB2312" w:eastAsia="仿宋_GB2312"/>
          <w:sz w:val="32"/>
          <w:szCs w:val="32"/>
        </w:rPr>
        <w:t>中反映</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10.</w:t>
      </w:r>
      <w:r>
        <w:rPr>
          <w:rFonts w:hint="eastAsia" w:ascii="仿宋_GB2312" w:hAnsi="仿宋_GB2312" w:eastAsia="仿宋_GB2312"/>
          <w:color w:val="000000"/>
          <w:sz w:val="32"/>
          <w:szCs w:val="24"/>
          <w:lang w:val="en-US"/>
        </w:rPr>
        <w:t>教育支出（类）</w:t>
      </w:r>
      <w:r>
        <w:rPr>
          <w:rFonts w:hint="eastAsia" w:ascii="仿宋_GB2312" w:hAnsi="仿宋_GB2312" w:eastAsia="仿宋_GB2312"/>
          <w:color w:val="000000"/>
          <w:sz w:val="32"/>
          <w:szCs w:val="24"/>
          <w:lang w:val="en-US" w:eastAsia="zh-CN"/>
        </w:rPr>
        <w:t>普通教育</w:t>
      </w:r>
      <w:r>
        <w:rPr>
          <w:rFonts w:hint="eastAsia" w:ascii="仿宋_GB2312" w:hAnsi="仿宋_GB2312" w:eastAsia="仿宋_GB2312"/>
          <w:color w:val="000000"/>
          <w:sz w:val="32"/>
          <w:szCs w:val="24"/>
          <w:lang w:val="en-US"/>
        </w:rPr>
        <w:t>（款）</w:t>
      </w:r>
      <w:r>
        <w:rPr>
          <w:rFonts w:hint="eastAsia" w:ascii="仿宋_GB2312" w:hAnsi="仿宋_GB2312" w:eastAsia="仿宋_GB2312"/>
          <w:color w:val="000000"/>
          <w:sz w:val="32"/>
          <w:szCs w:val="24"/>
          <w:lang w:val="en-US" w:eastAsia="zh-CN"/>
        </w:rPr>
        <w:t>其他普通教育支出</w:t>
      </w:r>
      <w:r>
        <w:rPr>
          <w:rFonts w:hint="eastAsia" w:ascii="仿宋_GB2312" w:hAnsi="仿宋_GB2312" w:eastAsia="仿宋_GB2312"/>
          <w:color w:val="000000"/>
          <w:sz w:val="32"/>
          <w:szCs w:val="24"/>
          <w:lang w:val="en-US"/>
        </w:rPr>
        <w:t>（项）</w:t>
      </w:r>
      <w:r>
        <w:rPr>
          <w:rFonts w:hint="eastAsia" w:ascii="仿宋_GB2312" w:hAnsi="仿宋_GB2312" w:eastAsia="仿宋_GB2312"/>
          <w:color w:val="000000"/>
          <w:kern w:val="2"/>
          <w:sz w:val="32"/>
          <w:szCs w:val="24"/>
          <w:lang w:val="en-US"/>
        </w:rPr>
        <w:t>：指</w:t>
      </w:r>
      <w:r>
        <w:rPr>
          <w:rFonts w:hint="eastAsia" w:ascii="仿宋_GB2312" w:eastAsia="仿宋_GB2312"/>
          <w:sz w:val="32"/>
          <w:szCs w:val="32"/>
        </w:rPr>
        <w:t>其他用</w:t>
      </w:r>
      <w:r>
        <w:rPr>
          <w:rFonts w:ascii="仿宋_GB2312" w:eastAsia="仿宋_GB2312"/>
          <w:sz w:val="32"/>
          <w:szCs w:val="32"/>
        </w:rPr>
        <w:t>于</w:t>
      </w:r>
      <w:r>
        <w:rPr>
          <w:rFonts w:hint="eastAsia" w:ascii="仿宋_GB2312" w:eastAsia="仿宋_GB2312"/>
          <w:sz w:val="32"/>
          <w:szCs w:val="32"/>
        </w:rPr>
        <w:t>普通</w:t>
      </w:r>
      <w:r>
        <w:rPr>
          <w:rFonts w:ascii="仿宋_GB2312" w:eastAsia="仿宋_GB2312"/>
          <w:sz w:val="32"/>
          <w:szCs w:val="32"/>
        </w:rPr>
        <w:t>教育方面的支出</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11.</w:t>
      </w:r>
      <w:r>
        <w:rPr>
          <w:rFonts w:hint="eastAsia" w:ascii="仿宋_GB2312" w:hAnsi="仿宋_GB2312" w:eastAsia="仿宋_GB2312"/>
          <w:color w:val="000000"/>
          <w:sz w:val="32"/>
          <w:szCs w:val="24"/>
          <w:lang w:val="en-US"/>
        </w:rPr>
        <w:t>教育支出（类）</w:t>
      </w:r>
      <w:r>
        <w:rPr>
          <w:rFonts w:hint="eastAsia" w:ascii="仿宋_GB2312" w:hAnsi="仿宋_GB2312" w:eastAsia="仿宋_GB2312"/>
          <w:color w:val="000000"/>
          <w:sz w:val="32"/>
          <w:szCs w:val="24"/>
          <w:lang w:val="en-US" w:eastAsia="zh-CN"/>
        </w:rPr>
        <w:t>教育费附加安排的支出</w:t>
      </w:r>
      <w:r>
        <w:rPr>
          <w:rFonts w:hint="eastAsia" w:ascii="仿宋_GB2312" w:hAnsi="仿宋_GB2312" w:eastAsia="仿宋_GB2312"/>
          <w:color w:val="000000"/>
          <w:sz w:val="32"/>
          <w:szCs w:val="24"/>
          <w:lang w:val="en-US"/>
        </w:rPr>
        <w:t>（款）</w:t>
      </w:r>
      <w:r>
        <w:rPr>
          <w:rFonts w:hint="eastAsia" w:ascii="仿宋_GB2312" w:hAnsi="仿宋_GB2312" w:eastAsia="仿宋_GB2312"/>
          <w:color w:val="000000"/>
          <w:sz w:val="32"/>
          <w:szCs w:val="24"/>
          <w:lang w:val="en-US" w:eastAsia="zh-CN"/>
        </w:rPr>
        <w:t>其他教育费附加安排的支出</w:t>
      </w:r>
      <w:r>
        <w:rPr>
          <w:rFonts w:hint="eastAsia" w:ascii="仿宋_GB2312" w:hAnsi="仿宋_GB2312" w:eastAsia="仿宋_GB2312"/>
          <w:color w:val="000000"/>
          <w:sz w:val="32"/>
          <w:szCs w:val="24"/>
          <w:lang w:val="en-US"/>
        </w:rPr>
        <w:t>（项</w:t>
      </w:r>
      <w:r>
        <w:rPr>
          <w:rFonts w:hint="eastAsia" w:ascii="仿宋_GB2312" w:hAnsi="仿宋_GB2312" w:eastAsia="仿宋_GB2312"/>
          <w:b/>
          <w:color w:val="000000"/>
          <w:kern w:val="2"/>
          <w:sz w:val="32"/>
          <w:szCs w:val="24"/>
          <w:lang w:val="en-US"/>
        </w:rPr>
        <w:t>）</w:t>
      </w:r>
      <w:r>
        <w:rPr>
          <w:rFonts w:hint="eastAsia" w:ascii="仿宋_GB2312" w:hAnsi="仿宋_GB2312" w:eastAsia="仿宋_GB2312"/>
          <w:color w:val="000000"/>
          <w:kern w:val="2"/>
          <w:sz w:val="32"/>
          <w:szCs w:val="24"/>
          <w:lang w:val="en-US"/>
        </w:rPr>
        <w:t>：指</w:t>
      </w:r>
      <w:r>
        <w:rPr>
          <w:rFonts w:hint="eastAsia" w:ascii="仿宋_GB2312" w:hAnsi="仿宋_GB2312" w:eastAsia="仿宋_GB2312"/>
          <w:color w:val="000000"/>
          <w:sz w:val="32"/>
          <w:szCs w:val="24"/>
          <w:lang w:val="en-US" w:eastAsia="zh-CN"/>
        </w:rPr>
        <w:t>其他用于教育费附加安排的支出</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12.文化旅游体育与传媒支出（类）</w:t>
      </w:r>
      <w:r>
        <w:rPr>
          <w:rFonts w:hint="eastAsia" w:ascii="仿宋_GB2312" w:hAnsi="仿宋_GB2312" w:eastAsia="仿宋_GB2312"/>
          <w:color w:val="000000"/>
          <w:kern w:val="2"/>
          <w:sz w:val="32"/>
          <w:szCs w:val="24"/>
          <w:lang w:val="en-US" w:eastAsia="zh-CN"/>
        </w:rPr>
        <w:t>体育</w:t>
      </w:r>
      <w:r>
        <w:rPr>
          <w:rFonts w:hint="eastAsia" w:ascii="仿宋_GB2312" w:hAnsi="仿宋_GB2312" w:eastAsia="仿宋_GB2312"/>
          <w:color w:val="000000"/>
          <w:kern w:val="2"/>
          <w:sz w:val="32"/>
          <w:szCs w:val="24"/>
          <w:lang w:val="en-US"/>
        </w:rPr>
        <w:t>（款）</w:t>
      </w:r>
      <w:r>
        <w:rPr>
          <w:rFonts w:hint="eastAsia" w:ascii="仿宋_GB2312" w:hAnsi="仿宋_GB2312" w:eastAsia="仿宋_GB2312"/>
          <w:color w:val="000000"/>
          <w:kern w:val="2"/>
          <w:sz w:val="32"/>
          <w:szCs w:val="24"/>
          <w:lang w:val="en-US" w:eastAsia="zh-CN"/>
        </w:rPr>
        <w:t>其他体育支出</w:t>
      </w:r>
      <w:r>
        <w:rPr>
          <w:rFonts w:hint="eastAsia" w:ascii="仿宋_GB2312" w:hAnsi="仿宋_GB2312" w:eastAsia="仿宋_GB2312"/>
          <w:color w:val="000000"/>
          <w:kern w:val="2"/>
          <w:sz w:val="32"/>
          <w:szCs w:val="24"/>
          <w:lang w:val="en-US"/>
        </w:rPr>
        <w:t>（项）：指</w:t>
      </w:r>
      <w:r>
        <w:rPr>
          <w:rFonts w:hint="eastAsia" w:ascii="仿宋_GB2312" w:hAnsi="仿宋_GB2312" w:eastAsia="仿宋_GB2312"/>
          <w:color w:val="000000"/>
          <w:kern w:val="2"/>
          <w:sz w:val="32"/>
          <w:szCs w:val="24"/>
          <w:lang w:val="en-US" w:eastAsia="zh-CN"/>
        </w:rPr>
        <w:t>其他用于</w:t>
      </w:r>
      <w:r>
        <w:rPr>
          <w:rFonts w:hint="eastAsia" w:ascii="仿宋_GB2312" w:hAnsi="仿宋_GB2312" w:eastAsia="仿宋_GB2312"/>
          <w:color w:val="000000"/>
          <w:kern w:val="2"/>
          <w:sz w:val="32"/>
          <w:szCs w:val="24"/>
          <w:lang w:val="en-US"/>
        </w:rPr>
        <w:t>体育</w:t>
      </w:r>
      <w:r>
        <w:rPr>
          <w:rFonts w:hint="eastAsia" w:ascii="仿宋_GB2312" w:hAnsi="仿宋_GB2312" w:eastAsia="仿宋_GB2312"/>
          <w:color w:val="000000"/>
          <w:kern w:val="2"/>
          <w:sz w:val="32"/>
          <w:szCs w:val="24"/>
          <w:lang w:val="en-US" w:eastAsia="zh-CN"/>
        </w:rPr>
        <w:t>方面的</w:t>
      </w:r>
      <w:r>
        <w:rPr>
          <w:rFonts w:hint="eastAsia" w:ascii="仿宋_GB2312" w:hAnsi="仿宋_GB2312" w:eastAsia="仿宋_GB2312"/>
          <w:color w:val="000000"/>
          <w:kern w:val="2"/>
          <w:sz w:val="32"/>
          <w:szCs w:val="24"/>
          <w:lang w:val="en-US"/>
        </w:rPr>
        <w:t>支出。</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13..社会保障和就业支出（类）</w:t>
      </w:r>
      <w:r>
        <w:rPr>
          <w:rFonts w:hint="eastAsia" w:ascii="仿宋_GB2312" w:hAnsi="仿宋_GB2312" w:eastAsia="仿宋_GB2312"/>
          <w:color w:val="000000"/>
          <w:kern w:val="2"/>
          <w:sz w:val="32"/>
          <w:szCs w:val="24"/>
          <w:lang w:val="en-US" w:eastAsia="zh-CN"/>
        </w:rPr>
        <w:t>行政事业单位养老支出</w:t>
      </w:r>
      <w:r>
        <w:rPr>
          <w:rFonts w:hint="eastAsia" w:ascii="仿宋_GB2312" w:hAnsi="仿宋_GB2312" w:eastAsia="仿宋_GB2312"/>
          <w:color w:val="000000"/>
          <w:kern w:val="2"/>
          <w:sz w:val="32"/>
          <w:szCs w:val="24"/>
          <w:lang w:val="en-US"/>
        </w:rPr>
        <w:t>（款）</w:t>
      </w:r>
      <w:r>
        <w:rPr>
          <w:rFonts w:hint="eastAsia" w:ascii="仿宋_GB2312" w:hAnsi="仿宋_GB2312" w:eastAsia="仿宋_GB2312"/>
          <w:color w:val="000000"/>
          <w:kern w:val="2"/>
          <w:sz w:val="32"/>
          <w:szCs w:val="24"/>
          <w:lang w:val="en-US" w:eastAsia="zh-CN"/>
        </w:rPr>
        <w:t>机关事业单位基本养老保险缴费支出</w:t>
      </w:r>
      <w:r>
        <w:rPr>
          <w:rFonts w:hint="eastAsia" w:ascii="仿宋_GB2312" w:hAnsi="仿宋_GB2312" w:eastAsia="仿宋_GB2312"/>
          <w:color w:val="000000"/>
          <w:kern w:val="2"/>
          <w:sz w:val="32"/>
          <w:szCs w:val="24"/>
          <w:lang w:val="en-US"/>
        </w:rPr>
        <w:t>（项）:指</w:t>
      </w:r>
      <w:r>
        <w:rPr>
          <w:rFonts w:hint="eastAsia" w:ascii="仿宋_GB2312" w:eastAsia="仿宋_GB2312"/>
          <w:sz w:val="32"/>
          <w:szCs w:val="32"/>
        </w:rPr>
        <w:t>反映机关事业</w:t>
      </w:r>
      <w:r>
        <w:rPr>
          <w:rFonts w:ascii="仿宋_GB2312" w:eastAsia="仿宋_GB2312"/>
          <w:sz w:val="32"/>
          <w:szCs w:val="32"/>
        </w:rPr>
        <w:t>单位</w:t>
      </w:r>
      <w:r>
        <w:rPr>
          <w:rFonts w:hint="eastAsia" w:ascii="仿宋_GB2312" w:eastAsia="仿宋_GB2312"/>
          <w:sz w:val="32"/>
          <w:szCs w:val="32"/>
        </w:rPr>
        <w:t>实施</w:t>
      </w:r>
      <w:r>
        <w:rPr>
          <w:rFonts w:ascii="仿宋_GB2312" w:eastAsia="仿宋_GB2312"/>
          <w:sz w:val="32"/>
          <w:szCs w:val="32"/>
        </w:rPr>
        <w:t>养老保险制度由单位缴纳的基本养老</w:t>
      </w:r>
      <w:r>
        <w:rPr>
          <w:rFonts w:hint="eastAsia" w:ascii="仿宋_GB2312" w:eastAsia="仿宋_GB2312"/>
          <w:sz w:val="32"/>
          <w:szCs w:val="32"/>
        </w:rPr>
        <w:t>保险</w:t>
      </w:r>
      <w:r>
        <w:rPr>
          <w:rFonts w:ascii="仿宋_GB2312" w:eastAsia="仿宋_GB2312"/>
          <w:sz w:val="32"/>
          <w:szCs w:val="32"/>
        </w:rPr>
        <w:t>费支出</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eastAsia="zh-CN"/>
        </w:rPr>
        <w:t>14</w:t>
      </w:r>
      <w:r>
        <w:rPr>
          <w:rFonts w:hint="eastAsia" w:ascii="仿宋_GB2312" w:hAnsi="仿宋_GB2312" w:eastAsia="仿宋_GB2312"/>
          <w:color w:val="000000"/>
          <w:kern w:val="2"/>
          <w:sz w:val="32"/>
          <w:szCs w:val="24"/>
          <w:lang w:val="en-US"/>
        </w:rPr>
        <w:t>.社会保障和就业支出（类）</w:t>
      </w:r>
      <w:r>
        <w:rPr>
          <w:rFonts w:hint="eastAsia" w:ascii="仿宋_GB2312" w:hAnsi="仿宋_GB2312" w:eastAsia="仿宋_GB2312"/>
          <w:color w:val="000000"/>
          <w:kern w:val="2"/>
          <w:sz w:val="32"/>
          <w:szCs w:val="24"/>
          <w:lang w:val="en-US" w:eastAsia="zh-CN"/>
        </w:rPr>
        <w:t>抚恤</w:t>
      </w:r>
      <w:r>
        <w:rPr>
          <w:rFonts w:hint="eastAsia" w:ascii="仿宋_GB2312" w:hAnsi="仿宋_GB2312" w:eastAsia="仿宋_GB2312"/>
          <w:color w:val="000000"/>
          <w:kern w:val="2"/>
          <w:sz w:val="32"/>
          <w:szCs w:val="24"/>
          <w:lang w:val="en-US"/>
        </w:rPr>
        <w:t>（款）</w:t>
      </w:r>
      <w:r>
        <w:rPr>
          <w:rFonts w:hint="eastAsia" w:ascii="仿宋_GB2312" w:hAnsi="仿宋_GB2312" w:eastAsia="仿宋_GB2312"/>
          <w:color w:val="000000"/>
          <w:kern w:val="2"/>
          <w:sz w:val="32"/>
          <w:szCs w:val="24"/>
          <w:lang w:val="en-US" w:eastAsia="zh-CN"/>
        </w:rPr>
        <w:t>伤残抚恤</w:t>
      </w:r>
      <w:r>
        <w:rPr>
          <w:rFonts w:hint="eastAsia" w:ascii="仿宋_GB2312" w:hAnsi="仿宋_GB2312" w:eastAsia="仿宋_GB2312"/>
          <w:color w:val="000000"/>
          <w:kern w:val="2"/>
          <w:sz w:val="32"/>
          <w:szCs w:val="24"/>
          <w:lang w:val="en-US"/>
        </w:rPr>
        <w:t>（项）:指</w:t>
      </w:r>
      <w:r>
        <w:rPr>
          <w:rFonts w:hint="eastAsia" w:ascii="仿宋_GB2312" w:eastAsia="仿宋_GB2312"/>
          <w:sz w:val="32"/>
          <w:szCs w:val="32"/>
        </w:rPr>
        <w:t>反映按</w:t>
      </w:r>
      <w:r>
        <w:rPr>
          <w:rFonts w:ascii="仿宋_GB2312" w:eastAsia="仿宋_GB2312"/>
          <w:sz w:val="32"/>
          <w:szCs w:val="32"/>
        </w:rPr>
        <w:t>规定</w:t>
      </w:r>
      <w:r>
        <w:rPr>
          <w:rFonts w:hint="eastAsia" w:ascii="仿宋_GB2312" w:eastAsia="仿宋_GB2312"/>
          <w:sz w:val="32"/>
          <w:szCs w:val="32"/>
        </w:rPr>
        <w:t>用于</w:t>
      </w:r>
      <w:r>
        <w:rPr>
          <w:rFonts w:ascii="仿宋_GB2312" w:eastAsia="仿宋_GB2312"/>
          <w:sz w:val="32"/>
          <w:szCs w:val="32"/>
        </w:rPr>
        <w:t>烈士和</w:t>
      </w:r>
      <w:r>
        <w:rPr>
          <w:rFonts w:hint="eastAsia" w:ascii="仿宋_GB2312" w:eastAsia="仿宋_GB2312"/>
          <w:sz w:val="32"/>
          <w:szCs w:val="32"/>
        </w:rPr>
        <w:t>伤残</w:t>
      </w:r>
      <w:r>
        <w:rPr>
          <w:rFonts w:ascii="仿宋_GB2312" w:eastAsia="仿宋_GB2312"/>
          <w:sz w:val="32"/>
          <w:szCs w:val="32"/>
        </w:rPr>
        <w:t>人员的抚恤金</w:t>
      </w:r>
      <w:r>
        <w:rPr>
          <w:rFonts w:hint="eastAsia" w:ascii="仿宋_GB2312" w:eastAsia="仿宋_GB2312"/>
          <w:sz w:val="32"/>
          <w:szCs w:val="32"/>
        </w:rPr>
        <w:t>和</w:t>
      </w:r>
      <w:r>
        <w:rPr>
          <w:rFonts w:ascii="仿宋_GB2312" w:eastAsia="仿宋_GB2312"/>
          <w:sz w:val="32"/>
          <w:szCs w:val="32"/>
        </w:rPr>
        <w:t>按规定开支的</w:t>
      </w:r>
      <w:r>
        <w:rPr>
          <w:rFonts w:hint="eastAsia" w:ascii="仿宋_GB2312" w:eastAsia="仿宋_GB2312"/>
          <w:sz w:val="32"/>
          <w:szCs w:val="32"/>
        </w:rPr>
        <w:t>各</w:t>
      </w:r>
      <w:r>
        <w:rPr>
          <w:rFonts w:ascii="仿宋_GB2312" w:eastAsia="仿宋_GB2312"/>
          <w:sz w:val="32"/>
          <w:szCs w:val="32"/>
        </w:rPr>
        <w:t>种伤残补助费</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.卫生健康支出（类）行事事业单位医疗（款）事业单位医疗（项）:指</w:t>
      </w:r>
      <w:r>
        <w:rPr>
          <w:rFonts w:hint="eastAsia" w:ascii="仿宋_GB2312" w:eastAsia="仿宋_GB2312"/>
          <w:sz w:val="32"/>
          <w:szCs w:val="32"/>
        </w:rPr>
        <w:t>反映财政部门</w:t>
      </w:r>
      <w:r>
        <w:rPr>
          <w:rFonts w:ascii="仿宋_GB2312" w:eastAsia="仿宋_GB2312"/>
          <w:sz w:val="32"/>
          <w:szCs w:val="32"/>
        </w:rPr>
        <w:t>安排的事业单位基本医疗保险缴费经费，未参加医疗保险的事业单位的公费医疗经费，按国家规定享受离休人员待遇的医疗经费</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16</w:t>
      </w:r>
      <w:r>
        <w:rPr>
          <w:rFonts w:hint="eastAsia" w:ascii="仿宋_GB2312" w:hAnsi="仿宋_GB2312" w:eastAsia="仿宋_GB2312"/>
          <w:color w:val="000000"/>
          <w:kern w:val="2"/>
          <w:sz w:val="32"/>
          <w:szCs w:val="24"/>
          <w:lang w:val="en-US"/>
        </w:rPr>
        <w:t>.卫生健康支出（类）行事事业单位医疗（款）公务员医疗补助（项）:指</w:t>
      </w:r>
      <w:r>
        <w:rPr>
          <w:rFonts w:hint="eastAsia" w:ascii="仿宋_GB2312" w:eastAsia="仿宋_GB2312"/>
          <w:sz w:val="32"/>
          <w:szCs w:val="32"/>
        </w:rPr>
        <w:t>反映财政部门</w:t>
      </w:r>
      <w:r>
        <w:rPr>
          <w:rFonts w:ascii="仿宋_GB2312" w:eastAsia="仿宋_GB2312"/>
          <w:sz w:val="32"/>
          <w:szCs w:val="32"/>
        </w:rPr>
        <w:t>安排的公务员医疗补助经费</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17.</w:t>
      </w:r>
      <w:r>
        <w:rPr>
          <w:rFonts w:hint="eastAsia" w:ascii="仿宋_GB2312" w:hAnsi="仿宋_GB2312" w:eastAsia="仿宋_GB2312"/>
          <w:color w:val="000000"/>
          <w:kern w:val="2"/>
          <w:sz w:val="32"/>
          <w:szCs w:val="24"/>
          <w:lang w:val="en-US"/>
        </w:rPr>
        <w:t>住房保障支出（类）住房改革支出（款）住房公积金（项）:指</w:t>
      </w:r>
      <w:r>
        <w:rPr>
          <w:rFonts w:hint="eastAsia" w:ascii="仿宋_GB2312" w:eastAsia="仿宋_GB2312"/>
          <w:sz w:val="32"/>
          <w:szCs w:val="32"/>
        </w:rPr>
        <w:t>行政</w:t>
      </w:r>
      <w:r>
        <w:rPr>
          <w:rFonts w:ascii="仿宋_GB2312" w:eastAsia="仿宋_GB2312"/>
          <w:sz w:val="32"/>
          <w:szCs w:val="32"/>
        </w:rPr>
        <w:t>事业</w:t>
      </w:r>
      <w:r>
        <w:rPr>
          <w:rFonts w:hint="eastAsia" w:ascii="仿宋_GB2312" w:eastAsia="仿宋_GB2312"/>
          <w:sz w:val="32"/>
          <w:szCs w:val="32"/>
        </w:rPr>
        <w:t>单位按人</w:t>
      </w:r>
      <w:r>
        <w:rPr>
          <w:rFonts w:ascii="仿宋_GB2312" w:eastAsia="仿宋_GB2312"/>
          <w:sz w:val="32"/>
          <w:szCs w:val="32"/>
        </w:rPr>
        <w:t>力资源和社会保障部、财政部规定的基本工资和津贴补贴</w:t>
      </w:r>
      <w:r>
        <w:rPr>
          <w:rFonts w:hint="eastAsia" w:ascii="仿宋_GB2312" w:eastAsia="仿宋_GB2312"/>
          <w:sz w:val="32"/>
          <w:szCs w:val="32"/>
        </w:rPr>
        <w:t>以</w:t>
      </w:r>
      <w:r>
        <w:rPr>
          <w:rFonts w:ascii="仿宋_GB2312" w:eastAsia="仿宋_GB2312"/>
          <w:sz w:val="32"/>
          <w:szCs w:val="32"/>
        </w:rPr>
        <w:t>及规定比例为职工缴纳的住房公积金</w:t>
      </w:r>
      <w:r>
        <w:rPr>
          <w:rFonts w:hint="eastAsia" w:ascii="仿宋_GB2312" w:hAnsi="仿宋_GB2312" w:eastAsia="仿宋_GB2312"/>
          <w:color w:val="000000"/>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18.其他支出</w:t>
      </w:r>
      <w:r>
        <w:rPr>
          <w:rFonts w:hint="eastAsia" w:ascii="仿宋_GB2312" w:hAnsi="仿宋_GB2312" w:eastAsia="仿宋_GB2312"/>
          <w:color w:val="000000"/>
          <w:kern w:val="2"/>
          <w:sz w:val="32"/>
          <w:szCs w:val="24"/>
          <w:lang w:val="en-US"/>
        </w:rPr>
        <w:t>（类）</w:t>
      </w:r>
      <w:r>
        <w:rPr>
          <w:rFonts w:hint="eastAsia" w:ascii="仿宋_GB2312" w:hAnsi="仿宋_GB2312" w:eastAsia="仿宋_GB2312"/>
          <w:color w:val="000000"/>
          <w:kern w:val="2"/>
          <w:sz w:val="32"/>
          <w:szCs w:val="24"/>
          <w:lang w:val="en-US" w:eastAsia="zh-CN"/>
        </w:rPr>
        <w:t>其他支出</w:t>
      </w:r>
      <w:r>
        <w:rPr>
          <w:rFonts w:hint="eastAsia" w:ascii="仿宋_GB2312" w:hAnsi="仿宋_GB2312" w:eastAsia="仿宋_GB2312"/>
          <w:color w:val="000000"/>
          <w:kern w:val="2"/>
          <w:sz w:val="32"/>
          <w:szCs w:val="24"/>
          <w:lang w:val="en-US"/>
        </w:rPr>
        <w:t>（款）</w:t>
      </w:r>
      <w:r>
        <w:rPr>
          <w:rFonts w:hint="eastAsia" w:ascii="仿宋_GB2312" w:hAnsi="仿宋_GB2312" w:eastAsia="仿宋_GB2312"/>
          <w:color w:val="000000"/>
          <w:kern w:val="2"/>
          <w:sz w:val="32"/>
          <w:szCs w:val="24"/>
          <w:lang w:val="en-US" w:eastAsia="zh-CN"/>
        </w:rPr>
        <w:t>其他支出</w:t>
      </w:r>
      <w:r>
        <w:rPr>
          <w:rFonts w:hint="eastAsia" w:ascii="仿宋_GB2312" w:hAnsi="仿宋_GB2312" w:eastAsia="仿宋_GB2312"/>
          <w:color w:val="000000"/>
          <w:kern w:val="2"/>
          <w:sz w:val="32"/>
          <w:szCs w:val="24"/>
          <w:lang w:val="en-US"/>
        </w:rPr>
        <w:t>（项）</w:t>
      </w:r>
      <w:r>
        <w:rPr>
          <w:rFonts w:hint="eastAsia" w:ascii="仿宋_GB2312" w:hAnsi="仿宋_GB2312" w:eastAsia="仿宋_GB2312"/>
          <w:color w:val="000000"/>
          <w:kern w:val="2"/>
          <w:sz w:val="32"/>
          <w:szCs w:val="24"/>
          <w:lang w:val="en-US" w:eastAsia="zh-CN"/>
        </w:rPr>
        <w:t>：</w:t>
      </w:r>
      <w:r>
        <w:rPr>
          <w:rFonts w:hint="eastAsia" w:ascii="仿宋_GB2312" w:eastAsia="仿宋_GB2312"/>
          <w:sz w:val="32"/>
          <w:szCs w:val="32"/>
        </w:rPr>
        <w:t>反映用于</w:t>
      </w:r>
      <w:r>
        <w:rPr>
          <w:rFonts w:hint="eastAsia" w:ascii="仿宋_GB2312" w:eastAsia="仿宋_GB2312"/>
          <w:sz w:val="32"/>
          <w:szCs w:val="32"/>
          <w:lang w:val="en-US" w:eastAsia="zh-CN"/>
        </w:rPr>
        <w:t>其他方面的</w:t>
      </w:r>
      <w:r>
        <w:rPr>
          <w:rFonts w:ascii="仿宋_GB2312" w:eastAsia="仿宋_GB2312"/>
          <w:sz w:val="32"/>
          <w:szCs w:val="32"/>
        </w:rPr>
        <w:t>支出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19</w:t>
      </w:r>
      <w:r>
        <w:rPr>
          <w:rFonts w:hint="eastAsia" w:ascii="仿宋_GB2312" w:hAnsi="仿宋_GB2312" w:eastAsia="仿宋_GB2312"/>
          <w:color w:val="000000"/>
          <w:kern w:val="2"/>
          <w:sz w:val="32"/>
          <w:szCs w:val="24"/>
          <w:lang w:val="en-US"/>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en-US"/>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22</w:t>
      </w:r>
      <w:r>
        <w:rPr>
          <w:rFonts w:hint="eastAsia" w:ascii="仿宋_GB2312" w:hAnsi="仿宋_GB2312" w:eastAsia="仿宋_GB2312"/>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23</w:t>
      </w:r>
      <w:r>
        <w:rPr>
          <w:rFonts w:hint="eastAsia" w:ascii="仿宋_GB2312" w:hAnsi="仿宋_GB2312" w:eastAsia="仿宋_GB2312"/>
          <w:color w:val="000000"/>
          <w:sz w:val="32"/>
          <w:szCs w:val="24"/>
          <w:lang w:val="en-US"/>
        </w:rPr>
        <w:t>.机关运行经费：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p>
      <w:pPr>
        <w:keepNext w:val="0"/>
        <w:keepLines w:val="0"/>
        <w:pageBreakBefore w:val="0"/>
        <w:widowControl w:val="0"/>
        <w:kinsoku/>
        <w:wordWrap/>
        <w:overflowPunct/>
        <w:topLinePunct w:val="0"/>
        <w:autoSpaceDE/>
        <w:autoSpaceDN/>
        <w:bidi w:val="0"/>
        <w:adjustRightInd/>
        <w:snapToGrid/>
        <w:spacing w:line="600" w:lineRule="exact"/>
        <w:jc w:val="both"/>
        <w:outlineLvl w:val="0"/>
        <w:rPr>
          <w:rFonts w:hint="eastAsia" w:ascii="黑体" w:hAnsi="黑体" w:eastAsia="黑体"/>
          <w:color w:val="000000"/>
          <w:sz w:val="44"/>
          <w:szCs w:val="44"/>
        </w:rPr>
      </w:pPr>
      <w:bookmarkStart w:id="2" w:name="_Toc15396614"/>
    </w:p>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黑体" w:hAns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黑体" w:hAns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黑体" w:hAns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黑体" w:hAns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outlineLvl w:val="0"/>
        <w:rPr>
          <w:rStyle w:val="18"/>
          <w:rFonts w:ascii="黑体" w:hAnsi="黑体" w:eastAsia="黑体"/>
          <w:b w:val="0"/>
        </w:rPr>
      </w:pPr>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2"/>
    </w:p>
    <w:p>
      <w:pPr>
        <w:keepNext w:val="0"/>
        <w:keepLines w:val="0"/>
        <w:pageBreakBefore w:val="0"/>
        <w:widowControl w:val="0"/>
        <w:kinsoku/>
        <w:wordWrap/>
        <w:overflowPunct/>
        <w:topLinePunct w:val="0"/>
        <w:autoSpaceDE/>
        <w:autoSpaceDN/>
        <w:bidi w:val="0"/>
        <w:adjustRightInd/>
        <w:snapToGrid/>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outlineLvl w:val="0"/>
        <w:rPr>
          <w:rFonts w:hint="eastAsia" w:ascii="黑体" w:hAnsi="黑体" w:eastAsia="黑体"/>
          <w:color w:val="000000"/>
          <w:sz w:val="44"/>
          <w:szCs w:val="44"/>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2860" w:firstLineChars="905"/>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攀枝花市第二小学校</w:t>
      </w:r>
    </w:p>
    <w:p>
      <w:pPr>
        <w:keepNext w:val="0"/>
        <w:keepLines w:val="0"/>
        <w:pageBreakBefore w:val="0"/>
        <w:widowControl w:val="0"/>
        <w:kinsoku/>
        <w:wordWrap/>
        <w:overflowPunct/>
        <w:topLinePunct w:val="0"/>
        <w:autoSpaceDE/>
        <w:autoSpaceDN/>
        <w:bidi w:val="0"/>
        <w:adjustRightInd/>
        <w:snapToGrid/>
        <w:spacing w:line="576" w:lineRule="exact"/>
        <w:ind w:firstLine="1283" w:firstLineChars="406"/>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2022年部门预算整体绩效评价自评报告</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rPr>
      </w:pP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攀枝花市第二小学校隶属于攀枝花市东区教育和体育局，是一所全额拨款事业单位。</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宣传贯彻执行党和国家的教育方针、政策、法律法规等，坚持依法治教、依法治学，贯彻执行教育相关行政规章制度。制定符合党的教育方针和国家教育法律法规以及本校实际的教育发展规划，并抓好组织实施和落实工作。</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按照干部和教师的职数、编制和管理权限，负责本校教师人事管理、继续教育、考核考评等工作。加强人事制度改革。完善年度绩效考核、职称评定方案，教师岗位安排合理，教师学历达标100%，完成了区管校用、教师交流、帮扶支教等任务。</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（二）人员及机构情况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学校设校长1人，书记1人，执行校长1人，教学副校长1人，德育副校长1人，后勤校长1人，工会主席1人。攀枝花市第二小学校及攀枝花市第二小学龙珠学校内设机构8个，分别是教导处、德育处、总务处、办公室各2个。事业编制183人，2022年末实有教职工183人，退休职工68人，学生3507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（三）资产情况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本年年末总资产4774.77万元，其中：流动资产749.17万元，由货币资金723.89万元，预付账款25.28万元组成；非流动资产4025.60万元，由固定资产净值4019.24万元及无形资产净值6.36万元组成。</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二、部门资金基本情况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（一）年初部门预算安排及支出情况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1．基本支出安排及使用情况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本单位2022年预算基本支出金额为3003.30万元，其中：人员经费2716.81万元，日常公用经费286.49万元。本单位2022年决算基本支出金额为3246.16万元，其中：人员经费2968.58万元，日常公用经费277.58万元。</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2．部门预算项目安排及支出情况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本单位2022年项目支出安排预算金额为68.26万元，包括： “三免一补”经费（民生）10.18万元，主要用于学生免作业本费；教育事业发展经费58.08万元，由学生房屋出租收入以非税形式上缴国库，纳入当年预算的资金，主要用于补充办公经费及自聘人员劳务费。</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2022年 “三免一补”经费（民生）免作业本费0.14万元；教育事业发展经费用于自聘人员劳务费38.20万元。</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（二）追加预算安排及支出情况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本单位2022年追加预算安排金额为269.88万元，实际支出269.88万元，主要用于：在职人员工资调标及人员新增150.77万元；在职人员社会保险调整47.75万元；在职人员公积金调整61.73万元等。</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（三）专项资金安排及支出情况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本单位2022年专项资金安排金额为96.22万元，主要用于：</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（1）2022年“三区”人才支持计划教师专项计划补助资金两笔，金额0.43万元，正常列支，无结转结余情况。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（2）2022年省运会足球项目备战经费2万元，正常列支，无结转结余情况。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（3）2022年平安校园建设经费66.9万元，正常列支，按财政要求收回，无结转结余情况。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（4）十四届运动会备战和参赛经费9.02万元，已正常列支，按财政要求收回，无结转结余情况。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（5）2022年体育彩票公益金6.5万元，已正常列支，无结转结余情况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（6）2022盘活资金省运会足球项目备战经费0.79万元，已正常列支，无结转结余情况。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（7）2022盘活资金市八运会奖励经费10.58万元，已正常列支，无结转结余情况。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（四）其他资金收支及结转结余使用情况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单位2022年其他收入总额为177.11万元，其中银行存款利息收入0.93；2022秋课后经费176.18万元。其他资金支出总额为0.93万元，用于弥补公用经费不足，主要列支为办公费；2022秋课后经费176.18万元用于结转发放2022秋课后服务支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（五）其他需要说明的情况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1589" w:firstLineChars="503"/>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无</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三、绩效目标完成情况分析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（一）区级财政资金绩效目标完成情况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1.年初部门预算绩效目标完成情况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数量指标：本年在校学生3629人，在职在编教职工183人，退休教师68人，财政临聘人员2人，学校自聘人员19人。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质量指标：改善办学条件，提高办学水平；抓好师资培训，提高育人水平；坚持依法治校，规范办学行为。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时效指标：2022年全年</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成本指标：教育支出（包括工资福利，商品服务和项目支出）2677.94万元；文化旅游体育与传媒支出9.02万元；社会保障和就业支出253.32万元；卫生健康支出277.52万元； 住房保障支出271.85万元；其他支出28.91万元。</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社会效益指标：保障教学正常开展，提高教学质量；学校立足现实，促进特色班级品牌化；扩大办学规模，完善学校信息教育设备设施，办学生喜爱、家长放心、社会满意的教育。坚持德育为先、能力为重、全面发展。在全面实施素质教育的主题下，让所有的学生经过我们的教育，德智体美综合素质在原有的基础上都得到全面发展，具有自主持续发展的能力。</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可持续影响指标：根据国家、省、市《中长期教育改革与发展纲要》精神和上级有关规定，进一步修订、完善学校《章程》、教师工作和绩效工资量化考核制度、教师出勤制度、教师教学常规制度、班级学生常规管理等学校规章制度，做到学校管理规范化，推动教育内涵发展。</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学生满意度：满意度95%以上。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家长满意度：满意度95%以上。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社会满意度：满意度95%以上。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2.区级专项（项目）资金绩效目标完成情况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（1）产出指标完成情况分析。包括数量指标、质量指标、时效指标和成本指标。</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数量指标： </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 “三免一补”经费：免费教科书、免作业本费学生达6928人，非寄宿生生活补助发放44人。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教育事业发展经费：2022年学校自聘人员劳务费，包含自聘驾驶员1人，校医2人，门卫5人，保洁2人，代课教师8人；保安公司派遣1人等。</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质量指标：“三区人才计划”促进教育均衡发展，为受援学校教育教学起到带头示范作用。</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“三免一补”严格按照文件精神执行，深入贯彻落实义务教育“三免一补”政策，全面实行免教科书、作业本费，发放非寄宿生生活补助。</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教育事业发展经费，做到零事故，零危险，化解家校矛盾，解决家长的后顾之忧，使学校自聘人员劳务费得到保障，进而提高学校知名度。</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时效指标：2022年全年</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成本指标：免作业本费0.14万元，发放非寄宿生生活补助1.1万元；教育事业发展项目经费38.2万元。</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（2）效益指标完成情况分析。包括经济效益、社会效益、生态效益和可持续影响。</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社会效益指标：认真贯彻落实精准帮扶工作和“三免一补”政策，帮助受援学校推进课堂改革，推动学校文化建设、完善定理考核制度、提升教育教学质量，促进教师专业发展，促进我市城乡学校改革与发展互动，扎实推进我市义务教育均衡发展。</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可持续影响指标：促进城乡教育资源共享，推动教育教学发展；形成城乡教育精准帮扶工作长效机制。</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学生满意度：满意度95%以上。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家长满意度：满意度95%以上。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受援学校满意度：满意度95%以上。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（二）上级专项（项目）资金绩效目标完成情况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（1）产出指标完成情况分析。包括数量指标、质量指标、时效指标和成本指标。</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数量指标：</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 “三区”人才支持计划教师专项计划由攀枝花市第二小学校向木里县克尔乡派出支教教师1人。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质量指标：“三区”人才支持计划教师专项计划促进教育均衡发展，为受援学校教育教学起到带头示范作用。</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2021年义务教育薄弱环节与能力提升（平安校园建设项目），校园安全得到保障，利于社会和谐发展，学校保持干净整洁，利于维护整个城市卫生，创建文明城市，促进绿色环保可持续发展，为学生和教师提供干净舒适的平安的学习环境和工作环境，顺利完成教育教学任务，促进义务教育发展。</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时效指标：2022年全年</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成本指标： “三区”人才支持计划教师专项计划补助资金 0.43万元；2022年省运会足球项目备战经费2万元；2022年体育彩票公益金6.5万元；平安校园建设项目66.90万元。</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（2）效益指标完成情况分析。包括经济效益、社会效益、生态效益和可持续影响。</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社会效益：认真贯彻落实精准帮扶工作和“三免一补”政策，帮助受援学校推进课堂改革，推动学校文化建设、完善定理考核制度、提升教育教学质量，促进教师专业发展，促进我市城乡学校改革与发展互动，扎实推进我市义务教育均衡发展。</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可持续影响：促进城乡教育资源共享，推动教育教学发展；形成城乡教育精准帮扶工作长效机制。</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学生满意度：满意度95%以上。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家长满意度：满意度95%以上。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受援学校满意度：满意度95%以上。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（三）其他需要说明的情况</w:t>
      </w:r>
    </w:p>
    <w:p>
      <w:pPr>
        <w:keepNext w:val="0"/>
        <w:keepLines w:val="0"/>
        <w:pageBreakBefore w:val="0"/>
        <w:widowControl w:val="0"/>
        <w:tabs>
          <w:tab w:val="left" w:pos="434"/>
        </w:tabs>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ab/>
      </w: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lang w:val="en-US"/>
        </w:rPr>
        <w:t>无</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（四）自评结论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年度部门预算支出绩效情况良好，完成学校发展总体目标任务。以科学发展观、国家的教育方针和先进的教育理念为指导，根据学校实际和社会需求，努力改善办学条件，不断强化内部管理，全面实施素质教育，以学生发展为中心，突出学校内涵发展，提高教育质量、促进学生全面发展。</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四、偏离绩效目标的原因和下一步改进措施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本年度绩效目标未存在偏离，但在执行过程中还存在下列问题：</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1.学校财务人员身兼数职，专业知识水平低，对绩效目标部分概念模糊。</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2.绩效目标的设定需要各个部门分解汇总，全员参与，相互协调，学校对绩效评价还未建立全员参与的意识，部分绩效目标无法量化。</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五、绩效自评结果拟应用和公开公示情况</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绩效自评结果将用于下一年度预算编制及监控，并已按要求在攀枝花市东区人民政府网政务公开栏目下公开公示。</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olor w:val="000000"/>
          <w:sz w:val="32"/>
          <w:szCs w:val="24"/>
          <w:lang w:val="en-US"/>
        </w:rPr>
      </w:pPr>
    </w:p>
    <w:p>
      <w:pPr>
        <w:keepNext w:val="0"/>
        <w:keepLines w:val="0"/>
        <w:pageBreakBefore w:val="0"/>
        <w:widowControl w:val="0"/>
        <w:kinsoku/>
        <w:wordWrap/>
        <w:overflowPunct/>
        <w:topLinePunct w:val="0"/>
        <w:autoSpaceDE/>
        <w:autoSpaceDN/>
        <w:bidi w:val="0"/>
        <w:adjustRightInd/>
        <w:snapToGrid/>
        <w:spacing w:line="560" w:lineRule="exact"/>
        <w:ind w:left="5351" w:leftChars="608" w:hanging="4099" w:hangingChars="1297"/>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lang w:val="en-US"/>
        </w:rPr>
        <w:t>攀枝花市第二小学校</w:t>
      </w:r>
    </w:p>
    <w:p>
      <w:pPr>
        <w:keepNext w:val="0"/>
        <w:keepLines w:val="0"/>
        <w:pageBreakBefore w:val="0"/>
        <w:widowControl w:val="0"/>
        <w:kinsoku/>
        <w:wordWrap/>
        <w:overflowPunct/>
        <w:topLinePunct w:val="0"/>
        <w:autoSpaceDE/>
        <w:autoSpaceDN/>
        <w:bidi w:val="0"/>
        <w:adjustRightInd/>
        <w:snapToGrid/>
        <w:spacing w:line="560" w:lineRule="exact"/>
        <w:ind w:firstLine="5694" w:firstLineChars="1802"/>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2023年4月1</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val="en-US"/>
        </w:rPr>
        <w:t>日</w:t>
      </w:r>
    </w:p>
    <w:p>
      <w:pPr>
        <w:keepNext w:val="0"/>
        <w:keepLines w:val="0"/>
        <w:pageBreakBefore w:val="0"/>
        <w:widowControl w:val="0"/>
        <w:kinsoku/>
        <w:wordWrap/>
        <w:overflowPunct/>
        <w:topLinePunct w:val="0"/>
        <w:autoSpaceDE/>
        <w:autoSpaceDN/>
        <w:bidi w:val="0"/>
        <w:adjustRightInd/>
        <w:snapToGrid/>
        <w:spacing w:line="576" w:lineRule="exact"/>
        <w:ind w:firstLine="2860" w:firstLineChars="905"/>
        <w:jc w:val="both"/>
        <w:rPr>
          <w:rFonts w:hint="eastAsia" w:ascii="仿宋_GB2312" w:hAnsi="仿宋_GB2312" w:eastAsia="仿宋_GB2312"/>
          <w:b/>
          <w:color w:val="000000"/>
          <w:kern w:val="2"/>
          <w:sz w:val="32"/>
          <w:szCs w:val="24"/>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2860" w:firstLineChars="905"/>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攀枝花市第二小学校</w:t>
      </w:r>
    </w:p>
    <w:p>
      <w:pPr>
        <w:keepNext w:val="0"/>
        <w:keepLines w:val="0"/>
        <w:pageBreakBefore w:val="0"/>
        <w:widowControl w:val="0"/>
        <w:kinsoku/>
        <w:wordWrap/>
        <w:overflowPunct/>
        <w:topLinePunct w:val="0"/>
        <w:autoSpaceDE/>
        <w:autoSpaceDN/>
        <w:bidi w:val="0"/>
        <w:adjustRightInd/>
        <w:snapToGrid/>
        <w:spacing w:line="576" w:lineRule="exact"/>
        <w:ind w:firstLine="1580" w:firstLineChars="5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en-US"/>
        </w:rPr>
        <w:t>2022年度</w:t>
      </w:r>
      <w:r>
        <w:rPr>
          <w:rFonts w:hint="eastAsia" w:ascii="仿宋_GB2312" w:hAnsi="仿宋_GB2312" w:eastAsia="仿宋_GB2312"/>
          <w:b/>
          <w:color w:val="000000"/>
          <w:kern w:val="2"/>
          <w:sz w:val="32"/>
          <w:szCs w:val="24"/>
          <w:lang w:val="zh-CN"/>
        </w:rPr>
        <w:t>项目（政策）支出绩效自评报告</w:t>
      </w:r>
    </w:p>
    <w:p>
      <w:pPr>
        <w:keepNext w:val="0"/>
        <w:keepLines w:val="0"/>
        <w:pageBreakBefore w:val="0"/>
        <w:widowControl w:val="0"/>
        <w:kinsoku/>
        <w:wordWrap/>
        <w:overflowPunct/>
        <w:topLinePunct w:val="0"/>
        <w:autoSpaceDE/>
        <w:autoSpaceDN/>
        <w:bidi w:val="0"/>
        <w:adjustRightInd/>
        <w:snapToGrid/>
        <w:spacing w:line="576" w:lineRule="exact"/>
        <w:ind w:firstLine="2221" w:firstLineChars="703"/>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（教育事业发展经费项目）</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1．攀枝花市第二小学校是本项目的具体实施主体。</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2．项目立项、资金申报的依据是：根据上级财政相关要求，学校房屋出租非税收入上缴财政国库并纳入预算，作为教育事业发展经费。</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3．资金管理办法制定情况，资金支持具体项目的条件、范围与支持方式为：此项目资金用于学校自聘人员劳务费及公用经费补充。</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4．资金分配的原则及考虑因素：此项目资金支出用于学校自聘人员的劳务费及公用经费补充等因素。</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1．项目主要内容：学校自聘门卫、保洁、教学人员等的劳务费，以及为确保学生教育教学工作的正常开展而产生的其他公用经费。</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2．项目应实现的具体绩效目标：通过教育事业发展经费的落实，用于学校自聘门卫、保洁、教学人员等的劳务费；以及以及为确保学生教育教学工作的正常开展而产生的其他公用经费。此项目已按预算落实。</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3．本项目申报内容与实际相符，申报目标合理可行。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对教育事业发展项目的相关具体内容进行实施效果的评价，通过上级主管部门对2022年考核评价，学校在东区教体局的年度考核工作中为优秀。</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此项目在2022预算工作时进行了申报，申报总额为58.08万元，年初区财政下达批复为58.08万元，2022年9月区财政实际下达可使用指标总额为38.12万元。</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1．资金计划。</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此项目以非税返还安排，属于区级预算资金。</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2．资金到位。</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该项目资金指标由区财政于2022年9月下拨到学校财政大平台中。</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3．资金使用。</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该项目资金的支付范围、支付标准、支付依据等均是合法合规的。</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项目实施单位财务管理制度健全，严格执行财务管理制度，账务处理及时，会计核算规范。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项目在2022年预算时纳入单位预算，由区财政进行了批复，学校按当年实际工作情况安排实施。</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项目在2022年预算时纳入单位预算，由区财政进行了批复，学校严格按照财务制度要求及相关规定进行管理并实施。</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项目完成情况每年都要向上级财政部门填写相关的绩效分析评价，并上报相关对口管理科室备案。</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四、项目绩效情况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此项目已经按照相关文件要求完成，完成质量较好，社会满意度达到95%及以上。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通过教育事业发展项目工作的开展，实现“学校办学条件进一步改善，队伍素质进一步提升，教育教学质量进一步提高”的目标，确保学校良好教育教学秩序正常开展的需求。进一步促进学校学生素质教育的全面提高。</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此项目作为区财政教育事业发展资金，为提高学校的办学水平与确保学校教育教育秩序的正常开展，教育教学顺利进行发挥了重要作用，取得了较好好的社会效益和可持续性影响。</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1589" w:firstLineChars="503"/>
        <w:rPr>
          <w:rFonts w:hint="default"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firstLine="316"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00" w:firstLine="948" w:firstLineChars="3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rPr>
          <w:rFonts w:hint="eastAsia" w:ascii="仿宋_GB2312" w:hAnsi="仿宋_GB2312" w:eastAsia="仿宋_GB2312"/>
          <w:color w:val="000000"/>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062" w:firstLineChars="1602"/>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攀枝花市第二小学校</w:t>
      </w:r>
    </w:p>
    <w:p>
      <w:pPr>
        <w:keepNext w:val="0"/>
        <w:keepLines w:val="0"/>
        <w:pageBreakBefore w:val="0"/>
        <w:widowControl w:val="0"/>
        <w:kinsoku/>
        <w:wordWrap/>
        <w:overflowPunct/>
        <w:topLinePunct w:val="0"/>
        <w:autoSpaceDE/>
        <w:autoSpaceDN/>
        <w:bidi w:val="0"/>
        <w:adjustRightInd/>
        <w:snapToGrid/>
        <w:spacing w:line="576" w:lineRule="exact"/>
        <w:ind w:firstLine="5378" w:firstLineChars="1702"/>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2023年4月13日</w:t>
      </w:r>
    </w:p>
    <w:p>
      <w:pPr>
        <w:keepNext w:val="0"/>
        <w:keepLines w:val="0"/>
        <w:pageBreakBefore w:val="0"/>
        <w:widowControl w:val="0"/>
        <w:kinsoku/>
        <w:wordWrap/>
        <w:overflowPunct/>
        <w:topLinePunct w:val="0"/>
        <w:autoSpaceDE/>
        <w:autoSpaceDN/>
        <w:bidi w:val="0"/>
        <w:adjustRightInd/>
        <w:snapToGrid/>
        <w:spacing w:line="576" w:lineRule="exact"/>
        <w:ind w:firstLine="2860" w:firstLineChars="905"/>
        <w:jc w:val="both"/>
        <w:rPr>
          <w:rFonts w:hint="eastAsia" w:ascii="仿宋_GB2312" w:hAnsi="仿宋_GB2312" w:eastAsia="仿宋_GB2312"/>
          <w:b/>
          <w:color w:val="000000"/>
          <w:kern w:val="2"/>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860" w:firstLineChars="905"/>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攀枝花市第二小学校</w:t>
      </w:r>
    </w:p>
    <w:p>
      <w:pPr>
        <w:keepNext w:val="0"/>
        <w:keepLines w:val="0"/>
        <w:pageBreakBefore w:val="0"/>
        <w:widowControl w:val="0"/>
        <w:kinsoku/>
        <w:wordWrap/>
        <w:overflowPunct/>
        <w:topLinePunct w:val="0"/>
        <w:autoSpaceDE/>
        <w:autoSpaceDN/>
        <w:bidi w:val="0"/>
        <w:adjustRightInd/>
        <w:snapToGrid/>
        <w:spacing w:line="576" w:lineRule="exact"/>
        <w:ind w:firstLine="1264" w:firstLineChars="400"/>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2022年度项目（政策）支出绩效自评报告</w:t>
      </w:r>
    </w:p>
    <w:p>
      <w:pPr>
        <w:keepNext w:val="0"/>
        <w:keepLines w:val="0"/>
        <w:pageBreakBefore w:val="0"/>
        <w:widowControl w:val="0"/>
        <w:kinsoku/>
        <w:wordWrap/>
        <w:overflowPunct/>
        <w:topLinePunct w:val="0"/>
        <w:autoSpaceDE/>
        <w:autoSpaceDN/>
        <w:bidi w:val="0"/>
        <w:adjustRightInd/>
        <w:snapToGrid/>
        <w:spacing w:line="576" w:lineRule="exact"/>
        <w:ind w:firstLine="1905" w:firstLineChars="603"/>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（“三免一补”经费（民生）项目）</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1．攀枝花市第二小学校是本项目的具体实施主体。</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2．项目立项、资金申报的依据是：按照国家对义务教育阶段学生免作业本费及补助贫困学生生活费的要求。</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3．资金管理办法制定情况，资金支持具体项目的条件、范围与支持方式为：此项目资金用于春秋两学期在校学生的作业本费用；以及春季两学期家庭经济困难学生非寄宿生生活补助。</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4．资金分配的原则及考虑因素：免作业本费项目资金以2021年秋季学期在校生人，按照15元/人/期的标准进行预算；2022年实际执行时以春秋两学期实际在校生人数和15元/人/期的标准，由区财政下达指标，学校据实结算。家庭经济困难学生非寄宿生生活补助，在每年秋季学期由学生及家长提出申请，学校审核后，报区教体局，再由区教体局按照250元/生/期的标准将生活补助发放到学生本人的社保卡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1．项目主要内容：义务教育阶段免作业本费；义务教育家庭经济困难学生非寄宿生生活补助。</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项目应实现的具体绩效目标：义务教育阶段学生“三免一补”政策，全年区级预算10.18万元，实际支出0.14万元，优先使用省级资金10.18万元；家庭经济困难学生非寄宿生生活补助1.1万元，由区教体局发放到学生本人的社保卡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3．本项目申报内容与实际相符，申报目标合理可行。</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学校分春季学期和秋季学期两期将在校生人数报区教体局，由区教体局按照15元/人/学期向区财政上报，再由区财政划拨免作业本费资金，学校据实支付。家庭经济困难学生非寄宿生生活补助，在每年秋季学期由学生及家长提出申请，学校审核后，报区教体局，再由区教体局按照250元/生/期的标准将生活补助发放到学生本人的社保卡上。</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二、项目资金申报及使用情况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在2022年预算时进行了申报，区财政按学校分春季两个学期向区教体局上报的人数，进行指标下达。学校按学期实际支出金额支付学生的作业本费用。家庭经济困难学生非寄宿生生活补助，在每年秋季学期由学生及家长提出申请，学校审核后，报区教体局，再由区教体局按照250元/生/期的标准将生活补助发放到学生本人的社保卡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1．资金计划。</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此项目属于区级预算资金，纳入财政总预算。</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2．资金到位。</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免作业本费项目资金指标由区财政下拨到学校财政大平台中；家庭经济困难学生生活补助由区教体局拨付到学生本人的社保卡上。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3．资金使用。</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免作业本费项目资金2022年已按规定使用。资金的支付范围、支付标准、支付依据等均是合法合规的。</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免作业本费项目实施单位财务管理制度健全，严格执行财务管理制度，账务处理及时，会计核算规范。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免作业本费项目在预算时纳入单位预算，按学校当年实际工作情况安排实施。</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免作业本费项目是区财政纳入年度总预算，学校严格按照“三免一补”文件要求及相关法律法规等要求落实。</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免作业全费项目完成情况每年都要向上级财政部门填写相关的绩效分析评价，并上报相关对口管理科室备案。</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四、项目绩效情况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此项目已经按照相关文件要求完成，此项目在2022年度区级财政预算10.18万元，纳入财政总预算，优先使用上级资金，完成质量较好，满意度达到95%及以上。</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通过“三免一补”政策的实施，使学生感受到党和政府的关怀，加强了义务教育的宣传，使党和政府的惠民政策家喻户晓，深入人心，促进教育的发展。</w:t>
      </w:r>
    </w:p>
    <w:p>
      <w:pPr>
        <w:keepNext w:val="0"/>
        <w:keepLines w:val="0"/>
        <w:pageBreakBefore w:val="0"/>
        <w:widowControl w:val="0"/>
        <w:kinsoku/>
        <w:wordWrap/>
        <w:overflowPunct/>
        <w:topLinePunct w:val="0"/>
        <w:autoSpaceDE/>
        <w:autoSpaceDN/>
        <w:bidi w:val="0"/>
        <w:adjustRightInd/>
        <w:snapToGrid/>
        <w:spacing w:line="576" w:lineRule="exact"/>
        <w:ind w:firstLine="643"/>
        <w:jc w:val="both"/>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五、评价结论及建议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免作业本费项目为提高学生接受教育的水平，促进教育的发展，提高教育教学质量发挥了重要作用，取得了较好的社会效益和可持续影响。</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6" w:lineRule="exact"/>
        <w:ind w:firstLine="1589" w:firstLineChars="503"/>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（三）相关建议</w:t>
      </w:r>
    </w:p>
    <w:p>
      <w:pPr>
        <w:keepNext w:val="0"/>
        <w:keepLines w:val="0"/>
        <w:pageBreakBefore w:val="0"/>
        <w:widowControl w:val="0"/>
        <w:kinsoku/>
        <w:wordWrap/>
        <w:overflowPunct/>
        <w:topLinePunct w:val="0"/>
        <w:autoSpaceDE/>
        <w:autoSpaceDN/>
        <w:bidi w:val="0"/>
        <w:adjustRightInd/>
        <w:snapToGrid/>
        <w:spacing w:line="576" w:lineRule="exact"/>
        <w:ind w:firstLine="1589" w:firstLineChars="503"/>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rPr>
          <w:rFonts w:hint="eastAsia" w:ascii="仿宋_GB2312" w:hAnsi="仿宋_GB2312" w:eastAsia="仿宋_GB2312"/>
          <w:color w:val="000000"/>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746" w:firstLineChars="1502"/>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攀枝花市第二小学校</w:t>
      </w:r>
    </w:p>
    <w:p>
      <w:pPr>
        <w:keepNext w:val="0"/>
        <w:keepLines w:val="0"/>
        <w:pageBreakBefore w:val="0"/>
        <w:widowControl w:val="0"/>
        <w:kinsoku/>
        <w:wordWrap/>
        <w:overflowPunct/>
        <w:topLinePunct w:val="0"/>
        <w:autoSpaceDE/>
        <w:autoSpaceDN/>
        <w:bidi w:val="0"/>
        <w:adjustRightInd/>
        <w:snapToGrid/>
        <w:spacing w:line="576" w:lineRule="exact"/>
        <w:ind w:firstLine="5062" w:firstLineChars="1602"/>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2023年4月13日</w:t>
      </w:r>
    </w:p>
    <w:p>
      <w:pPr>
        <w:keepNext w:val="0"/>
        <w:keepLines w:val="0"/>
        <w:pageBreakBefore w:val="0"/>
        <w:widowControl w:val="0"/>
        <w:kinsoku/>
        <w:wordWrap/>
        <w:overflowPunct/>
        <w:topLinePunct w:val="0"/>
        <w:autoSpaceDE/>
        <w:autoSpaceDN/>
        <w:bidi w:val="0"/>
        <w:adjustRightInd/>
        <w:snapToGrid/>
        <w:spacing w:after="712" w:afterLines="123" w:afterAutospacing="0"/>
        <w:jc w:val="left"/>
        <w:rPr>
          <w:rFonts w:ascii="仿宋_GB2312" w:eastAsia="仿宋_GB2312"/>
          <w:kern w:val="0"/>
          <w:sz w:val="30"/>
          <w:lang w:val="zh-CN"/>
        </w:rPr>
      </w:pPr>
      <w:r>
        <w:rPr>
          <w:rFonts w:ascii="仿宋_GB2312" w:eastAsia="仿宋_GB2312"/>
          <w:kern w:val="0"/>
          <w:sz w:val="30"/>
          <w:lang w:val="zh-CN"/>
        </w:rPr>
        <w:br w:type="page"/>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center"/>
        <w:outlineLvl w:val="0"/>
        <w:rPr>
          <w:rStyle w:val="18"/>
          <w:rFonts w:hint="eastAsia" w:ascii="黑体" w:hAnsi="黑体" w:eastAsia="黑体"/>
          <w:b w:val="0"/>
        </w:rPr>
      </w:pPr>
      <w:r>
        <w:rPr>
          <w:rStyle w:val="18"/>
          <w:rFonts w:hint="eastAsia" w:ascii="黑体" w:hAnsi="黑体" w:eastAsia="黑体"/>
          <w:b w:val="0"/>
        </w:rPr>
        <w:t>附表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一、收入支出决算总表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二、收入决算表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三、支出决算表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四、财政拨款收入支出决算总表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五、财政拨款支出决算明细表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六、一般公共预算财政拨款支出决算表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七、一般公共预算财政拨款支出决算明细表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八、一般公共预算财政拨款基本支出决算</w:t>
      </w:r>
      <w:r>
        <w:rPr>
          <w:rFonts w:hint="eastAsia" w:ascii="仿宋" w:hAnsi="仿宋" w:eastAsia="仿宋"/>
          <w:color w:val="auto"/>
          <w:kern w:val="2"/>
          <w:sz w:val="32"/>
          <w:szCs w:val="24"/>
          <w:lang w:val="en-US" w:eastAsia="zh-CN"/>
        </w:rPr>
        <w:t>明细</w:t>
      </w:r>
      <w:r>
        <w:rPr>
          <w:rFonts w:hint="eastAsia" w:ascii="仿宋" w:hAnsi="仿宋" w:eastAsia="仿宋"/>
          <w:color w:val="auto"/>
          <w:kern w:val="2"/>
          <w:sz w:val="32"/>
          <w:szCs w:val="24"/>
          <w:lang w:val="en-US"/>
        </w:rPr>
        <w:t>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九、一般公共预算财政拨款项目支出决算表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十、政府性基金预算财政拨款收入支出决算表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十一、国有资本经营预算财政拨款收入支出决算表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十二、国有资本经营预算财政拨款支出决算表</w:t>
      </w:r>
    </w:p>
    <w:p>
      <w:pPr>
        <w:pStyle w:val="3"/>
        <w:keepNext w:val="0"/>
        <w:keepLines w:val="0"/>
        <w:pageBreakBefore w:val="0"/>
        <w:widowControl w:val="0"/>
        <w:kinsoku/>
        <w:wordWrap/>
        <w:overflowPunct/>
        <w:topLinePunct w:val="0"/>
        <w:autoSpaceDE/>
        <w:autoSpaceDN/>
        <w:bidi w:val="0"/>
        <w:adjustRightInd/>
        <w:snapToGrid/>
        <w:spacing w:before="260" w:after="260" w:line="440" w:lineRule="exact"/>
        <w:jc w:val="both"/>
        <w:textAlignment w:val="auto"/>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十三、财政拨款“三公”经费支出决算表</w:t>
      </w:r>
    </w:p>
    <w:p>
      <w:pPr>
        <w:pStyle w:val="3"/>
        <w:keepNext w:val="0"/>
        <w:keepLines w:val="0"/>
        <w:pageBreakBefore w:val="0"/>
        <w:widowControl w:val="0"/>
        <w:kinsoku/>
        <w:wordWrap/>
        <w:overflowPunct/>
        <w:topLinePunct w:val="0"/>
        <w:autoSpaceDE/>
        <w:autoSpaceDN/>
        <w:bidi w:val="0"/>
        <w:adjustRightInd/>
        <w:snapToGrid/>
        <w:spacing w:line="600" w:lineRule="exact"/>
        <w:rPr>
          <w:rFonts w:ascii="仿宋" w:hAnsi="仿宋" w:eastAsia="仿宋"/>
          <w:b w:val="0"/>
          <w:bCs w:val="0"/>
        </w:rPr>
      </w:pPr>
    </w:p>
    <w:sectPr>
      <w:footerReference r:id="rId3" w:type="default"/>
      <w:pgSz w:w="11907" w:h="16840"/>
      <w:pgMar w:top="2098" w:right="1474" w:bottom="1985" w:left="1588" w:header="851" w:footer="1134" w:gutter="0"/>
      <w:pgNumType w:fmt="decimal" w:start="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rFonts w:hint="eastAsia"/>
                              <w:b/>
                              <w:bCs/>
                              <w:sz w:val="24"/>
                              <w:szCs w:val="24"/>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rFonts w:hint="eastAsia"/>
                        <w:b/>
                        <w:bCs/>
                        <w:sz w:val="24"/>
                        <w:szCs w:val="24"/>
                        <w:lang w:val="en-US" w:eastAsia="zh-CN"/>
                      </w:rPr>
                      <w:t>33</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9310F"/>
    <w:multiLevelType w:val="multilevel"/>
    <w:tmpl w:val="92C9310F"/>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B6B2A970"/>
    <w:multiLevelType w:val="multilevel"/>
    <w:tmpl w:val="B6B2A970"/>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D1DB3015"/>
    <w:multiLevelType w:val="multilevel"/>
    <w:tmpl w:val="D1DB3015"/>
    <w:lvl w:ilvl="0" w:tentative="0">
      <w:start w:val="2"/>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63FFB200"/>
    <w:multiLevelType w:val="singleLevel"/>
    <w:tmpl w:val="63FFB200"/>
    <w:lvl w:ilvl="0" w:tentative="0">
      <w:start w:val="5"/>
      <w:numFmt w:val="chineseCounting"/>
      <w:suff w:val="space"/>
      <w:lvlText w:val="第%1部分"/>
      <w:lvlJc w:val="left"/>
      <w:rPr>
        <w:rFonts w:hint="eastAsia"/>
      </w:rPr>
    </w:lvl>
  </w:abstractNum>
  <w:abstractNum w:abstractNumId="4">
    <w:nsid w:val="6617D39D"/>
    <w:multiLevelType w:val="multilevel"/>
    <w:tmpl w:val="6617D39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hNzMxOTdmOTE5ODM1YWIyZTEyNmE5OTM2ZmMzMWMifQ=="/>
  </w:docVars>
  <w:rsids>
    <w:rsidRoot w:val="00172A27"/>
    <w:rsid w:val="000337F4"/>
    <w:rsid w:val="0007583B"/>
    <w:rsid w:val="00095F67"/>
    <w:rsid w:val="000C66DC"/>
    <w:rsid w:val="00106C2C"/>
    <w:rsid w:val="00133AD4"/>
    <w:rsid w:val="0019745E"/>
    <w:rsid w:val="001F10D6"/>
    <w:rsid w:val="00325276"/>
    <w:rsid w:val="00326339"/>
    <w:rsid w:val="00475EEB"/>
    <w:rsid w:val="00553C39"/>
    <w:rsid w:val="005A7F6C"/>
    <w:rsid w:val="005B6FF7"/>
    <w:rsid w:val="00612737"/>
    <w:rsid w:val="00615315"/>
    <w:rsid w:val="00667E30"/>
    <w:rsid w:val="006E21CF"/>
    <w:rsid w:val="007016B4"/>
    <w:rsid w:val="007A3DCE"/>
    <w:rsid w:val="00821E04"/>
    <w:rsid w:val="00944AC4"/>
    <w:rsid w:val="00956823"/>
    <w:rsid w:val="00A33DA9"/>
    <w:rsid w:val="00A92990"/>
    <w:rsid w:val="00AC3A9F"/>
    <w:rsid w:val="00B32F9F"/>
    <w:rsid w:val="00B43165"/>
    <w:rsid w:val="00B6720B"/>
    <w:rsid w:val="00BE1BB1"/>
    <w:rsid w:val="00C11997"/>
    <w:rsid w:val="00C4273A"/>
    <w:rsid w:val="00C92B1C"/>
    <w:rsid w:val="00D33354"/>
    <w:rsid w:val="00D56053"/>
    <w:rsid w:val="00D8600A"/>
    <w:rsid w:val="00DC4005"/>
    <w:rsid w:val="00E262D7"/>
    <w:rsid w:val="00F34A33"/>
    <w:rsid w:val="00FB225A"/>
    <w:rsid w:val="00FF7F4B"/>
    <w:rsid w:val="051231DD"/>
    <w:rsid w:val="055D3C34"/>
    <w:rsid w:val="05EE0AD8"/>
    <w:rsid w:val="091A7D2B"/>
    <w:rsid w:val="0E3A41D5"/>
    <w:rsid w:val="10791A09"/>
    <w:rsid w:val="11FD0E10"/>
    <w:rsid w:val="16C16126"/>
    <w:rsid w:val="243C43AB"/>
    <w:rsid w:val="2E9E7AB2"/>
    <w:rsid w:val="33C271AA"/>
    <w:rsid w:val="361433DA"/>
    <w:rsid w:val="48287967"/>
    <w:rsid w:val="4AFD7E90"/>
    <w:rsid w:val="4DA61097"/>
    <w:rsid w:val="550F3304"/>
    <w:rsid w:val="563A7E9B"/>
    <w:rsid w:val="5ACA3749"/>
    <w:rsid w:val="5B364417"/>
    <w:rsid w:val="5EBA0137"/>
    <w:rsid w:val="62D10F53"/>
    <w:rsid w:val="6BB70715"/>
    <w:rsid w:val="6D571450"/>
    <w:rsid w:val="72F20625"/>
    <w:rsid w:val="77435979"/>
    <w:rsid w:val="7B7A0F18"/>
    <w:rsid w:val="7C3D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8"/>
    <w:qFormat/>
    <w:uiPriority w:val="9"/>
    <w:pPr>
      <w:keepNext/>
      <w:keepLines/>
      <w:spacing w:before="340" w:after="330" w:line="578" w:lineRule="auto"/>
      <w:outlineLvl w:val="0"/>
    </w:pPr>
    <w:rPr>
      <w:b/>
      <w:bCs/>
      <w:kern w:val="44"/>
      <w:sz w:val="44"/>
      <w:szCs w:val="44"/>
    </w:rPr>
  </w:style>
  <w:style w:type="paragraph" w:styleId="3">
    <w:name w:val="heading 2"/>
    <w:basedOn w:val="1"/>
    <w:link w:val="1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0"/>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0"/>
    <w:pPr>
      <w:tabs>
        <w:tab w:val="right" w:leader="dot" w:pos="8296"/>
      </w:tabs>
      <w:ind w:left="420" w:left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rFonts w:cs="Times New Roman"/>
      <w:b/>
    </w:rPr>
  </w:style>
  <w:style w:type="character" w:styleId="15">
    <w:name w:val="Hyperlink"/>
    <w:unhideWhenUsed/>
    <w:qFormat/>
    <w:uiPriority w:val="99"/>
    <w:rPr>
      <w:rFonts w:cs="Times New Roman"/>
      <w:color w:val="0000FF"/>
      <w:u w:val="single"/>
    </w:rPr>
  </w:style>
  <w:style w:type="character" w:customStyle="1" w:styleId="16">
    <w:name w:val="标题 1 字符"/>
    <w:qFormat/>
    <w:uiPriority w:val="9"/>
    <w:rPr>
      <w:b/>
      <w:bCs/>
      <w:kern w:val="44"/>
      <w:sz w:val="44"/>
      <w:szCs w:val="44"/>
    </w:rPr>
  </w:style>
  <w:style w:type="character" w:customStyle="1" w:styleId="17">
    <w:name w:val="标题 2 字符"/>
    <w:qFormat/>
    <w:uiPriority w:val="9"/>
    <w:rPr>
      <w:rFonts w:ascii="等线 Light" w:hAnsi="等线 Light" w:eastAsia="等线 Light" w:cs="Times New Roman"/>
      <w:b/>
      <w:bCs/>
      <w:kern w:val="2"/>
      <w:sz w:val="32"/>
      <w:szCs w:val="32"/>
    </w:rPr>
  </w:style>
  <w:style w:type="character" w:customStyle="1" w:styleId="18">
    <w:name w:val="标题 1 字符1"/>
    <w:link w:val="2"/>
    <w:qFormat/>
    <w:locked/>
    <w:uiPriority w:val="0"/>
    <w:rPr>
      <w:b/>
      <w:bCs/>
      <w:kern w:val="44"/>
      <w:sz w:val="44"/>
      <w:szCs w:val="44"/>
    </w:rPr>
  </w:style>
  <w:style w:type="character" w:customStyle="1" w:styleId="19">
    <w:name w:val="标题 2 字符1"/>
    <w:link w:val="3"/>
    <w:qFormat/>
    <w:locked/>
    <w:uiPriority w:val="9"/>
    <w:rPr>
      <w:rFonts w:ascii="Cambria" w:hAnsi="Cambria"/>
      <w:b/>
      <w:bCs/>
      <w:kern w:val="2"/>
      <w:sz w:val="32"/>
      <w:szCs w:val="32"/>
    </w:rPr>
  </w:style>
  <w:style w:type="character" w:customStyle="1" w:styleId="20">
    <w:name w:val="页脚 字符"/>
    <w:link w:val="7"/>
    <w:qFormat/>
    <w:uiPriority w:val="0"/>
    <w:rPr>
      <w:rFonts w:eastAsia="仿宋_GB2312"/>
      <w:kern w:val="2"/>
      <w:sz w:val="18"/>
      <w:szCs w:val="18"/>
    </w:rPr>
  </w:style>
  <w:style w:type="character" w:customStyle="1" w:styleId="21">
    <w:name w:val="正文文本 字符"/>
    <w:link w:val="5"/>
    <w:qFormat/>
    <w:uiPriority w:val="99"/>
    <w:rPr>
      <w:rFonts w:ascii="仿宋_GB2312" w:eastAsia="仿宋_GB2312"/>
      <w:sz w:val="30"/>
      <w:szCs w:val="24"/>
    </w:rPr>
  </w:style>
  <w:style w:type="paragraph" w:customStyle="1" w:styleId="22">
    <w:name w:val="列出段落1"/>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fontstyle21"/>
    <w:basedOn w:val="13"/>
    <w:qFormat/>
    <w:uiPriority w:val="0"/>
    <w:rPr>
      <w:rFonts w:hint="eastAsia" w:ascii="仿宋_GB2312" w:eastAsia="仿宋_GB2312"/>
      <w:color w:val="000000"/>
      <w:sz w:val="32"/>
      <w:szCs w:val="32"/>
    </w:rPr>
  </w:style>
  <w:style w:type="paragraph" w:customStyle="1" w:styleId="2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219DE-B7C9-4793-8E6D-8259C659E203}">
  <ds:schemaRefs/>
</ds:datastoreItem>
</file>

<file path=docProps/app.xml><?xml version="1.0" encoding="utf-8"?>
<Properties xmlns="http://schemas.openxmlformats.org/officeDocument/2006/extended-properties" xmlns:vt="http://schemas.openxmlformats.org/officeDocument/2006/docPropsVTypes">
  <Template>5.公文模板.dot</Template>
  <Company>攀枝花市第二小学校</Company>
  <Pages>20</Pages>
  <Words>1291</Words>
  <Characters>7361</Characters>
  <Lines>61</Lines>
  <Paragraphs>17</Paragraphs>
  <TotalTime>14</TotalTime>
  <ScaleCrop>false</ScaleCrop>
  <LinksUpToDate>false</LinksUpToDate>
  <CharactersWithSpaces>8635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2022-10-11T03:10:00Z</dcterms:created>
  <dc:creator>舒畅</dc:creator>
  <cp:lastModifiedBy>马ma</cp:lastModifiedBy>
  <dcterms:modified xsi:type="dcterms:W3CDTF">2023-11-01T08:11:58Z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F8C45F32A5604659821E68A8AB736DBC_12</vt:lpwstr>
  </property>
</Properties>
</file>