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ind w:firstLine="646" w:firstLineChars="196"/>
        <w:jc w:val="both"/>
        <w:rPr>
          <w:rFonts w:eastAsia="方正黑体简体"/>
          <w:sz w:val="33"/>
          <w:szCs w:val="33"/>
        </w:rPr>
      </w:pPr>
      <w:bookmarkStart w:id="0" w:name="_GoBack"/>
      <w:bookmarkEnd w:id="0"/>
      <w:r>
        <w:rPr>
          <w:rFonts w:eastAsia="方正黑体简体"/>
          <w:sz w:val="33"/>
          <w:szCs w:val="33"/>
        </w:rPr>
        <w:t>附件1</w:t>
      </w:r>
    </w:p>
    <w:p>
      <w:pPr>
        <w:adjustRightInd w:val="0"/>
        <w:snapToGrid w:val="0"/>
        <w:spacing w:line="276" w:lineRule="auto"/>
        <w:ind w:firstLine="0" w:firstLineChars="0"/>
        <w:jc w:val="center"/>
        <w:rPr>
          <w:rFonts w:eastAsia="方正小标宋简体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0" w:firstLineChars="0"/>
        <w:jc w:val="center"/>
        <w:rPr>
          <w:rFonts w:eastAsia="方正小标宋简体"/>
          <w:b/>
          <w:sz w:val="28"/>
          <w:szCs w:val="28"/>
        </w:rPr>
      </w:pPr>
      <w:r>
        <w:rPr>
          <w:rFonts w:eastAsia="方正小标宋简体"/>
          <w:b/>
          <w:sz w:val="28"/>
          <w:szCs w:val="28"/>
        </w:rPr>
        <w:t>2022年攀枝花市东区一般公共预算调整表</w:t>
      </w:r>
    </w:p>
    <w:p>
      <w:pPr>
        <w:spacing w:line="579" w:lineRule="exact"/>
        <w:ind w:right="10" w:rightChars="5" w:firstLine="352" w:firstLineChars="196"/>
        <w:jc w:val="right"/>
        <w:rPr>
          <w:rFonts w:eastAsia="方正仿宋_GBK"/>
          <w:bCs/>
          <w:kern w:val="2"/>
          <w:sz w:val="18"/>
          <w:szCs w:val="18"/>
        </w:rPr>
      </w:pPr>
      <w:r>
        <w:rPr>
          <w:rFonts w:eastAsia="方正仿宋_GBK"/>
          <w:bCs/>
          <w:kern w:val="2"/>
          <w:sz w:val="18"/>
          <w:szCs w:val="18"/>
        </w:rPr>
        <w:t xml:space="preserve">   单位：万元</w:t>
      </w:r>
    </w:p>
    <w:tbl>
      <w:tblPr>
        <w:tblStyle w:val="5"/>
        <w:tblW w:w="887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806"/>
        <w:gridCol w:w="916"/>
        <w:gridCol w:w="1026"/>
        <w:gridCol w:w="1688"/>
        <w:gridCol w:w="806"/>
        <w:gridCol w:w="916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收入项目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变动情况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调整预算数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支出项目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变动情况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方正黑体简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调整预算数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一、一般公共预算收入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100,000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-13,000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87,000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一、一般公共预算支出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145,725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71,275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217,000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（一）税收收入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68,000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-11,000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57,000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二、补助下级支出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（二）非税收入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32,000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-2,000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30,000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三、上解上级支出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18,066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1,958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20,024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二、上级补助收入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51,039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89,454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140,493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四、调出资金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三、下级上解收入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五、债务还本支出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11,520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11,520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四、上年结余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6,204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1,480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7,684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六、补充预算周转金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五、调入资金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4,248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-4,148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七、安排预算稳定调节基金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六、债务收入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八、援助其他地区支出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七、债务转贷收入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11,520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101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11,621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九、年终结余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681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681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八、动用预算稳定调节基金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2,300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2,327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九、接受其他地区援助收入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175,311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73,914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249,225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175,311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73,914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249,225 </w:t>
            </w:r>
          </w:p>
        </w:tc>
      </w:tr>
    </w:tbl>
    <w:p>
      <w:pPr>
        <w:pStyle w:val="2"/>
        <w:spacing w:after="0" w:line="60" w:lineRule="exact"/>
        <w:ind w:firstLine="300"/>
        <w:jc w:val="both"/>
        <w:rPr>
          <w:sz w:val="15"/>
          <w:szCs w:val="15"/>
        </w:rPr>
      </w:pPr>
    </w:p>
    <w:p>
      <w:pPr>
        <w:pStyle w:val="2"/>
        <w:spacing w:after="0"/>
        <w:ind w:left="1" w:firstLine="0" w:firstLineChars="0"/>
        <w:jc w:val="both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注：1.预计全年一般公共预算收入完成8.7亿元，按自然口径计算下降10.6%，扣除</w:t>
      </w:r>
      <w:r>
        <w:rPr>
          <w:rFonts w:hint="eastAsia" w:eastAsia="方正仿宋_GBK"/>
          <w:sz w:val="18"/>
          <w:szCs w:val="18"/>
          <w:lang w:eastAsia="zh-CN"/>
        </w:rPr>
        <w:t>留抵退税</w:t>
      </w:r>
      <w:r>
        <w:rPr>
          <w:rFonts w:eastAsia="方正仿宋_GBK"/>
          <w:sz w:val="18"/>
          <w:szCs w:val="18"/>
        </w:rPr>
        <w:t>因素后下降6.65%。</w:t>
      </w:r>
    </w:p>
    <w:p>
      <w:pPr>
        <w:pStyle w:val="2"/>
        <w:spacing w:after="0"/>
        <w:ind w:left="1" w:firstLine="0" w:firstLineChars="0"/>
        <w:jc w:val="both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2.税收收入主要税种较年初预算短收情况：因落实国家减税政策，增值税较年初预算减少6,337万元，企业所得税减少3,100万元、城市维护建设税减少1,100万元、契税减少1,550万元。</w:t>
      </w:r>
    </w:p>
    <w:p>
      <w:pPr>
        <w:pStyle w:val="2"/>
        <w:spacing w:after="0"/>
        <w:ind w:left="1" w:firstLine="0" w:firstLineChars="0"/>
        <w:jc w:val="both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3.非税收入主要项目较年初预算变化情况：因落实减税降费和两院上划，专项收入减少1,430万元、罚没收入减少5,390万元、行政事业性收费收入减少2,100万元；通过紧抓非税资产资源盘活，国有资源（资产）有偿使用收入较年初预算增加4,500万元，其他收入增加2,000万元。</w:t>
      </w:r>
    </w:p>
    <w:p>
      <w:pPr>
        <w:pStyle w:val="2"/>
        <w:spacing w:after="0"/>
        <w:ind w:left="1" w:firstLine="0" w:firstLineChars="0"/>
        <w:jc w:val="both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4.一般公共预算支出主要新增情况：按照棚改政策规定，调增棚改债务还本付息15,198万元；新增上级专项补助列支36,731万元；新增区属国有企业增加注册资本金10,000万元；新增土地成本支出8,079万元；新增暂付款化解1,000万元。</w:t>
      </w:r>
    </w:p>
    <w:p>
      <w:pPr>
        <w:pStyle w:val="2"/>
        <w:ind w:firstLine="20" w:firstLineChars="10"/>
        <w:rPr>
          <w:rFonts w:eastAsia="方正黑体简体"/>
          <w:sz w:val="33"/>
          <w:szCs w:val="33"/>
        </w:rPr>
      </w:pPr>
      <w:r>
        <w:br w:type="page"/>
      </w:r>
      <w:r>
        <w:rPr>
          <w:rFonts w:eastAsia="方正黑体简体"/>
          <w:sz w:val="33"/>
          <w:szCs w:val="33"/>
        </w:rPr>
        <w:t>附件2</w:t>
      </w:r>
    </w:p>
    <w:p>
      <w:pPr>
        <w:adjustRightInd w:val="0"/>
        <w:snapToGrid w:val="0"/>
        <w:spacing w:line="276" w:lineRule="auto"/>
        <w:ind w:firstLine="0" w:firstLineChars="0"/>
        <w:jc w:val="center"/>
        <w:rPr>
          <w:rFonts w:eastAsia="方正小标宋简体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0" w:firstLineChars="0"/>
        <w:jc w:val="center"/>
        <w:rPr>
          <w:rFonts w:eastAsia="方正小标宋简体"/>
          <w:b/>
          <w:sz w:val="28"/>
          <w:szCs w:val="28"/>
        </w:rPr>
      </w:pPr>
      <w:r>
        <w:rPr>
          <w:rFonts w:eastAsia="方正小标宋简体"/>
          <w:b/>
          <w:sz w:val="28"/>
          <w:szCs w:val="28"/>
        </w:rPr>
        <w:t>2022年攀枝花市东区政府性基金预算调整表</w:t>
      </w:r>
    </w:p>
    <w:p>
      <w:pPr>
        <w:spacing w:line="579" w:lineRule="exact"/>
        <w:ind w:right="10" w:rightChars="5" w:firstLine="352" w:firstLineChars="196"/>
        <w:jc w:val="right"/>
        <w:rPr>
          <w:rFonts w:eastAsia="方正仿宋_GBK"/>
          <w:bCs/>
          <w:kern w:val="2"/>
          <w:sz w:val="18"/>
          <w:szCs w:val="18"/>
        </w:rPr>
      </w:pPr>
      <w:r>
        <w:rPr>
          <w:rFonts w:eastAsia="方正仿宋_GBK"/>
          <w:bCs/>
          <w:kern w:val="2"/>
          <w:sz w:val="18"/>
          <w:szCs w:val="18"/>
        </w:rPr>
        <w:t>单位：万元</w:t>
      </w:r>
    </w:p>
    <w:tbl>
      <w:tblPr>
        <w:tblStyle w:val="5"/>
        <w:tblW w:w="88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06"/>
        <w:gridCol w:w="916"/>
        <w:gridCol w:w="1026"/>
        <w:gridCol w:w="1688"/>
        <w:gridCol w:w="806"/>
        <w:gridCol w:w="916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收入项目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变动情况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调整预算数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支出项目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变动情况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方正黑体简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调整预算数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一、政府性基金预算收入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48,500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-23,100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25,400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一、政府性基金预算支出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46,577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-20,577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26,000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二、政府性基金预算上级补助收入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1,960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1,960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二、政府性基金预算补助下级支出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三、政府性基金预算下级上解收入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三、政府性基金预算上解上级支出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四、待偿债置换专项债券上年结余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五、上年结余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541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-158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383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六、调入资金   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四、调出资金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七、债务收入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五、债务还本支出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10,694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10,694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八、债务转贷收入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8,230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1,000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9,230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六、年终结余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279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279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57,271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-20,298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36,973 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57,271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-20,298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36,973 </w:t>
            </w:r>
          </w:p>
        </w:tc>
      </w:tr>
    </w:tbl>
    <w:p>
      <w:pPr>
        <w:pStyle w:val="2"/>
        <w:spacing w:after="0" w:line="60" w:lineRule="exact"/>
        <w:ind w:firstLine="300"/>
        <w:jc w:val="both"/>
        <w:rPr>
          <w:sz w:val="15"/>
          <w:szCs w:val="15"/>
        </w:rPr>
      </w:pPr>
    </w:p>
    <w:p>
      <w:pPr>
        <w:pStyle w:val="2"/>
        <w:adjustRightInd w:val="0"/>
        <w:snapToGrid w:val="0"/>
        <w:spacing w:after="0"/>
        <w:ind w:firstLine="0" w:firstLineChars="0"/>
        <w:jc w:val="both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注：1.政府性基金预算收入主要变化情况：受土地出让收入短收影响，政府性基金预算收入较年初预算减少23,100万元。</w:t>
      </w:r>
    </w:p>
    <w:p>
      <w:pPr>
        <w:pStyle w:val="2"/>
        <w:adjustRightInd w:val="0"/>
        <w:snapToGrid w:val="0"/>
        <w:spacing w:after="0"/>
        <w:ind w:firstLine="0" w:firstLineChars="0"/>
        <w:jc w:val="both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2.政府性基金预算支出主要变化情况：受减收影响，调减环卫管理及整治经费、老旧小区改造、城市管理等支出6,019万元，调减棚改债务还本付息支出15,481万元；新增专项债券支出1,000万。</w:t>
      </w:r>
    </w:p>
    <w:p>
      <w:pPr>
        <w:adjustRightInd w:val="0"/>
        <w:snapToGrid w:val="0"/>
        <w:spacing w:line="353" w:lineRule="auto"/>
        <w:ind w:firstLine="0" w:firstLineChars="0"/>
        <w:rPr>
          <w:rFonts w:eastAsia="方正黑体简体"/>
          <w:sz w:val="28"/>
          <w:szCs w:val="28"/>
        </w:rPr>
      </w:pPr>
      <w:r>
        <w:br w:type="page"/>
      </w:r>
      <w:r>
        <w:rPr>
          <w:rFonts w:eastAsia="方正黑体简体"/>
          <w:sz w:val="32"/>
          <w:szCs w:val="32"/>
        </w:rPr>
        <w:t>附件3</w:t>
      </w:r>
    </w:p>
    <w:p>
      <w:pPr>
        <w:adjustRightInd w:val="0"/>
        <w:snapToGrid w:val="0"/>
        <w:spacing w:line="276" w:lineRule="auto"/>
        <w:ind w:firstLine="0" w:firstLineChars="0"/>
        <w:jc w:val="center"/>
        <w:rPr>
          <w:rFonts w:eastAsia="方正小标宋简体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0" w:firstLineChars="0"/>
        <w:jc w:val="center"/>
        <w:rPr>
          <w:rFonts w:eastAsia="方正小标宋简体"/>
          <w:b/>
          <w:sz w:val="28"/>
          <w:szCs w:val="28"/>
        </w:rPr>
      </w:pPr>
      <w:r>
        <w:rPr>
          <w:rFonts w:eastAsia="方正小标宋简体"/>
          <w:b/>
          <w:sz w:val="28"/>
          <w:szCs w:val="28"/>
        </w:rPr>
        <w:t>2022年攀枝花市东区国有资本经营预算调整表</w:t>
      </w:r>
    </w:p>
    <w:p>
      <w:pPr>
        <w:spacing w:line="579" w:lineRule="exact"/>
        <w:ind w:right="10" w:rightChars="5" w:firstLine="352" w:firstLineChars="196"/>
        <w:jc w:val="right"/>
        <w:rPr>
          <w:rFonts w:eastAsia="方正仿宋_GBK"/>
          <w:bCs/>
          <w:kern w:val="2"/>
          <w:sz w:val="18"/>
          <w:szCs w:val="18"/>
        </w:rPr>
      </w:pPr>
      <w:r>
        <w:rPr>
          <w:rFonts w:eastAsia="方正仿宋_GBK"/>
          <w:bCs/>
          <w:kern w:val="2"/>
          <w:sz w:val="18"/>
          <w:szCs w:val="18"/>
        </w:rPr>
        <w:t>单位：万元</w:t>
      </w:r>
    </w:p>
    <w:tbl>
      <w:tblPr>
        <w:tblStyle w:val="5"/>
        <w:tblW w:w="8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802"/>
        <w:gridCol w:w="911"/>
        <w:gridCol w:w="1021"/>
        <w:gridCol w:w="1677"/>
        <w:gridCol w:w="802"/>
        <w:gridCol w:w="911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收入项目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变动情况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调整预算数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支出项目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黑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变动情况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80" w:leftChars="-40" w:right="-80" w:rightChars="-40" w:firstLine="0" w:firstLineChars="0"/>
              <w:jc w:val="center"/>
              <w:rPr>
                <w:rFonts w:eastAsia="方正黑体简体"/>
                <w:bCs/>
                <w:color w:val="000000"/>
                <w:sz w:val="18"/>
                <w:szCs w:val="18"/>
              </w:rPr>
            </w:pPr>
            <w:r>
              <w:rPr>
                <w:rFonts w:eastAsia="方正黑体简体"/>
                <w:bCs/>
                <w:color w:val="000000"/>
                <w:sz w:val="18"/>
                <w:szCs w:val="18"/>
              </w:rPr>
              <w:t>调整预算数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一、国有资本经营预算收入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1,500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-1,400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一、国有资本经营预算支出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1,918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-318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二、国有资本经营预算上级补助收入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1,600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1,600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二、国有资本经营预算补助下级支出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三、国有资本经营预算下级上解收入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三、国有资本经营预算上解上级支出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四、上年结余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四、国有资本经营预算调出资金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五、年终结余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六、调出资金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1,182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-1,082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rPr>
                <w:rFonts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3,100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-1,400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1,700 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center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3,100 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-1,400 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-40" w:leftChars="-20" w:right="-40" w:rightChars="-20" w:firstLine="0" w:firstLineChars="0"/>
              <w:jc w:val="right"/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 xml:space="preserve">1,700 </w:t>
            </w:r>
          </w:p>
        </w:tc>
      </w:tr>
    </w:tbl>
    <w:p>
      <w:pPr>
        <w:pStyle w:val="2"/>
        <w:spacing w:after="0" w:line="60" w:lineRule="exact"/>
        <w:ind w:firstLine="300"/>
        <w:jc w:val="both"/>
        <w:rPr>
          <w:sz w:val="15"/>
          <w:szCs w:val="15"/>
        </w:rPr>
      </w:pPr>
    </w:p>
    <w:p>
      <w:pPr>
        <w:pStyle w:val="2"/>
        <w:spacing w:after="0"/>
        <w:ind w:left="1" w:firstLine="0" w:firstLineChars="0"/>
        <w:jc w:val="both"/>
        <w:rPr>
          <w:sz w:val="15"/>
          <w:szCs w:val="15"/>
        </w:rPr>
      </w:pPr>
    </w:p>
    <w:p>
      <w:pPr>
        <w:pStyle w:val="2"/>
        <w:ind w:firstLine="400"/>
      </w:pPr>
    </w:p>
    <w:p>
      <w:pPr>
        <w:ind w:firstLine="40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endnotePr>
        <w:numFmt w:val="ideographDigital"/>
      </w:endnotePr>
      <w:pgSz w:w="11905" w:h="16837"/>
      <w:pgMar w:top="2098" w:right="1518" w:bottom="1985" w:left="1588" w:header="567" w:footer="1304" w:gutter="0"/>
      <w:pgNumType w:start="1"/>
      <w:cols w:space="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28945" cy="971550"/>
              <wp:effectExtent l="0" t="0" r="14605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945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76.5pt;width:435.35pt;mso-position-horizontal:center;z-index:-251657216;mso-width-relative:page;mso-height-relative:page;" filled="f" stroked="f" coordsize="21600,21600" o:gfxdata="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0ApcrtUAAAAFAQAADwAAAAAAAAABACAAAAAiAAAAZHJzL2Rvd25yZXYueG1sUEsBAhQA&#10;FAAAAAgAh07iQIKVNJa8AQAAcw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57520" cy="971550"/>
              <wp:effectExtent l="0" t="0" r="508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752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76.5pt;width:437.6pt;mso-position-horizontal:center;z-index:-251656192;mso-width-relative:page;mso-height-relative:page;" filled="f" stroked="f" coordsize="21600,21600" o:gfxdata="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y4V53VAAAABQEAAA8AAAAAAAAAAQAgAAAAIgAAAGRycy9kb3ducmV2LnhtbFBLAQIUABQA&#10;AAAIAIdO4kDfaQFZugEAAHM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numFmt w:val="ideographDigit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zMxOTdmOTE5ODM1YWIyZTEyNmE5OTM2ZmMzMWMifQ=="/>
  </w:docVars>
  <w:rsids>
    <w:rsidRoot w:val="009A570F"/>
    <w:rsid w:val="009A570F"/>
    <w:rsid w:val="00A46E2C"/>
    <w:rsid w:val="00F50487"/>
    <w:rsid w:val="00FB270A"/>
    <w:rsid w:val="07D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1170</Words>
  <Characters>1631</Characters>
  <Lines>14</Lines>
  <Paragraphs>4</Paragraphs>
  <TotalTime>2</TotalTime>
  <ScaleCrop>false</ScaleCrop>
  <LinksUpToDate>false</LinksUpToDate>
  <CharactersWithSpaces>1722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2023-01-06T01:32:00Z</dcterms:created>
  <dc:creator>admin</dc:creator>
  <cp:lastModifiedBy>马ma</cp:lastModifiedBy>
  <dcterms:modified xsi:type="dcterms:W3CDTF">2023-08-23T01:52:19Z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D8C5A857561048529DFEDEAF65FCFE24_12</vt:lpwstr>
  </property>
</Properties>
</file>