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微软雅黑" w:hAnsi="微软雅黑" w:eastAsia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攀枝花市东区林业局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微软雅黑" w:hAnsi="微软雅黑" w:eastAsia="微软雅黑"/>
          <w:b/>
          <w:bCs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2023年部门预算公开目录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一、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年部门预算编制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情况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说明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主要职责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2.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基本情况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3.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202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年主要工作任务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4.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收支预算总体情况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5.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财政拨款收支预算安排情况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6.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一般公共预算当年拨款情况说明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7.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一般公共预算基本支出情况说明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8.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“三公”经费财政拨款预算安排情况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9.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政府性基金预算支出情况说明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10</w:t>
      </w: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国有资本经营预算支出情况说明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11.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其他重要事项的情况说明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二、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附表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部门收支总表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2.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部门收入总表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3.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部门支出总表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4.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财政拨款收支预算总表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5.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财政拨款支出预算表（部门经济分类科目）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6.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一般公共预算支出预算表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7.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一般公共预算基本支出预算表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8.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一般公共预算项目支出预算表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9.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一般公共预算“三公”经费支出预算表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10.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政府性基金支出预算表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11.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政府性基金 “三公”经费支出预算表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12.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国有资本经营预算支出预算表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13.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  <w:t>部门预算项目绩效目标表（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2023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  <w:t>年度）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14.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  <w:t>部门整体支出绩效目标表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三、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名词解释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7"/>
    <w:rsid w:val="00943DF7"/>
    <w:rsid w:val="00CB3B7B"/>
    <w:rsid w:val="00ED0F9B"/>
    <w:rsid w:val="248F4327"/>
    <w:rsid w:val="34983268"/>
    <w:rsid w:val="418F3068"/>
    <w:rsid w:val="444C3308"/>
    <w:rsid w:val="590836CD"/>
    <w:rsid w:val="645E210B"/>
    <w:rsid w:val="6C2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3"/>
    <w:next w:val="1"/>
    <w:qFormat/>
    <w:uiPriority w:val="0"/>
    <w:pPr>
      <w:ind w:left="200" w:leftChars="200" w:hanging="200" w:hangingChars="200"/>
    </w:pPr>
    <w:rPr>
      <w:rFonts w:eastAsia="仿宋_GB2312"/>
      <w:sz w:val="32"/>
      <w:szCs w:val="24"/>
    </w:rPr>
  </w:style>
  <w:style w:type="paragraph" w:customStyle="1" w:styleId="3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TotalTime>1</TotalTime>
  <ScaleCrop>false</ScaleCrop>
  <LinksUpToDate>false</LinksUpToDate>
  <CharactersWithSpaces>497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2023-02-15T07:29:00Z</dcterms:created>
  <dc:creator>ASUS</dc:creator>
  <cp:lastModifiedBy>Administrator</cp:lastModifiedBy>
  <dcterms:modified xsi:type="dcterms:W3CDTF">2023-07-18T02:07:53Z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EC70D0EBA3874A57AA95562F96580AB1</vt:lpwstr>
  </property>
</Properties>
</file>