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eastAsia="黑体"/>
          <w:sz w:val="32"/>
          <w:szCs w:val="32"/>
        </w:rPr>
      </w:pPr>
    </w:p>
    <w:p>
      <w:pPr>
        <w:adjustRightInd w:val="0"/>
        <w:snapToGrid w:val="0"/>
        <w:ind w:firstLine="0" w:firstLineChars="0"/>
        <w:rPr>
          <w:rFonts w:eastAsia="黑体"/>
          <w:sz w:val="32"/>
          <w:szCs w:val="32"/>
        </w:rPr>
      </w:pPr>
    </w:p>
    <w:p>
      <w:pPr>
        <w:adjustRightInd w:val="0"/>
        <w:snapToGrid w:val="0"/>
        <w:ind w:firstLine="0" w:firstLineChars="0"/>
        <w:rPr>
          <w:rFonts w:eastAsia="黑体"/>
          <w:sz w:val="32"/>
          <w:szCs w:val="32"/>
        </w:rPr>
      </w:pPr>
    </w:p>
    <w:p>
      <w:pPr>
        <w:adjustRightInd w:val="0"/>
        <w:snapToGrid w:val="0"/>
        <w:ind w:firstLine="0" w:firstLineChars="0"/>
        <w:rPr>
          <w:rFonts w:eastAsia="黑体"/>
          <w:sz w:val="32"/>
          <w:szCs w:val="32"/>
        </w:rPr>
      </w:pPr>
    </w:p>
    <w:p>
      <w:pPr>
        <w:pStyle w:val="2"/>
        <w:ind w:firstLine="0" w:firstLineChars="0"/>
      </w:pPr>
    </w:p>
    <w:p>
      <w:pPr>
        <w:spacing w:line="480" w:lineRule="auto"/>
        <w:ind w:firstLine="0" w:firstLineChars="0"/>
        <w:rPr>
          <w:rFonts w:eastAsia="黑体"/>
          <w:b/>
          <w:color w:val="000000" w:themeColor="text1"/>
          <w:sz w:val="48"/>
          <w:szCs w:val="40"/>
        </w:rPr>
      </w:pPr>
    </w:p>
    <w:p>
      <w:pPr>
        <w:pStyle w:val="2"/>
        <w:ind w:firstLine="600"/>
      </w:pPr>
    </w:p>
    <w:p>
      <w:pPr>
        <w:pStyle w:val="72"/>
        <w:spacing w:before="312" w:after="156"/>
        <w:outlineLvl w:val="9"/>
        <w:rPr>
          <w:rFonts w:ascii="Times New Roman" w:hAnsi="Times New Roman"/>
          <w:b w:val="0"/>
          <w:color w:val="000000" w:themeColor="text1"/>
          <w:sz w:val="44"/>
        </w:rPr>
      </w:pPr>
      <w:bookmarkStart w:id="0" w:name="_Toc105669353"/>
      <w:r>
        <w:rPr>
          <w:rFonts w:ascii="Times New Roman" w:hAnsi="Times New Roman"/>
          <w:b w:val="0"/>
          <w:color w:val="000000" w:themeColor="text1"/>
          <w:sz w:val="44"/>
        </w:rPr>
        <w:t>攀枝花市东区</w:t>
      </w:r>
      <w:bookmarkEnd w:id="0"/>
      <w:bookmarkStart w:id="1" w:name="_Toc105669354"/>
      <w:r>
        <w:rPr>
          <w:rFonts w:hint="eastAsia" w:ascii="Times New Roman" w:hAnsi="Times New Roman"/>
          <w:b w:val="0"/>
          <w:color w:val="000000" w:themeColor="text1"/>
          <w:sz w:val="44"/>
        </w:rPr>
        <w:t>“</w:t>
      </w:r>
      <w:r>
        <w:rPr>
          <w:rFonts w:ascii="Times New Roman" w:hAnsi="Times New Roman"/>
          <w:b w:val="0"/>
          <w:color w:val="000000" w:themeColor="text1"/>
          <w:sz w:val="44"/>
        </w:rPr>
        <w:t>十四五</w:t>
      </w:r>
      <w:r>
        <w:rPr>
          <w:rFonts w:hint="eastAsia" w:ascii="Times New Roman" w:hAnsi="Times New Roman"/>
          <w:b w:val="0"/>
          <w:color w:val="000000" w:themeColor="text1"/>
          <w:sz w:val="44"/>
        </w:rPr>
        <w:t>”</w:t>
      </w:r>
      <w:r>
        <w:rPr>
          <w:rFonts w:ascii="Times New Roman" w:hAnsi="Times New Roman"/>
          <w:b w:val="0"/>
          <w:color w:val="000000" w:themeColor="text1"/>
          <w:sz w:val="44"/>
        </w:rPr>
        <w:t>生态环境保护规划</w:t>
      </w:r>
      <w:bookmarkEnd w:id="1"/>
    </w:p>
    <w:p>
      <w:pPr>
        <w:widowControl/>
        <w:spacing w:line="240" w:lineRule="auto"/>
        <w:ind w:firstLine="0" w:firstLineChars="0"/>
        <w:jc w:val="center"/>
        <w:rPr>
          <w:rFonts w:eastAsia="楷体_GB2312"/>
          <w:bCs/>
          <w:color w:val="000000" w:themeColor="text1"/>
          <w:sz w:val="32"/>
          <w:szCs w:val="32"/>
        </w:rPr>
      </w:pPr>
    </w:p>
    <w:p>
      <w:pPr>
        <w:ind w:firstLine="964"/>
        <w:rPr>
          <w:rFonts w:eastAsia="黑体"/>
          <w:b/>
          <w:color w:val="000000" w:themeColor="text1"/>
          <w:sz w:val="48"/>
          <w:szCs w:val="40"/>
        </w:rPr>
      </w:pPr>
    </w:p>
    <w:p>
      <w:pPr>
        <w:pStyle w:val="2"/>
        <w:ind w:firstLine="964"/>
        <w:rPr>
          <w:rFonts w:eastAsia="黑体"/>
          <w:b/>
          <w:color w:val="000000" w:themeColor="text1"/>
          <w:sz w:val="48"/>
          <w:szCs w:val="40"/>
        </w:rPr>
      </w:pPr>
    </w:p>
    <w:p>
      <w:pPr>
        <w:ind w:firstLine="964"/>
        <w:rPr>
          <w:rFonts w:eastAsia="黑体"/>
          <w:b/>
          <w:color w:val="000000" w:themeColor="text1"/>
          <w:sz w:val="48"/>
          <w:szCs w:val="40"/>
        </w:rPr>
      </w:pPr>
    </w:p>
    <w:p>
      <w:pPr>
        <w:pStyle w:val="2"/>
        <w:ind w:firstLine="964"/>
        <w:rPr>
          <w:rFonts w:eastAsia="黑体"/>
          <w:b/>
          <w:color w:val="000000" w:themeColor="text1"/>
          <w:sz w:val="48"/>
          <w:szCs w:val="40"/>
        </w:rPr>
      </w:pPr>
    </w:p>
    <w:p>
      <w:pPr>
        <w:pStyle w:val="2"/>
        <w:ind w:firstLine="964"/>
        <w:rPr>
          <w:rFonts w:eastAsia="黑体"/>
          <w:b/>
          <w:color w:val="000000" w:themeColor="text1"/>
          <w:sz w:val="48"/>
          <w:szCs w:val="40"/>
        </w:rPr>
      </w:pPr>
    </w:p>
    <w:p>
      <w:pPr>
        <w:ind w:firstLine="600"/>
        <w:rPr>
          <w:b/>
          <w:color w:val="000000" w:themeColor="text1"/>
        </w:rPr>
      </w:pPr>
    </w:p>
    <w:p>
      <w:pPr>
        <w:pStyle w:val="2"/>
        <w:ind w:firstLine="600"/>
        <w:rPr>
          <w:color w:val="000000" w:themeColor="text1"/>
        </w:rPr>
      </w:pPr>
    </w:p>
    <w:p>
      <w:pPr>
        <w:ind w:firstLine="600"/>
        <w:rPr>
          <w:color w:val="000000" w:themeColor="text1"/>
        </w:rPr>
      </w:pPr>
    </w:p>
    <w:p>
      <w:pPr>
        <w:ind w:firstLine="964"/>
        <w:rPr>
          <w:rFonts w:eastAsia="黑体"/>
          <w:b/>
          <w:color w:val="000000" w:themeColor="text1"/>
          <w:sz w:val="48"/>
          <w:szCs w:val="40"/>
        </w:rPr>
      </w:pPr>
    </w:p>
    <w:p>
      <w:pPr>
        <w:pStyle w:val="2"/>
        <w:ind w:firstLine="600"/>
      </w:pPr>
    </w:p>
    <w:p>
      <w:pPr>
        <w:ind w:firstLine="0" w:firstLineChars="0"/>
        <w:rPr>
          <w:color w:val="000000" w:themeColor="text1"/>
        </w:rPr>
      </w:pPr>
    </w:p>
    <w:p>
      <w:pPr>
        <w:tabs>
          <w:tab w:val="right" w:leader="dot" w:pos="9000"/>
        </w:tabs>
        <w:spacing w:line="240" w:lineRule="auto"/>
        <w:ind w:firstLine="0" w:firstLineChars="0"/>
        <w:rPr>
          <w:color w:val="000000" w:themeColor="text1"/>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720" w:num="1"/>
          <w:docGrid w:type="linesAndChars" w:linePitch="312" w:charSpace="0"/>
        </w:sectPr>
      </w:pPr>
    </w:p>
    <w:p>
      <w:pPr>
        <w:tabs>
          <w:tab w:val="right" w:leader="dot" w:pos="9000"/>
        </w:tabs>
        <w:spacing w:line="240" w:lineRule="auto"/>
        <w:ind w:firstLine="0" w:firstLineChars="0"/>
        <w:jc w:val="center"/>
        <w:rPr>
          <w:rFonts w:eastAsiaTheme="minorEastAsia"/>
          <w:bCs/>
          <w:color w:val="000000" w:themeColor="text1"/>
          <w:sz w:val="44"/>
          <w:szCs w:val="44"/>
        </w:rPr>
      </w:pPr>
      <w:r>
        <w:rPr>
          <w:rFonts w:eastAsia="方正小标宋简体"/>
          <w:bCs/>
          <w:color w:val="000000" w:themeColor="text1"/>
          <w:sz w:val="44"/>
          <w:szCs w:val="44"/>
        </w:rPr>
        <w:t>目</w:t>
      </w:r>
      <w:r>
        <w:rPr>
          <w:rFonts w:hint="eastAsia" w:eastAsia="方正小标宋简体"/>
          <w:bCs/>
          <w:color w:val="000000" w:themeColor="text1"/>
          <w:sz w:val="44"/>
          <w:szCs w:val="44"/>
        </w:rPr>
        <w:t xml:space="preserve">  </w:t>
      </w:r>
      <w:r>
        <w:rPr>
          <w:rFonts w:eastAsia="方正小标宋简体"/>
          <w:bCs/>
          <w:color w:val="000000" w:themeColor="text1"/>
          <w:sz w:val="44"/>
          <w:szCs w:val="44"/>
        </w:rPr>
        <w:t>录</w:t>
      </w:r>
      <w:r>
        <w:rPr>
          <w:rFonts w:eastAsia="仿宋"/>
          <w:color w:val="000000" w:themeColor="text1"/>
          <w:sz w:val="44"/>
          <w:szCs w:val="44"/>
        </w:rPr>
        <w:fldChar w:fldCharType="begin"/>
      </w:r>
      <w:r>
        <w:rPr>
          <w:rFonts w:eastAsia="仿宋"/>
          <w:color w:val="000000" w:themeColor="text1"/>
          <w:sz w:val="44"/>
          <w:szCs w:val="44"/>
        </w:rPr>
        <w:instrText xml:space="preserve">TOC \o "1-3" \h \u </w:instrText>
      </w:r>
      <w:r>
        <w:rPr>
          <w:rFonts w:eastAsia="仿宋"/>
          <w:color w:val="000000" w:themeColor="text1"/>
          <w:sz w:val="44"/>
          <w:szCs w:val="44"/>
        </w:rPr>
        <w:fldChar w:fldCharType="separate"/>
      </w:r>
    </w:p>
    <w:p>
      <w:pPr>
        <w:pStyle w:val="20"/>
        <w:tabs>
          <w:tab w:val="right" w:leader="dot" w:pos="9000"/>
          <w:tab w:val="clear" w:pos="8296"/>
        </w:tabs>
        <w:ind w:firstLine="0" w:firstLineChars="0"/>
        <w:jc w:val="left"/>
        <w:rPr>
          <w:rFonts w:eastAsia="方正黑体简体"/>
          <w:b w:val="0"/>
          <w:bCs w:val="0"/>
          <w:color w:val="000000" w:themeColor="text1"/>
          <w:sz w:val="32"/>
          <w:szCs w:val="32"/>
        </w:rPr>
      </w:pPr>
      <w:r>
        <w:fldChar w:fldCharType="begin"/>
      </w:r>
      <w:r>
        <w:instrText xml:space="preserve"> HYPERLINK \l "_Toc105669356" </w:instrText>
      </w:r>
      <w:r>
        <w:fldChar w:fldCharType="separate"/>
      </w:r>
      <w:r>
        <w:rPr>
          <w:rStyle w:val="29"/>
          <w:rFonts w:hint="eastAsia" w:ascii="仿宋_GB2312" w:hAnsi="仿宋_GB2312" w:eastAsia="仿宋_GB2312" w:cs="仿宋_GB2312"/>
          <w:b w:val="0"/>
          <w:color w:val="000000" w:themeColor="text1"/>
          <w:sz w:val="32"/>
          <w:szCs w:val="32"/>
          <w:u w:val="none"/>
        </w:rPr>
        <w:t>前  言</w:t>
      </w:r>
      <w:r>
        <w:rPr>
          <w:rFonts w:eastAsia="方正黑体简体"/>
          <w:b w:val="0"/>
          <w:color w:val="000000" w:themeColor="text1"/>
          <w:sz w:val="32"/>
          <w:szCs w:val="32"/>
        </w:rPr>
        <w:tab/>
      </w:r>
      <w:r>
        <w:rPr>
          <w:rFonts w:eastAsia="方正黑体简体"/>
          <w:b w:val="0"/>
          <w:color w:val="000000" w:themeColor="text1"/>
          <w:sz w:val="32"/>
          <w:szCs w:val="32"/>
        </w:rPr>
        <w:fldChar w:fldCharType="begin"/>
      </w:r>
      <w:r>
        <w:rPr>
          <w:rFonts w:eastAsia="方正黑体简体"/>
          <w:b w:val="0"/>
          <w:color w:val="000000" w:themeColor="text1"/>
          <w:sz w:val="32"/>
          <w:szCs w:val="32"/>
        </w:rPr>
        <w:instrText xml:space="preserve"> PAGEREF _Toc105669356 \h </w:instrText>
      </w:r>
      <w:r>
        <w:rPr>
          <w:rFonts w:eastAsia="方正黑体简体"/>
          <w:b w:val="0"/>
          <w:color w:val="000000" w:themeColor="text1"/>
          <w:sz w:val="32"/>
          <w:szCs w:val="32"/>
        </w:rPr>
        <w:fldChar w:fldCharType="separate"/>
      </w:r>
      <w:r>
        <w:rPr>
          <w:rFonts w:eastAsia="方正黑体简体"/>
          <w:b w:val="0"/>
          <w:color w:val="000000" w:themeColor="text1"/>
          <w:sz w:val="32"/>
          <w:szCs w:val="32"/>
        </w:rPr>
        <w:t>6</w:t>
      </w:r>
      <w:r>
        <w:rPr>
          <w:rFonts w:eastAsia="方正黑体简体"/>
          <w:b w:val="0"/>
          <w:color w:val="000000" w:themeColor="text1"/>
          <w:sz w:val="32"/>
          <w:szCs w:val="32"/>
        </w:rPr>
        <w:fldChar w:fldCharType="end"/>
      </w:r>
      <w:r>
        <w:rPr>
          <w:rFonts w:eastAsia="方正黑体简体"/>
          <w:b w:val="0"/>
          <w:color w:val="000000" w:themeColor="text1"/>
          <w:sz w:val="32"/>
          <w:szCs w:val="32"/>
        </w:rPr>
        <w:fldChar w:fldCharType="end"/>
      </w:r>
    </w:p>
    <w:p>
      <w:pPr>
        <w:pStyle w:val="20"/>
        <w:tabs>
          <w:tab w:val="right" w:leader="dot" w:pos="9000"/>
          <w:tab w:val="clear" w:pos="8296"/>
        </w:tabs>
        <w:ind w:firstLine="0" w:firstLineChars="0"/>
        <w:rPr>
          <w:rFonts w:eastAsia="方正黑体简体"/>
          <w:b w:val="0"/>
          <w:bCs w:val="0"/>
          <w:color w:val="000000" w:themeColor="text1"/>
          <w:sz w:val="32"/>
          <w:szCs w:val="32"/>
        </w:rPr>
      </w:pPr>
      <w:r>
        <w:fldChar w:fldCharType="begin"/>
      </w:r>
      <w:r>
        <w:instrText xml:space="preserve"> HYPERLINK \l "_Toc105669357" </w:instrText>
      </w:r>
      <w:r>
        <w:fldChar w:fldCharType="separate"/>
      </w:r>
      <w:r>
        <w:rPr>
          <w:rStyle w:val="29"/>
          <w:rFonts w:hint="eastAsia" w:ascii="仿宋_GB2312" w:hAnsi="仿宋_GB2312" w:eastAsia="仿宋_GB2312" w:cs="仿宋_GB2312"/>
          <w:b w:val="0"/>
          <w:color w:val="000000" w:themeColor="text1"/>
          <w:sz w:val="32"/>
          <w:szCs w:val="32"/>
          <w:u w:val="none"/>
        </w:rPr>
        <w:t>第一章  “十三五”回顾与“十四五”展望</w:t>
      </w:r>
      <w:r>
        <w:rPr>
          <w:rFonts w:eastAsia="方正黑体简体"/>
          <w:b w:val="0"/>
          <w:color w:val="000000" w:themeColor="text1"/>
          <w:sz w:val="32"/>
          <w:szCs w:val="32"/>
        </w:rPr>
        <w:tab/>
      </w:r>
      <w:r>
        <w:rPr>
          <w:rFonts w:eastAsia="方正黑体简体"/>
          <w:b w:val="0"/>
          <w:color w:val="000000" w:themeColor="text1"/>
          <w:sz w:val="32"/>
          <w:szCs w:val="32"/>
        </w:rPr>
        <w:fldChar w:fldCharType="begin"/>
      </w:r>
      <w:r>
        <w:rPr>
          <w:rFonts w:eastAsia="方正黑体简体"/>
          <w:b w:val="0"/>
          <w:color w:val="000000" w:themeColor="text1"/>
          <w:sz w:val="32"/>
          <w:szCs w:val="32"/>
        </w:rPr>
        <w:instrText xml:space="preserve"> PAGEREF _Toc105669357 \h </w:instrText>
      </w:r>
      <w:r>
        <w:rPr>
          <w:rFonts w:eastAsia="方正黑体简体"/>
          <w:b w:val="0"/>
          <w:color w:val="000000" w:themeColor="text1"/>
          <w:sz w:val="32"/>
          <w:szCs w:val="32"/>
        </w:rPr>
        <w:fldChar w:fldCharType="separate"/>
      </w:r>
      <w:r>
        <w:rPr>
          <w:rFonts w:eastAsia="方正黑体简体"/>
          <w:b w:val="0"/>
          <w:color w:val="000000" w:themeColor="text1"/>
          <w:sz w:val="32"/>
          <w:szCs w:val="32"/>
        </w:rPr>
        <w:t>7</w:t>
      </w:r>
      <w:r>
        <w:rPr>
          <w:rFonts w:eastAsia="方正黑体简体"/>
          <w:b w:val="0"/>
          <w:color w:val="000000" w:themeColor="text1"/>
          <w:sz w:val="32"/>
          <w:szCs w:val="32"/>
        </w:rPr>
        <w:fldChar w:fldCharType="end"/>
      </w:r>
      <w:r>
        <w:rPr>
          <w:rFonts w:eastAsia="方正黑体简体"/>
          <w:b w:val="0"/>
          <w:color w:val="000000" w:themeColor="text1"/>
          <w:sz w:val="32"/>
          <w:szCs w:val="32"/>
        </w:rPr>
        <w:fldChar w:fldCharType="end"/>
      </w:r>
    </w:p>
    <w:p>
      <w:pPr>
        <w:pStyle w:val="22"/>
        <w:tabs>
          <w:tab w:val="right" w:leader="dot" w:pos="9000"/>
        </w:tabs>
        <w:ind w:left="0" w:leftChars="0" w:firstLine="600"/>
        <w:rPr>
          <w:rFonts w:eastAsia="方正楷体_GBK"/>
          <w:color w:val="000000" w:themeColor="text1"/>
          <w:sz w:val="32"/>
          <w:szCs w:val="32"/>
        </w:rPr>
      </w:pPr>
      <w:r>
        <w:fldChar w:fldCharType="begin"/>
      </w:r>
      <w:r>
        <w:instrText xml:space="preserve"> HYPERLINK \l "_Toc105669358" </w:instrText>
      </w:r>
      <w:r>
        <w:fldChar w:fldCharType="separate"/>
      </w:r>
      <w:r>
        <w:rPr>
          <w:rStyle w:val="29"/>
          <w:rFonts w:hint="eastAsia" w:ascii="仿宋_GB2312" w:hAnsi="仿宋_GB2312" w:cs="仿宋_GB2312"/>
          <w:bCs/>
          <w:color w:val="000000" w:themeColor="text1"/>
          <w:sz w:val="32"/>
          <w:szCs w:val="32"/>
        </w:rPr>
        <w:t>第一节　主要工作成效</w:t>
      </w:r>
      <w:r>
        <w:rPr>
          <w:rFonts w:eastAsia="方正楷体_GBK"/>
          <w:color w:val="000000" w:themeColor="text1"/>
          <w:sz w:val="32"/>
          <w:szCs w:val="32"/>
        </w:rPr>
        <w:tab/>
      </w:r>
      <w:r>
        <w:rPr>
          <w:rFonts w:eastAsia="方正楷体_GBK"/>
          <w:color w:val="000000" w:themeColor="text1"/>
          <w:sz w:val="32"/>
          <w:szCs w:val="32"/>
        </w:rPr>
        <w:fldChar w:fldCharType="begin"/>
      </w:r>
      <w:r>
        <w:rPr>
          <w:rFonts w:eastAsia="方正楷体_GBK"/>
          <w:color w:val="000000" w:themeColor="text1"/>
          <w:sz w:val="32"/>
          <w:szCs w:val="32"/>
        </w:rPr>
        <w:instrText xml:space="preserve"> PAGEREF _Toc105669358 \h </w:instrText>
      </w:r>
      <w:r>
        <w:rPr>
          <w:rFonts w:eastAsia="方正楷体_GBK"/>
          <w:color w:val="000000" w:themeColor="text1"/>
          <w:sz w:val="32"/>
          <w:szCs w:val="32"/>
        </w:rPr>
        <w:fldChar w:fldCharType="separate"/>
      </w:r>
      <w:r>
        <w:rPr>
          <w:rFonts w:eastAsia="方正楷体_GBK"/>
          <w:color w:val="000000" w:themeColor="text1"/>
          <w:sz w:val="32"/>
          <w:szCs w:val="32"/>
        </w:rPr>
        <w:t>7</w:t>
      </w:r>
      <w:r>
        <w:rPr>
          <w:rFonts w:eastAsia="方正楷体_GBK"/>
          <w:color w:val="000000" w:themeColor="text1"/>
          <w:sz w:val="32"/>
          <w:szCs w:val="32"/>
        </w:rPr>
        <w:fldChar w:fldCharType="end"/>
      </w:r>
      <w:r>
        <w:rPr>
          <w:rFonts w:eastAsia="方正楷体_GBK"/>
          <w:color w:val="000000" w:themeColor="text1"/>
          <w:sz w:val="32"/>
          <w:szCs w:val="32"/>
        </w:rPr>
        <w:fldChar w:fldCharType="end"/>
      </w:r>
    </w:p>
    <w:p>
      <w:pPr>
        <w:pStyle w:val="22"/>
        <w:tabs>
          <w:tab w:val="right" w:leader="dot" w:pos="9000"/>
        </w:tabs>
        <w:ind w:left="0" w:leftChars="0" w:firstLine="600"/>
        <w:rPr>
          <w:rFonts w:eastAsia="方正楷体_GBK"/>
          <w:color w:val="000000" w:themeColor="text1"/>
          <w:sz w:val="32"/>
          <w:szCs w:val="32"/>
        </w:rPr>
      </w:pPr>
      <w:r>
        <w:fldChar w:fldCharType="begin"/>
      </w:r>
      <w:r>
        <w:instrText xml:space="preserve"> HYPERLINK \l "_Toc105669359" </w:instrText>
      </w:r>
      <w:r>
        <w:fldChar w:fldCharType="separate"/>
      </w:r>
      <w:r>
        <w:rPr>
          <w:rStyle w:val="29"/>
          <w:rFonts w:hint="eastAsia" w:ascii="仿宋_GB2312" w:hAnsi="仿宋_GB2312" w:cs="仿宋_GB2312"/>
          <w:bCs/>
          <w:color w:val="000000" w:themeColor="text1"/>
          <w:sz w:val="32"/>
          <w:szCs w:val="32"/>
        </w:rPr>
        <w:t>第二节　面临问题与挑战</w:t>
      </w:r>
      <w:r>
        <w:rPr>
          <w:rFonts w:eastAsia="方正楷体_GBK"/>
          <w:color w:val="000000" w:themeColor="text1"/>
          <w:sz w:val="32"/>
          <w:szCs w:val="32"/>
        </w:rPr>
        <w:tab/>
      </w:r>
      <w:r>
        <w:rPr>
          <w:rFonts w:eastAsia="方正楷体_GBK"/>
          <w:color w:val="000000" w:themeColor="text1"/>
          <w:sz w:val="32"/>
          <w:szCs w:val="32"/>
        </w:rPr>
        <w:fldChar w:fldCharType="begin"/>
      </w:r>
      <w:r>
        <w:rPr>
          <w:rFonts w:eastAsia="方正楷体_GBK"/>
          <w:color w:val="000000" w:themeColor="text1"/>
          <w:sz w:val="32"/>
          <w:szCs w:val="32"/>
        </w:rPr>
        <w:instrText xml:space="preserve"> PAGEREF _Toc105669359 \h </w:instrText>
      </w:r>
      <w:r>
        <w:rPr>
          <w:rFonts w:eastAsia="方正楷体_GBK"/>
          <w:color w:val="000000" w:themeColor="text1"/>
          <w:sz w:val="32"/>
          <w:szCs w:val="32"/>
        </w:rPr>
        <w:fldChar w:fldCharType="separate"/>
      </w:r>
      <w:r>
        <w:rPr>
          <w:rFonts w:eastAsia="方正楷体_GBK"/>
          <w:color w:val="000000" w:themeColor="text1"/>
          <w:sz w:val="32"/>
          <w:szCs w:val="32"/>
        </w:rPr>
        <w:t>9</w:t>
      </w:r>
      <w:r>
        <w:rPr>
          <w:rFonts w:eastAsia="方正楷体_GBK"/>
          <w:color w:val="000000" w:themeColor="text1"/>
          <w:sz w:val="32"/>
          <w:szCs w:val="32"/>
        </w:rPr>
        <w:fldChar w:fldCharType="end"/>
      </w:r>
      <w:r>
        <w:rPr>
          <w:rFonts w:eastAsia="方正楷体_GBK"/>
          <w:color w:val="000000" w:themeColor="text1"/>
          <w:sz w:val="32"/>
          <w:szCs w:val="32"/>
        </w:rPr>
        <w:fldChar w:fldCharType="end"/>
      </w:r>
    </w:p>
    <w:p>
      <w:pPr>
        <w:pStyle w:val="22"/>
        <w:tabs>
          <w:tab w:val="right" w:leader="dot" w:pos="9000"/>
        </w:tabs>
        <w:ind w:left="0" w:leftChars="0" w:firstLine="600"/>
        <w:rPr>
          <w:rFonts w:eastAsia="方正楷体_GBK"/>
          <w:color w:val="000000" w:themeColor="text1"/>
          <w:sz w:val="32"/>
          <w:szCs w:val="32"/>
        </w:rPr>
      </w:pPr>
      <w:r>
        <w:fldChar w:fldCharType="begin"/>
      </w:r>
      <w:r>
        <w:instrText xml:space="preserve"> HYPERLINK \l "_Toc105669360" </w:instrText>
      </w:r>
      <w:r>
        <w:fldChar w:fldCharType="separate"/>
      </w:r>
      <w:r>
        <w:rPr>
          <w:rStyle w:val="29"/>
          <w:rFonts w:hint="eastAsia" w:ascii="仿宋_GB2312" w:hAnsi="仿宋_GB2312" w:cs="仿宋_GB2312"/>
          <w:bCs/>
          <w:color w:val="000000" w:themeColor="text1"/>
          <w:sz w:val="32"/>
          <w:szCs w:val="32"/>
        </w:rPr>
        <w:t>第三节　新形势与新机遇</w:t>
      </w:r>
      <w:r>
        <w:rPr>
          <w:rFonts w:eastAsia="方正楷体_GBK"/>
          <w:color w:val="000000" w:themeColor="text1"/>
          <w:sz w:val="32"/>
          <w:szCs w:val="32"/>
        </w:rPr>
        <w:tab/>
      </w:r>
      <w:r>
        <w:rPr>
          <w:rFonts w:eastAsia="方正楷体_GBK"/>
          <w:color w:val="000000" w:themeColor="text1"/>
          <w:sz w:val="32"/>
          <w:szCs w:val="32"/>
        </w:rPr>
        <w:fldChar w:fldCharType="begin"/>
      </w:r>
      <w:r>
        <w:rPr>
          <w:rFonts w:eastAsia="方正楷体_GBK"/>
          <w:color w:val="000000" w:themeColor="text1"/>
          <w:sz w:val="32"/>
          <w:szCs w:val="32"/>
        </w:rPr>
        <w:instrText xml:space="preserve"> PAGEREF _Toc105669360 \h </w:instrText>
      </w:r>
      <w:r>
        <w:rPr>
          <w:rFonts w:eastAsia="方正楷体_GBK"/>
          <w:color w:val="000000" w:themeColor="text1"/>
          <w:sz w:val="32"/>
          <w:szCs w:val="32"/>
        </w:rPr>
        <w:fldChar w:fldCharType="separate"/>
      </w:r>
      <w:r>
        <w:rPr>
          <w:rFonts w:eastAsia="方正楷体_GBK"/>
          <w:color w:val="000000" w:themeColor="text1"/>
          <w:sz w:val="32"/>
          <w:szCs w:val="32"/>
        </w:rPr>
        <w:t>11</w:t>
      </w:r>
      <w:r>
        <w:rPr>
          <w:rFonts w:eastAsia="方正楷体_GBK"/>
          <w:color w:val="000000" w:themeColor="text1"/>
          <w:sz w:val="32"/>
          <w:szCs w:val="32"/>
        </w:rPr>
        <w:fldChar w:fldCharType="end"/>
      </w:r>
      <w:r>
        <w:rPr>
          <w:rFonts w:eastAsia="方正楷体_GBK"/>
          <w:color w:val="000000" w:themeColor="text1"/>
          <w:sz w:val="32"/>
          <w:szCs w:val="32"/>
        </w:rPr>
        <w:fldChar w:fldCharType="end"/>
      </w:r>
    </w:p>
    <w:p>
      <w:pPr>
        <w:pStyle w:val="20"/>
        <w:tabs>
          <w:tab w:val="right" w:leader="dot" w:pos="9000"/>
          <w:tab w:val="clear" w:pos="8296"/>
        </w:tabs>
        <w:ind w:firstLine="0" w:firstLineChars="0"/>
        <w:rPr>
          <w:rFonts w:eastAsia="方正黑体简体"/>
          <w:b w:val="0"/>
          <w:bCs w:val="0"/>
          <w:color w:val="000000" w:themeColor="text1"/>
          <w:sz w:val="32"/>
          <w:szCs w:val="32"/>
        </w:rPr>
      </w:pPr>
      <w:r>
        <w:fldChar w:fldCharType="begin"/>
      </w:r>
      <w:r>
        <w:instrText xml:space="preserve"> HYPERLINK \l "_Toc105669361" </w:instrText>
      </w:r>
      <w:r>
        <w:fldChar w:fldCharType="separate"/>
      </w:r>
      <w:r>
        <w:rPr>
          <w:rStyle w:val="29"/>
          <w:rFonts w:hint="eastAsia" w:ascii="仿宋_GB2312" w:hAnsi="仿宋_GB2312" w:eastAsia="仿宋_GB2312" w:cs="仿宋_GB2312"/>
          <w:b w:val="0"/>
          <w:color w:val="000000" w:themeColor="text1"/>
          <w:sz w:val="32"/>
          <w:szCs w:val="32"/>
        </w:rPr>
        <w:t>第二章　总体要求</w:t>
      </w:r>
      <w:r>
        <w:rPr>
          <w:rFonts w:eastAsia="方正黑体简体"/>
          <w:b w:val="0"/>
          <w:color w:val="000000" w:themeColor="text1"/>
          <w:sz w:val="32"/>
          <w:szCs w:val="32"/>
        </w:rPr>
        <w:tab/>
      </w:r>
      <w:r>
        <w:rPr>
          <w:rFonts w:eastAsia="方正黑体简体"/>
          <w:b w:val="0"/>
          <w:color w:val="000000" w:themeColor="text1"/>
          <w:sz w:val="32"/>
          <w:szCs w:val="32"/>
        </w:rPr>
        <w:fldChar w:fldCharType="begin"/>
      </w:r>
      <w:r>
        <w:rPr>
          <w:rFonts w:eastAsia="方正黑体简体"/>
          <w:b w:val="0"/>
          <w:color w:val="000000" w:themeColor="text1"/>
          <w:sz w:val="32"/>
          <w:szCs w:val="32"/>
        </w:rPr>
        <w:instrText xml:space="preserve"> PAGEREF _Toc105669361 \h </w:instrText>
      </w:r>
      <w:r>
        <w:rPr>
          <w:rFonts w:eastAsia="方正黑体简体"/>
          <w:b w:val="0"/>
          <w:color w:val="000000" w:themeColor="text1"/>
          <w:sz w:val="32"/>
          <w:szCs w:val="32"/>
        </w:rPr>
        <w:fldChar w:fldCharType="separate"/>
      </w:r>
      <w:r>
        <w:rPr>
          <w:rFonts w:eastAsia="方正黑体简体"/>
          <w:b w:val="0"/>
          <w:color w:val="000000" w:themeColor="text1"/>
          <w:sz w:val="32"/>
          <w:szCs w:val="32"/>
        </w:rPr>
        <w:t>13</w:t>
      </w:r>
      <w:r>
        <w:rPr>
          <w:rFonts w:eastAsia="方正黑体简体"/>
          <w:b w:val="0"/>
          <w:color w:val="000000" w:themeColor="text1"/>
          <w:sz w:val="32"/>
          <w:szCs w:val="32"/>
        </w:rPr>
        <w:fldChar w:fldCharType="end"/>
      </w:r>
      <w:r>
        <w:rPr>
          <w:rFonts w:eastAsia="方正黑体简体"/>
          <w:b w:val="0"/>
          <w:color w:val="000000" w:themeColor="text1"/>
          <w:sz w:val="32"/>
          <w:szCs w:val="32"/>
        </w:rPr>
        <w:fldChar w:fldCharType="end"/>
      </w:r>
    </w:p>
    <w:p>
      <w:pPr>
        <w:pStyle w:val="22"/>
        <w:tabs>
          <w:tab w:val="right" w:leader="dot" w:pos="9000"/>
        </w:tabs>
        <w:ind w:left="0" w:leftChars="0" w:firstLine="600"/>
        <w:rPr>
          <w:rFonts w:eastAsia="方正楷体_GBK"/>
          <w:color w:val="000000" w:themeColor="text1"/>
          <w:sz w:val="32"/>
          <w:szCs w:val="32"/>
        </w:rPr>
      </w:pPr>
      <w:r>
        <w:fldChar w:fldCharType="begin"/>
      </w:r>
      <w:r>
        <w:instrText xml:space="preserve"> HYPERLINK \l "_Toc105669362" </w:instrText>
      </w:r>
      <w:r>
        <w:fldChar w:fldCharType="separate"/>
      </w:r>
      <w:r>
        <w:rPr>
          <w:rStyle w:val="29"/>
          <w:rFonts w:hint="eastAsia" w:ascii="仿宋_GB2312" w:hAnsi="仿宋_GB2312" w:cs="仿宋_GB2312"/>
          <w:bCs/>
          <w:color w:val="000000" w:themeColor="text1"/>
          <w:sz w:val="32"/>
          <w:szCs w:val="32"/>
        </w:rPr>
        <w:t>第一节　指导思想</w:t>
      </w:r>
      <w:r>
        <w:rPr>
          <w:rFonts w:eastAsia="方正楷体_GBK"/>
          <w:color w:val="000000" w:themeColor="text1"/>
          <w:sz w:val="32"/>
          <w:szCs w:val="32"/>
        </w:rPr>
        <w:tab/>
      </w:r>
      <w:r>
        <w:rPr>
          <w:rFonts w:eastAsia="方正楷体_GBK"/>
          <w:color w:val="000000" w:themeColor="text1"/>
          <w:sz w:val="32"/>
          <w:szCs w:val="32"/>
        </w:rPr>
        <w:fldChar w:fldCharType="begin"/>
      </w:r>
      <w:r>
        <w:rPr>
          <w:rFonts w:eastAsia="方正楷体_GBK"/>
          <w:color w:val="000000" w:themeColor="text1"/>
          <w:sz w:val="32"/>
          <w:szCs w:val="32"/>
        </w:rPr>
        <w:instrText xml:space="preserve"> PAGEREF _Toc105669362 \h </w:instrText>
      </w:r>
      <w:r>
        <w:rPr>
          <w:rFonts w:eastAsia="方正楷体_GBK"/>
          <w:color w:val="000000" w:themeColor="text1"/>
          <w:sz w:val="32"/>
          <w:szCs w:val="32"/>
        </w:rPr>
        <w:fldChar w:fldCharType="separate"/>
      </w:r>
      <w:r>
        <w:rPr>
          <w:rFonts w:eastAsia="方正楷体_GBK"/>
          <w:color w:val="000000" w:themeColor="text1"/>
          <w:sz w:val="32"/>
          <w:szCs w:val="32"/>
        </w:rPr>
        <w:t>13</w:t>
      </w:r>
      <w:r>
        <w:rPr>
          <w:rFonts w:eastAsia="方正楷体_GBK"/>
          <w:color w:val="000000" w:themeColor="text1"/>
          <w:sz w:val="32"/>
          <w:szCs w:val="32"/>
        </w:rPr>
        <w:fldChar w:fldCharType="end"/>
      </w:r>
      <w:r>
        <w:rPr>
          <w:rFonts w:eastAsia="方正楷体_GBK"/>
          <w:color w:val="000000" w:themeColor="text1"/>
          <w:sz w:val="32"/>
          <w:szCs w:val="32"/>
        </w:rPr>
        <w:fldChar w:fldCharType="end"/>
      </w:r>
    </w:p>
    <w:p>
      <w:pPr>
        <w:pStyle w:val="22"/>
        <w:tabs>
          <w:tab w:val="right" w:leader="dot" w:pos="9000"/>
        </w:tabs>
        <w:ind w:left="0" w:leftChars="0" w:firstLine="600"/>
        <w:rPr>
          <w:rFonts w:eastAsia="方正楷体_GBK"/>
          <w:color w:val="000000" w:themeColor="text1"/>
          <w:sz w:val="32"/>
          <w:szCs w:val="32"/>
        </w:rPr>
      </w:pPr>
      <w:r>
        <w:fldChar w:fldCharType="begin"/>
      </w:r>
      <w:r>
        <w:instrText xml:space="preserve"> HYPERLINK \l "_Toc105669363" </w:instrText>
      </w:r>
      <w:r>
        <w:fldChar w:fldCharType="separate"/>
      </w:r>
      <w:r>
        <w:rPr>
          <w:rStyle w:val="29"/>
          <w:rFonts w:hint="eastAsia" w:ascii="仿宋_GB2312" w:hAnsi="仿宋_GB2312" w:cs="仿宋_GB2312"/>
          <w:bCs/>
          <w:color w:val="000000" w:themeColor="text1"/>
          <w:sz w:val="32"/>
          <w:szCs w:val="32"/>
        </w:rPr>
        <w:t>第二节　基本原则</w:t>
      </w:r>
      <w:r>
        <w:rPr>
          <w:rFonts w:eastAsia="方正楷体_GBK"/>
          <w:color w:val="000000" w:themeColor="text1"/>
          <w:sz w:val="32"/>
          <w:szCs w:val="32"/>
        </w:rPr>
        <w:tab/>
      </w:r>
      <w:r>
        <w:rPr>
          <w:rFonts w:eastAsia="方正楷体_GBK"/>
          <w:color w:val="000000" w:themeColor="text1"/>
          <w:sz w:val="32"/>
          <w:szCs w:val="32"/>
        </w:rPr>
        <w:fldChar w:fldCharType="begin"/>
      </w:r>
      <w:r>
        <w:rPr>
          <w:rFonts w:eastAsia="方正楷体_GBK"/>
          <w:color w:val="000000" w:themeColor="text1"/>
          <w:sz w:val="32"/>
          <w:szCs w:val="32"/>
        </w:rPr>
        <w:instrText xml:space="preserve"> PAGEREF _Toc105669363 \h </w:instrText>
      </w:r>
      <w:r>
        <w:rPr>
          <w:rFonts w:eastAsia="方正楷体_GBK"/>
          <w:color w:val="000000" w:themeColor="text1"/>
          <w:sz w:val="32"/>
          <w:szCs w:val="32"/>
        </w:rPr>
        <w:fldChar w:fldCharType="separate"/>
      </w:r>
      <w:r>
        <w:rPr>
          <w:rFonts w:eastAsia="方正楷体_GBK"/>
          <w:color w:val="000000" w:themeColor="text1"/>
          <w:sz w:val="32"/>
          <w:szCs w:val="32"/>
        </w:rPr>
        <w:t>13</w:t>
      </w:r>
      <w:r>
        <w:rPr>
          <w:rFonts w:eastAsia="方正楷体_GBK"/>
          <w:color w:val="000000" w:themeColor="text1"/>
          <w:sz w:val="32"/>
          <w:szCs w:val="32"/>
        </w:rPr>
        <w:fldChar w:fldCharType="end"/>
      </w:r>
      <w:r>
        <w:rPr>
          <w:rFonts w:eastAsia="方正楷体_GBK"/>
          <w:color w:val="000000" w:themeColor="text1"/>
          <w:sz w:val="32"/>
          <w:szCs w:val="32"/>
        </w:rPr>
        <w:fldChar w:fldCharType="end"/>
      </w:r>
    </w:p>
    <w:p>
      <w:pPr>
        <w:pStyle w:val="22"/>
        <w:tabs>
          <w:tab w:val="right" w:leader="dot" w:pos="9000"/>
        </w:tabs>
        <w:ind w:left="0" w:leftChars="0" w:firstLine="600"/>
        <w:rPr>
          <w:rFonts w:eastAsia="方正楷体_GBK"/>
          <w:color w:val="000000" w:themeColor="text1"/>
          <w:sz w:val="32"/>
          <w:szCs w:val="32"/>
        </w:rPr>
      </w:pPr>
      <w:r>
        <w:fldChar w:fldCharType="begin"/>
      </w:r>
      <w:r>
        <w:instrText xml:space="preserve"> HYPERLINK \l "_Toc105669364" </w:instrText>
      </w:r>
      <w:r>
        <w:fldChar w:fldCharType="separate"/>
      </w:r>
      <w:r>
        <w:rPr>
          <w:rStyle w:val="29"/>
          <w:rFonts w:hint="eastAsia" w:ascii="仿宋_GB2312" w:hAnsi="仿宋_GB2312" w:cs="仿宋_GB2312"/>
          <w:bCs/>
          <w:color w:val="000000" w:themeColor="text1"/>
          <w:sz w:val="32"/>
          <w:szCs w:val="32"/>
        </w:rPr>
        <w:t>第三节　目标指标</w:t>
      </w:r>
      <w:r>
        <w:rPr>
          <w:rFonts w:eastAsia="方正楷体_GBK"/>
          <w:color w:val="000000" w:themeColor="text1"/>
          <w:sz w:val="32"/>
          <w:szCs w:val="32"/>
        </w:rPr>
        <w:tab/>
      </w:r>
      <w:r>
        <w:rPr>
          <w:rFonts w:eastAsia="方正楷体_GBK"/>
          <w:color w:val="000000" w:themeColor="text1"/>
          <w:sz w:val="32"/>
          <w:szCs w:val="32"/>
        </w:rPr>
        <w:fldChar w:fldCharType="begin"/>
      </w:r>
      <w:r>
        <w:rPr>
          <w:rFonts w:eastAsia="方正楷体_GBK"/>
          <w:color w:val="000000" w:themeColor="text1"/>
          <w:sz w:val="32"/>
          <w:szCs w:val="32"/>
        </w:rPr>
        <w:instrText xml:space="preserve"> PAGEREF _Toc105669364 \h </w:instrText>
      </w:r>
      <w:r>
        <w:rPr>
          <w:rFonts w:eastAsia="方正楷体_GBK"/>
          <w:color w:val="000000" w:themeColor="text1"/>
          <w:sz w:val="32"/>
          <w:szCs w:val="32"/>
        </w:rPr>
        <w:fldChar w:fldCharType="separate"/>
      </w:r>
      <w:r>
        <w:rPr>
          <w:rFonts w:eastAsia="方正楷体_GBK"/>
          <w:color w:val="000000" w:themeColor="text1"/>
          <w:sz w:val="32"/>
          <w:szCs w:val="32"/>
        </w:rPr>
        <w:t>14</w:t>
      </w:r>
      <w:r>
        <w:rPr>
          <w:rFonts w:eastAsia="方正楷体_GBK"/>
          <w:color w:val="000000" w:themeColor="text1"/>
          <w:sz w:val="32"/>
          <w:szCs w:val="32"/>
        </w:rPr>
        <w:fldChar w:fldCharType="end"/>
      </w:r>
      <w:r>
        <w:rPr>
          <w:rFonts w:eastAsia="方正楷体_GBK"/>
          <w:color w:val="000000" w:themeColor="text1"/>
          <w:sz w:val="32"/>
          <w:szCs w:val="32"/>
        </w:rPr>
        <w:fldChar w:fldCharType="end"/>
      </w:r>
    </w:p>
    <w:p>
      <w:pPr>
        <w:pStyle w:val="20"/>
        <w:tabs>
          <w:tab w:val="right" w:leader="dot" w:pos="9000"/>
          <w:tab w:val="clear" w:pos="8296"/>
        </w:tabs>
        <w:ind w:firstLine="0" w:firstLineChars="0"/>
        <w:rPr>
          <w:rFonts w:eastAsia="方正黑体简体"/>
          <w:b w:val="0"/>
          <w:bCs w:val="0"/>
          <w:color w:val="000000" w:themeColor="text1"/>
          <w:sz w:val="32"/>
          <w:szCs w:val="32"/>
        </w:rPr>
      </w:pPr>
      <w:r>
        <w:fldChar w:fldCharType="begin"/>
      </w:r>
      <w:r>
        <w:instrText xml:space="preserve"> HYPERLINK \l "_Toc105669365" </w:instrText>
      </w:r>
      <w:r>
        <w:fldChar w:fldCharType="separate"/>
      </w:r>
      <w:r>
        <w:rPr>
          <w:rStyle w:val="29"/>
          <w:rFonts w:hint="eastAsia" w:ascii="仿宋_GB2312" w:hAnsi="仿宋_GB2312" w:eastAsia="仿宋_GB2312" w:cs="仿宋_GB2312"/>
          <w:b w:val="0"/>
          <w:color w:val="000000" w:themeColor="text1"/>
          <w:sz w:val="32"/>
          <w:szCs w:val="32"/>
        </w:rPr>
        <w:t>第三章　主要任务</w:t>
      </w:r>
      <w:r>
        <w:rPr>
          <w:rFonts w:eastAsia="方正黑体简体"/>
          <w:b w:val="0"/>
          <w:color w:val="000000" w:themeColor="text1"/>
          <w:sz w:val="32"/>
          <w:szCs w:val="32"/>
        </w:rPr>
        <w:tab/>
      </w:r>
      <w:r>
        <w:rPr>
          <w:rFonts w:eastAsia="方正黑体简体"/>
          <w:b w:val="0"/>
          <w:color w:val="000000" w:themeColor="text1"/>
          <w:sz w:val="32"/>
          <w:szCs w:val="32"/>
        </w:rPr>
        <w:fldChar w:fldCharType="begin"/>
      </w:r>
      <w:r>
        <w:rPr>
          <w:rFonts w:eastAsia="方正黑体简体"/>
          <w:b w:val="0"/>
          <w:color w:val="000000" w:themeColor="text1"/>
          <w:sz w:val="32"/>
          <w:szCs w:val="32"/>
        </w:rPr>
        <w:instrText xml:space="preserve"> PAGEREF _Toc105669365 \h </w:instrText>
      </w:r>
      <w:r>
        <w:rPr>
          <w:rFonts w:eastAsia="方正黑体简体"/>
          <w:b w:val="0"/>
          <w:color w:val="000000" w:themeColor="text1"/>
          <w:sz w:val="32"/>
          <w:szCs w:val="32"/>
        </w:rPr>
        <w:fldChar w:fldCharType="separate"/>
      </w:r>
      <w:r>
        <w:rPr>
          <w:rFonts w:eastAsia="方正黑体简体"/>
          <w:b w:val="0"/>
          <w:color w:val="000000" w:themeColor="text1"/>
          <w:sz w:val="32"/>
          <w:szCs w:val="32"/>
        </w:rPr>
        <w:t>17</w:t>
      </w:r>
      <w:r>
        <w:rPr>
          <w:rFonts w:eastAsia="方正黑体简体"/>
          <w:b w:val="0"/>
          <w:color w:val="000000" w:themeColor="text1"/>
          <w:sz w:val="32"/>
          <w:szCs w:val="32"/>
        </w:rPr>
        <w:fldChar w:fldCharType="end"/>
      </w:r>
      <w:r>
        <w:rPr>
          <w:rFonts w:eastAsia="方正黑体简体"/>
          <w:b w:val="0"/>
          <w:color w:val="000000" w:themeColor="text1"/>
          <w:sz w:val="32"/>
          <w:szCs w:val="32"/>
        </w:rPr>
        <w:fldChar w:fldCharType="end"/>
      </w:r>
    </w:p>
    <w:p>
      <w:pPr>
        <w:pStyle w:val="22"/>
        <w:tabs>
          <w:tab w:val="right" w:leader="dot" w:pos="9000"/>
        </w:tabs>
        <w:ind w:left="0" w:leftChars="0" w:firstLine="600"/>
        <w:rPr>
          <w:rFonts w:eastAsia="方正楷体_GBK"/>
          <w:color w:val="000000" w:themeColor="text1"/>
          <w:sz w:val="32"/>
          <w:szCs w:val="32"/>
        </w:rPr>
      </w:pPr>
      <w:r>
        <w:fldChar w:fldCharType="begin"/>
      </w:r>
      <w:r>
        <w:instrText xml:space="preserve"> HYPERLINK \l "_Toc105669366" </w:instrText>
      </w:r>
      <w:r>
        <w:fldChar w:fldCharType="separate"/>
      </w:r>
      <w:r>
        <w:rPr>
          <w:rStyle w:val="29"/>
          <w:rFonts w:hint="eastAsia" w:ascii="仿宋_GB2312" w:hAnsi="仿宋_GB2312" w:cs="仿宋_GB2312"/>
          <w:bCs/>
          <w:color w:val="000000" w:themeColor="text1"/>
          <w:sz w:val="32"/>
          <w:szCs w:val="32"/>
        </w:rPr>
        <w:t>第一节　探索合理路径，推动区域碳排放达峰先行</w:t>
      </w:r>
      <w:r>
        <w:rPr>
          <w:rFonts w:eastAsia="方正楷体_GBK"/>
          <w:color w:val="000000" w:themeColor="text1"/>
          <w:sz w:val="32"/>
          <w:szCs w:val="32"/>
        </w:rPr>
        <w:tab/>
      </w:r>
      <w:r>
        <w:rPr>
          <w:rFonts w:eastAsia="方正楷体_GBK"/>
          <w:color w:val="000000" w:themeColor="text1"/>
          <w:sz w:val="32"/>
          <w:szCs w:val="32"/>
        </w:rPr>
        <w:fldChar w:fldCharType="begin"/>
      </w:r>
      <w:r>
        <w:rPr>
          <w:rFonts w:eastAsia="方正楷体_GBK"/>
          <w:color w:val="000000" w:themeColor="text1"/>
          <w:sz w:val="32"/>
          <w:szCs w:val="32"/>
        </w:rPr>
        <w:instrText xml:space="preserve"> PAGEREF _Toc105669366 \h </w:instrText>
      </w:r>
      <w:r>
        <w:rPr>
          <w:rFonts w:eastAsia="方正楷体_GBK"/>
          <w:color w:val="000000" w:themeColor="text1"/>
          <w:sz w:val="32"/>
          <w:szCs w:val="32"/>
        </w:rPr>
        <w:fldChar w:fldCharType="separate"/>
      </w:r>
      <w:r>
        <w:rPr>
          <w:rFonts w:eastAsia="方正楷体_GBK"/>
          <w:color w:val="000000" w:themeColor="text1"/>
          <w:sz w:val="32"/>
          <w:szCs w:val="32"/>
        </w:rPr>
        <w:t>17</w:t>
      </w:r>
      <w:r>
        <w:rPr>
          <w:rFonts w:eastAsia="方正楷体_GBK"/>
          <w:color w:val="000000" w:themeColor="text1"/>
          <w:sz w:val="32"/>
          <w:szCs w:val="32"/>
        </w:rPr>
        <w:fldChar w:fldCharType="end"/>
      </w:r>
      <w:r>
        <w:rPr>
          <w:rFonts w:eastAsia="方正楷体_GBK"/>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"_Toc105669367" </w:instrText>
      </w:r>
      <w:r>
        <w:fldChar w:fldCharType="separate"/>
      </w:r>
      <w:r>
        <w:rPr>
          <w:rStyle w:val="29"/>
          <w:rFonts w:hint="eastAsia" w:ascii="仿宋_GB2312" w:hAnsi="仿宋_GB2312" w:cs="仿宋_GB2312"/>
          <w:bCs/>
          <w:color w:val="000000" w:themeColor="text1"/>
          <w:sz w:val="32"/>
          <w:szCs w:val="32"/>
        </w:rPr>
        <w:t>（一）积极推进碳达峰行动</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_Toc105669367 \h </w:instrText>
      </w:r>
      <w:r>
        <w:rPr>
          <w:color w:val="000000" w:themeColor="text1"/>
          <w:sz w:val="32"/>
          <w:szCs w:val="32"/>
        </w:rPr>
        <w:fldChar w:fldCharType="separate"/>
      </w:r>
      <w:r>
        <w:rPr>
          <w:color w:val="000000" w:themeColor="text1"/>
          <w:sz w:val="32"/>
          <w:szCs w:val="32"/>
        </w:rPr>
        <w:t>17</w:t>
      </w:r>
      <w:r>
        <w:rPr>
          <w:color w:val="000000" w:themeColor="text1"/>
          <w:sz w:val="32"/>
          <w:szCs w:val="32"/>
        </w:rPr>
        <w:fldChar w:fldCharType="end"/>
      </w:r>
      <w:r>
        <w:rPr>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"_Toc105669368" </w:instrText>
      </w:r>
      <w:r>
        <w:fldChar w:fldCharType="separate"/>
      </w:r>
      <w:r>
        <w:rPr>
          <w:rStyle w:val="29"/>
          <w:rFonts w:hint="eastAsia" w:ascii="仿宋_GB2312" w:hAnsi="仿宋_GB2312" w:cs="仿宋_GB2312"/>
          <w:bCs/>
          <w:color w:val="000000" w:themeColor="text1"/>
          <w:sz w:val="32"/>
          <w:szCs w:val="32"/>
        </w:rPr>
        <w:t>（二）有效控制温室气体排放</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_Toc105669368 \h </w:instrText>
      </w:r>
      <w:r>
        <w:rPr>
          <w:color w:val="000000" w:themeColor="text1"/>
          <w:sz w:val="32"/>
          <w:szCs w:val="32"/>
        </w:rPr>
        <w:fldChar w:fldCharType="separate"/>
      </w:r>
      <w:r>
        <w:rPr>
          <w:color w:val="000000" w:themeColor="text1"/>
          <w:sz w:val="32"/>
          <w:szCs w:val="32"/>
        </w:rPr>
        <w:t>18</w:t>
      </w:r>
      <w:r>
        <w:rPr>
          <w:color w:val="000000" w:themeColor="text1"/>
          <w:sz w:val="32"/>
          <w:szCs w:val="32"/>
        </w:rPr>
        <w:fldChar w:fldCharType="end"/>
      </w:r>
      <w:r>
        <w:rPr>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"_Toc105669369" </w:instrText>
      </w:r>
      <w:r>
        <w:fldChar w:fldCharType="separate"/>
      </w:r>
      <w:r>
        <w:rPr>
          <w:rStyle w:val="29"/>
          <w:rFonts w:hint="eastAsia" w:ascii="仿宋_GB2312" w:hAnsi="仿宋_GB2312" w:cs="仿宋_GB2312"/>
          <w:bCs/>
          <w:color w:val="000000" w:themeColor="text1"/>
          <w:sz w:val="32"/>
          <w:szCs w:val="32"/>
        </w:rPr>
        <w:t>（三）推广绿色低碳生活方式</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_Toc105669369 \h </w:instrText>
      </w:r>
      <w:r>
        <w:rPr>
          <w:color w:val="000000" w:themeColor="text1"/>
          <w:sz w:val="32"/>
          <w:szCs w:val="32"/>
        </w:rPr>
        <w:fldChar w:fldCharType="separate"/>
      </w:r>
      <w:r>
        <w:rPr>
          <w:color w:val="000000" w:themeColor="text1"/>
          <w:sz w:val="32"/>
          <w:szCs w:val="32"/>
        </w:rPr>
        <w:t>19</w:t>
      </w:r>
      <w:r>
        <w:rPr>
          <w:color w:val="000000" w:themeColor="text1"/>
          <w:sz w:val="32"/>
          <w:szCs w:val="32"/>
        </w:rPr>
        <w:fldChar w:fldCharType="end"/>
      </w:r>
      <w:r>
        <w:rPr>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"_Toc105669370" </w:instrText>
      </w:r>
      <w:r>
        <w:fldChar w:fldCharType="separate"/>
      </w:r>
      <w:r>
        <w:rPr>
          <w:rStyle w:val="29"/>
          <w:rFonts w:hint="eastAsia" w:ascii="仿宋_GB2312" w:hAnsi="仿宋_GB2312" w:cs="仿宋_GB2312"/>
          <w:bCs/>
          <w:color w:val="000000" w:themeColor="text1"/>
          <w:sz w:val="32"/>
          <w:szCs w:val="32"/>
        </w:rPr>
        <w:t>（四）逐步增强区域气候韧性</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_Toc105669370 \h </w:instrText>
      </w:r>
      <w:r>
        <w:rPr>
          <w:color w:val="000000" w:themeColor="text1"/>
          <w:sz w:val="32"/>
          <w:szCs w:val="32"/>
        </w:rPr>
        <w:fldChar w:fldCharType="separate"/>
      </w:r>
      <w:r>
        <w:rPr>
          <w:color w:val="000000" w:themeColor="text1"/>
          <w:sz w:val="32"/>
          <w:szCs w:val="32"/>
        </w:rPr>
        <w:t>20</w:t>
      </w:r>
      <w:r>
        <w:rPr>
          <w:color w:val="000000" w:themeColor="text1"/>
          <w:sz w:val="32"/>
          <w:szCs w:val="32"/>
        </w:rPr>
        <w:fldChar w:fldCharType="end"/>
      </w:r>
      <w:r>
        <w:rPr>
          <w:color w:val="000000" w:themeColor="text1"/>
          <w:sz w:val="32"/>
          <w:szCs w:val="32"/>
        </w:rPr>
        <w:fldChar w:fldCharType="end"/>
      </w:r>
    </w:p>
    <w:p>
      <w:pPr>
        <w:pStyle w:val="22"/>
        <w:tabs>
          <w:tab w:val="right" w:leader="dot" w:pos="9000"/>
        </w:tabs>
        <w:ind w:left="0" w:leftChars="0" w:firstLine="600"/>
        <w:rPr>
          <w:rFonts w:eastAsia="方正楷体_GBK"/>
          <w:color w:val="000000" w:themeColor="text1"/>
          <w:sz w:val="32"/>
          <w:szCs w:val="32"/>
        </w:rPr>
      </w:pPr>
      <w:r>
        <w:fldChar w:fldCharType="begin"/>
      </w:r>
      <w:r>
        <w:instrText xml:space="preserve"> HYPERLINK \l "_Toc105669371" </w:instrText>
      </w:r>
      <w:r>
        <w:fldChar w:fldCharType="separate"/>
      </w:r>
      <w:r>
        <w:rPr>
          <w:rStyle w:val="29"/>
          <w:rFonts w:hint="eastAsia" w:ascii="仿宋_GB2312" w:hAnsi="仿宋_GB2312" w:cs="仿宋_GB2312"/>
          <w:bCs/>
          <w:color w:val="000000" w:themeColor="text1"/>
          <w:sz w:val="32"/>
          <w:szCs w:val="32"/>
        </w:rPr>
        <w:t>第二节　强化环境引导，推进经济社会绿色转型</w:t>
      </w:r>
      <w:r>
        <w:rPr>
          <w:rFonts w:eastAsia="方正楷体_GBK"/>
          <w:color w:val="000000" w:themeColor="text1"/>
          <w:sz w:val="32"/>
          <w:szCs w:val="32"/>
        </w:rPr>
        <w:tab/>
      </w:r>
      <w:r>
        <w:rPr>
          <w:rFonts w:eastAsia="方正楷体_GBK"/>
          <w:color w:val="000000" w:themeColor="text1"/>
          <w:sz w:val="32"/>
          <w:szCs w:val="32"/>
        </w:rPr>
        <w:fldChar w:fldCharType="begin"/>
      </w:r>
      <w:r>
        <w:rPr>
          <w:rFonts w:eastAsia="方正楷体_GBK"/>
          <w:color w:val="000000" w:themeColor="text1"/>
          <w:sz w:val="32"/>
          <w:szCs w:val="32"/>
        </w:rPr>
        <w:instrText xml:space="preserve"> PAGEREF _Toc105669371 \h </w:instrText>
      </w:r>
      <w:r>
        <w:rPr>
          <w:rFonts w:eastAsia="方正楷体_GBK"/>
          <w:color w:val="000000" w:themeColor="text1"/>
          <w:sz w:val="32"/>
          <w:szCs w:val="32"/>
        </w:rPr>
        <w:fldChar w:fldCharType="separate"/>
      </w:r>
      <w:r>
        <w:rPr>
          <w:rFonts w:eastAsia="方正楷体_GBK"/>
          <w:color w:val="000000" w:themeColor="text1"/>
          <w:sz w:val="32"/>
          <w:szCs w:val="32"/>
        </w:rPr>
        <w:t>21</w:t>
      </w:r>
      <w:r>
        <w:rPr>
          <w:rFonts w:eastAsia="方正楷体_GBK"/>
          <w:color w:val="000000" w:themeColor="text1"/>
          <w:sz w:val="32"/>
          <w:szCs w:val="32"/>
        </w:rPr>
        <w:fldChar w:fldCharType="end"/>
      </w:r>
      <w:r>
        <w:rPr>
          <w:rFonts w:eastAsia="方正楷体_GBK"/>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"_Toc105669372" </w:instrText>
      </w:r>
      <w:r>
        <w:fldChar w:fldCharType="separate"/>
      </w:r>
      <w:r>
        <w:rPr>
          <w:rStyle w:val="29"/>
          <w:rFonts w:hint="eastAsia" w:ascii="仿宋_GB2312" w:hAnsi="仿宋_GB2312" w:cs="仿宋_GB2312"/>
          <w:bCs/>
          <w:color w:val="000000" w:themeColor="text1"/>
          <w:sz w:val="32"/>
          <w:szCs w:val="32"/>
        </w:rPr>
        <w:t>（一）统筹区域绿色协调发展</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_Toc105669372 \h </w:instrText>
      </w:r>
      <w:r>
        <w:rPr>
          <w:color w:val="000000" w:themeColor="text1"/>
          <w:sz w:val="32"/>
          <w:szCs w:val="32"/>
        </w:rPr>
        <w:fldChar w:fldCharType="separate"/>
      </w:r>
      <w:r>
        <w:rPr>
          <w:color w:val="000000" w:themeColor="text1"/>
          <w:sz w:val="32"/>
          <w:szCs w:val="32"/>
        </w:rPr>
        <w:t>21</w:t>
      </w:r>
      <w:r>
        <w:rPr>
          <w:color w:val="000000" w:themeColor="text1"/>
          <w:sz w:val="32"/>
          <w:szCs w:val="32"/>
        </w:rPr>
        <w:fldChar w:fldCharType="end"/>
      </w:r>
      <w:r>
        <w:rPr>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"_Toc105669373" </w:instrText>
      </w:r>
      <w:r>
        <w:fldChar w:fldCharType="separate"/>
      </w:r>
      <w:r>
        <w:rPr>
          <w:rStyle w:val="29"/>
          <w:rFonts w:hint="eastAsia" w:ascii="仿宋_GB2312" w:hAnsi="仿宋_GB2312" w:cs="仿宋_GB2312"/>
          <w:bCs/>
          <w:color w:val="000000" w:themeColor="text1"/>
          <w:sz w:val="32"/>
          <w:szCs w:val="32"/>
        </w:rPr>
        <w:t>（二）构建绿色产业体系</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_Toc105669373 \h </w:instrText>
      </w:r>
      <w:r>
        <w:rPr>
          <w:color w:val="000000" w:themeColor="text1"/>
          <w:sz w:val="32"/>
          <w:szCs w:val="32"/>
        </w:rPr>
        <w:fldChar w:fldCharType="separate"/>
      </w:r>
      <w:r>
        <w:rPr>
          <w:color w:val="000000" w:themeColor="text1"/>
          <w:sz w:val="32"/>
          <w:szCs w:val="32"/>
        </w:rPr>
        <w:t>22</w:t>
      </w:r>
      <w:r>
        <w:rPr>
          <w:color w:val="000000" w:themeColor="text1"/>
          <w:sz w:val="32"/>
          <w:szCs w:val="32"/>
        </w:rPr>
        <w:fldChar w:fldCharType="end"/>
      </w:r>
      <w:r>
        <w:rPr>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"_Toc105669374" </w:instrText>
      </w:r>
      <w:r>
        <w:fldChar w:fldCharType="separate"/>
      </w:r>
      <w:r>
        <w:rPr>
          <w:rStyle w:val="29"/>
          <w:rFonts w:hint="eastAsia" w:ascii="仿宋_GB2312" w:hAnsi="仿宋_GB2312" w:cs="仿宋_GB2312"/>
          <w:bCs/>
          <w:color w:val="000000" w:themeColor="text1"/>
          <w:sz w:val="32"/>
          <w:szCs w:val="32"/>
        </w:rPr>
        <w:t>（三）推进资源利用绿色转型</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_Toc105669374 \h </w:instrText>
      </w:r>
      <w:r>
        <w:rPr>
          <w:color w:val="000000" w:themeColor="text1"/>
          <w:sz w:val="32"/>
          <w:szCs w:val="32"/>
        </w:rPr>
        <w:fldChar w:fldCharType="separate"/>
      </w:r>
      <w:r>
        <w:rPr>
          <w:color w:val="000000" w:themeColor="text1"/>
          <w:sz w:val="32"/>
          <w:szCs w:val="32"/>
        </w:rPr>
        <w:t>24</w:t>
      </w:r>
      <w:r>
        <w:rPr>
          <w:color w:val="000000" w:themeColor="text1"/>
          <w:sz w:val="32"/>
          <w:szCs w:val="32"/>
        </w:rPr>
        <w:fldChar w:fldCharType="end"/>
      </w:r>
      <w:r>
        <w:rPr>
          <w:color w:val="000000" w:themeColor="text1"/>
          <w:sz w:val="32"/>
          <w:szCs w:val="32"/>
        </w:rPr>
        <w:fldChar w:fldCharType="end"/>
      </w:r>
    </w:p>
    <w:p>
      <w:pPr>
        <w:pStyle w:val="22"/>
        <w:tabs>
          <w:tab w:val="right" w:leader="dot" w:pos="9000"/>
        </w:tabs>
        <w:ind w:left="0" w:leftChars="0" w:firstLine="600"/>
        <w:rPr>
          <w:rFonts w:eastAsia="方正楷体_GBK"/>
          <w:color w:val="000000" w:themeColor="text1"/>
          <w:sz w:val="32"/>
          <w:szCs w:val="32"/>
        </w:rPr>
      </w:pPr>
      <w:r>
        <w:fldChar w:fldCharType="begin"/>
      </w:r>
      <w:r>
        <w:instrText xml:space="preserve"> HYPERLINK \l "_Toc105669375" </w:instrText>
      </w:r>
      <w:r>
        <w:fldChar w:fldCharType="separate"/>
      </w:r>
      <w:r>
        <w:rPr>
          <w:rStyle w:val="29"/>
          <w:rFonts w:hint="eastAsia" w:ascii="仿宋_GB2312" w:hAnsi="仿宋_GB2312" w:cs="仿宋_GB2312"/>
          <w:bCs/>
          <w:color w:val="000000" w:themeColor="text1"/>
          <w:sz w:val="32"/>
          <w:szCs w:val="32"/>
        </w:rPr>
        <w:t>第三节　优化生态空间，创建生态文明示范区</w:t>
      </w:r>
      <w:r>
        <w:rPr>
          <w:rFonts w:eastAsia="方正楷体_GBK"/>
          <w:color w:val="000000" w:themeColor="text1"/>
          <w:sz w:val="32"/>
          <w:szCs w:val="32"/>
        </w:rPr>
        <w:tab/>
      </w:r>
      <w:r>
        <w:rPr>
          <w:rFonts w:eastAsia="方正楷体_GBK"/>
          <w:color w:val="000000" w:themeColor="text1"/>
          <w:sz w:val="32"/>
          <w:szCs w:val="32"/>
        </w:rPr>
        <w:fldChar w:fldCharType="begin"/>
      </w:r>
      <w:r>
        <w:rPr>
          <w:rFonts w:eastAsia="方正楷体_GBK"/>
          <w:color w:val="000000" w:themeColor="text1"/>
          <w:sz w:val="32"/>
          <w:szCs w:val="32"/>
        </w:rPr>
        <w:instrText xml:space="preserve"> PAGEREF _Toc105669375 \h </w:instrText>
      </w:r>
      <w:r>
        <w:rPr>
          <w:rFonts w:eastAsia="方正楷体_GBK"/>
          <w:color w:val="000000" w:themeColor="text1"/>
          <w:sz w:val="32"/>
          <w:szCs w:val="32"/>
        </w:rPr>
        <w:fldChar w:fldCharType="separate"/>
      </w:r>
      <w:r>
        <w:rPr>
          <w:rFonts w:eastAsia="方正楷体_GBK"/>
          <w:color w:val="000000" w:themeColor="text1"/>
          <w:sz w:val="32"/>
          <w:szCs w:val="32"/>
        </w:rPr>
        <w:t>26</w:t>
      </w:r>
      <w:r>
        <w:rPr>
          <w:rFonts w:eastAsia="方正楷体_GBK"/>
          <w:color w:val="000000" w:themeColor="text1"/>
          <w:sz w:val="32"/>
          <w:szCs w:val="32"/>
        </w:rPr>
        <w:fldChar w:fldCharType="end"/>
      </w:r>
      <w:r>
        <w:rPr>
          <w:rFonts w:eastAsia="方正楷体_GBK"/>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"_Toc105669376" </w:instrText>
      </w:r>
      <w:r>
        <w:fldChar w:fldCharType="separate"/>
      </w:r>
      <w:r>
        <w:rPr>
          <w:rStyle w:val="29"/>
          <w:rFonts w:hint="eastAsia" w:ascii="仿宋_GB2312" w:hAnsi="仿宋_GB2312" w:cs="仿宋_GB2312"/>
          <w:bCs/>
          <w:color w:val="000000" w:themeColor="text1"/>
          <w:sz w:val="32"/>
          <w:szCs w:val="32"/>
        </w:rPr>
        <w:t>（一）筑牢生态安全空间格局</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_Toc105669376 \h </w:instrText>
      </w:r>
      <w:r>
        <w:rPr>
          <w:color w:val="000000" w:themeColor="text1"/>
          <w:sz w:val="32"/>
          <w:szCs w:val="32"/>
        </w:rPr>
        <w:fldChar w:fldCharType="separate"/>
      </w:r>
      <w:r>
        <w:rPr>
          <w:color w:val="000000" w:themeColor="text1"/>
          <w:sz w:val="32"/>
          <w:szCs w:val="32"/>
        </w:rPr>
        <w:t>26</w:t>
      </w:r>
      <w:r>
        <w:rPr>
          <w:color w:val="000000" w:themeColor="text1"/>
          <w:sz w:val="32"/>
          <w:szCs w:val="32"/>
        </w:rPr>
        <w:fldChar w:fldCharType="end"/>
      </w:r>
      <w:r>
        <w:rPr>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"_Toc105669377" </w:instrText>
      </w:r>
      <w:r>
        <w:fldChar w:fldCharType="separate"/>
      </w:r>
      <w:r>
        <w:rPr>
          <w:rStyle w:val="29"/>
          <w:rFonts w:hint="eastAsia" w:ascii="仿宋_GB2312" w:hAnsi="仿宋_GB2312" w:cs="仿宋_GB2312"/>
          <w:bCs/>
          <w:color w:val="000000" w:themeColor="text1"/>
          <w:sz w:val="32"/>
          <w:szCs w:val="32"/>
        </w:rPr>
        <w:t>（二）强化区域生态系统保护修复</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_Toc105669377 \h </w:instrText>
      </w:r>
      <w:r>
        <w:rPr>
          <w:color w:val="000000" w:themeColor="text1"/>
          <w:sz w:val="32"/>
          <w:szCs w:val="32"/>
        </w:rPr>
        <w:fldChar w:fldCharType="separate"/>
      </w:r>
      <w:r>
        <w:rPr>
          <w:color w:val="000000" w:themeColor="text1"/>
          <w:sz w:val="32"/>
          <w:szCs w:val="32"/>
        </w:rPr>
        <w:t>27</w:t>
      </w:r>
      <w:r>
        <w:rPr>
          <w:color w:val="000000" w:themeColor="text1"/>
          <w:sz w:val="32"/>
          <w:szCs w:val="32"/>
        </w:rPr>
        <w:fldChar w:fldCharType="end"/>
      </w:r>
      <w:r>
        <w:rPr>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"_Toc105669378" </w:instrText>
      </w:r>
      <w:r>
        <w:fldChar w:fldCharType="separate"/>
      </w:r>
      <w:r>
        <w:rPr>
          <w:rStyle w:val="29"/>
          <w:rFonts w:hint="eastAsia" w:ascii="仿宋_GB2312" w:hAnsi="仿宋_GB2312" w:cs="仿宋_GB2312"/>
          <w:bCs/>
          <w:color w:val="000000" w:themeColor="text1"/>
          <w:sz w:val="32"/>
          <w:szCs w:val="32"/>
        </w:rPr>
        <w:t>（三）创建国家级生态文明示范区</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_Toc105669378 \h </w:instrText>
      </w:r>
      <w:r>
        <w:rPr>
          <w:color w:val="000000" w:themeColor="text1"/>
          <w:sz w:val="32"/>
          <w:szCs w:val="32"/>
        </w:rPr>
        <w:fldChar w:fldCharType="separate"/>
      </w:r>
      <w:r>
        <w:rPr>
          <w:color w:val="000000" w:themeColor="text1"/>
          <w:sz w:val="32"/>
          <w:szCs w:val="32"/>
        </w:rPr>
        <w:t>28</w:t>
      </w:r>
      <w:r>
        <w:rPr>
          <w:color w:val="000000" w:themeColor="text1"/>
          <w:sz w:val="32"/>
          <w:szCs w:val="32"/>
        </w:rPr>
        <w:fldChar w:fldCharType="end"/>
      </w:r>
      <w:r>
        <w:rPr>
          <w:color w:val="000000" w:themeColor="text1"/>
          <w:sz w:val="32"/>
          <w:szCs w:val="32"/>
        </w:rPr>
        <w:fldChar w:fldCharType="end"/>
      </w:r>
    </w:p>
    <w:p>
      <w:pPr>
        <w:pStyle w:val="22"/>
        <w:tabs>
          <w:tab w:val="right" w:leader="dot" w:pos="9000"/>
        </w:tabs>
        <w:ind w:left="0" w:leftChars="0" w:firstLine="600"/>
        <w:rPr>
          <w:rFonts w:eastAsia="方正楷体_GBK"/>
          <w:color w:val="000000" w:themeColor="text1"/>
          <w:sz w:val="32"/>
          <w:szCs w:val="32"/>
        </w:rPr>
      </w:pPr>
      <w:r>
        <w:fldChar w:fldCharType="begin"/>
      </w:r>
      <w:r>
        <w:instrText xml:space="preserve"> HYPERLINK \l "_Toc105669379" </w:instrText>
      </w:r>
      <w:r>
        <w:fldChar w:fldCharType="separate"/>
      </w:r>
      <w:r>
        <w:rPr>
          <w:rStyle w:val="29"/>
          <w:rFonts w:hint="eastAsia" w:ascii="仿宋_GB2312" w:hAnsi="仿宋_GB2312" w:cs="仿宋_GB2312"/>
          <w:bCs/>
          <w:color w:val="000000" w:themeColor="text1"/>
          <w:sz w:val="32"/>
          <w:szCs w:val="32"/>
        </w:rPr>
        <w:t>第四节　深化污染防治，建设天蓝水绿食安地</w:t>
      </w:r>
      <w:r>
        <w:rPr>
          <w:rFonts w:eastAsia="方正楷体_GBK"/>
          <w:color w:val="000000" w:themeColor="text1"/>
          <w:sz w:val="32"/>
          <w:szCs w:val="32"/>
        </w:rPr>
        <w:tab/>
      </w:r>
      <w:r>
        <w:rPr>
          <w:rFonts w:eastAsia="方正楷体_GBK"/>
          <w:color w:val="000000" w:themeColor="text1"/>
          <w:sz w:val="32"/>
          <w:szCs w:val="32"/>
        </w:rPr>
        <w:fldChar w:fldCharType="begin"/>
      </w:r>
      <w:r>
        <w:rPr>
          <w:rFonts w:eastAsia="方正楷体_GBK"/>
          <w:color w:val="000000" w:themeColor="text1"/>
          <w:sz w:val="32"/>
          <w:szCs w:val="32"/>
        </w:rPr>
        <w:instrText xml:space="preserve"> PAGEREF _Toc105669379 \h </w:instrText>
      </w:r>
      <w:r>
        <w:rPr>
          <w:rFonts w:eastAsia="方正楷体_GBK"/>
          <w:color w:val="000000" w:themeColor="text1"/>
          <w:sz w:val="32"/>
          <w:szCs w:val="32"/>
        </w:rPr>
        <w:fldChar w:fldCharType="separate"/>
      </w:r>
      <w:r>
        <w:rPr>
          <w:rFonts w:eastAsia="方正楷体_GBK"/>
          <w:color w:val="000000" w:themeColor="text1"/>
          <w:sz w:val="32"/>
          <w:szCs w:val="32"/>
        </w:rPr>
        <w:t>29</w:t>
      </w:r>
      <w:r>
        <w:rPr>
          <w:rFonts w:eastAsia="方正楷体_GBK"/>
          <w:color w:val="000000" w:themeColor="text1"/>
          <w:sz w:val="32"/>
          <w:szCs w:val="32"/>
        </w:rPr>
        <w:fldChar w:fldCharType="end"/>
      </w:r>
      <w:r>
        <w:rPr>
          <w:rFonts w:eastAsia="方正楷体_GBK"/>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"_Toc105669380" </w:instrText>
      </w:r>
      <w:r>
        <w:fldChar w:fldCharType="separate"/>
      </w:r>
      <w:r>
        <w:rPr>
          <w:rStyle w:val="29"/>
          <w:rFonts w:hint="eastAsia" w:ascii="仿宋_GB2312" w:hAnsi="仿宋_GB2312" w:cs="仿宋_GB2312"/>
          <w:bCs/>
          <w:color w:val="000000" w:themeColor="text1"/>
          <w:sz w:val="32"/>
          <w:szCs w:val="32"/>
        </w:rPr>
        <w:t>（一）持续推进大气污染防治</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_Toc105669380 \h </w:instrText>
      </w:r>
      <w:r>
        <w:rPr>
          <w:color w:val="000000" w:themeColor="text1"/>
          <w:sz w:val="32"/>
          <w:szCs w:val="32"/>
        </w:rPr>
        <w:fldChar w:fldCharType="separate"/>
      </w:r>
      <w:r>
        <w:rPr>
          <w:color w:val="000000" w:themeColor="text1"/>
          <w:sz w:val="32"/>
          <w:szCs w:val="32"/>
        </w:rPr>
        <w:t>29</w:t>
      </w:r>
      <w:r>
        <w:rPr>
          <w:color w:val="000000" w:themeColor="text1"/>
          <w:sz w:val="32"/>
          <w:szCs w:val="32"/>
        </w:rPr>
        <w:fldChar w:fldCharType="end"/>
      </w:r>
      <w:r>
        <w:rPr>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"_Toc105669381" </w:instrText>
      </w:r>
      <w:r>
        <w:fldChar w:fldCharType="separate"/>
      </w:r>
      <w:r>
        <w:rPr>
          <w:rStyle w:val="29"/>
          <w:rFonts w:hint="eastAsia" w:ascii="仿宋_GB2312" w:hAnsi="仿宋_GB2312" w:cs="仿宋_GB2312"/>
          <w:bCs/>
          <w:color w:val="000000" w:themeColor="text1"/>
          <w:sz w:val="32"/>
          <w:szCs w:val="32"/>
        </w:rPr>
        <w:t>（二）全面开展水生态环境保护</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_Toc105669381 \h </w:instrText>
      </w:r>
      <w:r>
        <w:rPr>
          <w:color w:val="000000" w:themeColor="text1"/>
          <w:sz w:val="32"/>
          <w:szCs w:val="32"/>
        </w:rPr>
        <w:fldChar w:fldCharType="separate"/>
      </w:r>
      <w:r>
        <w:rPr>
          <w:color w:val="000000" w:themeColor="text1"/>
          <w:sz w:val="32"/>
          <w:szCs w:val="32"/>
        </w:rPr>
        <w:t>32</w:t>
      </w:r>
      <w:r>
        <w:rPr>
          <w:color w:val="000000" w:themeColor="text1"/>
          <w:sz w:val="32"/>
          <w:szCs w:val="32"/>
        </w:rPr>
        <w:fldChar w:fldCharType="end"/>
      </w:r>
      <w:r>
        <w:rPr>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"_Toc105669382" </w:instrText>
      </w:r>
      <w:r>
        <w:fldChar w:fldCharType="separate"/>
      </w:r>
      <w:r>
        <w:rPr>
          <w:rStyle w:val="29"/>
          <w:rFonts w:hint="eastAsia" w:ascii="仿宋_GB2312" w:hAnsi="仿宋_GB2312" w:cs="仿宋_GB2312"/>
          <w:bCs/>
          <w:color w:val="000000" w:themeColor="text1"/>
          <w:sz w:val="32"/>
          <w:szCs w:val="32"/>
        </w:rPr>
        <w:t>（三）切实加强土壤环境治理</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_Toc105669382 \h </w:instrText>
      </w:r>
      <w:r>
        <w:rPr>
          <w:color w:val="000000" w:themeColor="text1"/>
          <w:sz w:val="32"/>
          <w:szCs w:val="32"/>
        </w:rPr>
        <w:fldChar w:fldCharType="separate"/>
      </w:r>
      <w:r>
        <w:rPr>
          <w:color w:val="000000" w:themeColor="text1"/>
          <w:sz w:val="32"/>
          <w:szCs w:val="32"/>
        </w:rPr>
        <w:t>35</w:t>
      </w:r>
      <w:r>
        <w:rPr>
          <w:color w:val="000000" w:themeColor="text1"/>
          <w:sz w:val="32"/>
          <w:szCs w:val="32"/>
        </w:rPr>
        <w:fldChar w:fldCharType="end"/>
      </w:r>
      <w:r>
        <w:rPr>
          <w:color w:val="000000" w:themeColor="text1"/>
          <w:sz w:val="32"/>
          <w:szCs w:val="32"/>
        </w:rPr>
        <w:fldChar w:fldCharType="end"/>
      </w:r>
    </w:p>
    <w:p>
      <w:pPr>
        <w:pStyle w:val="22"/>
        <w:tabs>
          <w:tab w:val="right" w:leader="dot" w:pos="9000"/>
        </w:tabs>
        <w:ind w:left="0" w:leftChars="0" w:firstLine="600"/>
        <w:rPr>
          <w:rFonts w:eastAsia="方正楷体_GBK"/>
          <w:color w:val="000000" w:themeColor="text1"/>
          <w:sz w:val="32"/>
          <w:szCs w:val="32"/>
        </w:rPr>
      </w:pPr>
      <w:r>
        <w:fldChar w:fldCharType="begin"/>
      </w:r>
      <w:r>
        <w:instrText xml:space="preserve"> HYPERLINK \l "_Toc105669383" </w:instrText>
      </w:r>
      <w:r>
        <w:fldChar w:fldCharType="separate"/>
      </w:r>
      <w:r>
        <w:rPr>
          <w:rStyle w:val="29"/>
          <w:rFonts w:hint="eastAsia" w:ascii="仿宋_GB2312" w:hAnsi="仿宋_GB2312" w:cs="仿宋_GB2312"/>
          <w:bCs/>
          <w:color w:val="000000" w:themeColor="text1"/>
          <w:sz w:val="32"/>
          <w:szCs w:val="32"/>
        </w:rPr>
        <w:t>第五节　严格风险防控，守好生态环境安全线</w:t>
      </w:r>
      <w:r>
        <w:rPr>
          <w:rFonts w:eastAsia="方正楷体_GBK"/>
          <w:color w:val="000000" w:themeColor="text1"/>
          <w:sz w:val="32"/>
          <w:szCs w:val="32"/>
        </w:rPr>
        <w:tab/>
      </w:r>
      <w:r>
        <w:rPr>
          <w:rFonts w:eastAsia="方正楷体_GBK"/>
          <w:color w:val="000000" w:themeColor="text1"/>
          <w:sz w:val="32"/>
          <w:szCs w:val="32"/>
        </w:rPr>
        <w:fldChar w:fldCharType="begin"/>
      </w:r>
      <w:r>
        <w:rPr>
          <w:rFonts w:eastAsia="方正楷体_GBK"/>
          <w:color w:val="000000" w:themeColor="text1"/>
          <w:sz w:val="32"/>
          <w:szCs w:val="32"/>
        </w:rPr>
        <w:instrText xml:space="preserve"> PAGEREF _Toc105669383 \h </w:instrText>
      </w:r>
      <w:r>
        <w:rPr>
          <w:rFonts w:eastAsia="方正楷体_GBK"/>
          <w:color w:val="000000" w:themeColor="text1"/>
          <w:sz w:val="32"/>
          <w:szCs w:val="32"/>
        </w:rPr>
        <w:fldChar w:fldCharType="separate"/>
      </w:r>
      <w:r>
        <w:rPr>
          <w:rFonts w:eastAsia="方正楷体_GBK"/>
          <w:color w:val="000000" w:themeColor="text1"/>
          <w:sz w:val="32"/>
          <w:szCs w:val="32"/>
        </w:rPr>
        <w:t>38</w:t>
      </w:r>
      <w:r>
        <w:rPr>
          <w:rFonts w:eastAsia="方正楷体_GBK"/>
          <w:color w:val="000000" w:themeColor="text1"/>
          <w:sz w:val="32"/>
          <w:szCs w:val="32"/>
        </w:rPr>
        <w:fldChar w:fldCharType="end"/>
      </w:r>
      <w:r>
        <w:rPr>
          <w:rFonts w:eastAsia="方正楷体_GBK"/>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"_Toc105669384" </w:instrText>
      </w:r>
      <w:r>
        <w:fldChar w:fldCharType="separate"/>
      </w:r>
      <w:r>
        <w:rPr>
          <w:rStyle w:val="29"/>
          <w:rFonts w:hint="eastAsia" w:ascii="仿宋_GB2312" w:hAnsi="仿宋_GB2312" w:cs="仿宋_GB2312"/>
          <w:bCs/>
          <w:color w:val="000000" w:themeColor="text1"/>
          <w:sz w:val="32"/>
          <w:szCs w:val="32"/>
        </w:rPr>
        <w:t>（一）系统化环境风险防控体系建设</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_Toc105669384 \h </w:instrText>
      </w:r>
      <w:r>
        <w:rPr>
          <w:color w:val="000000" w:themeColor="text1"/>
          <w:sz w:val="32"/>
          <w:szCs w:val="32"/>
        </w:rPr>
        <w:fldChar w:fldCharType="separate"/>
      </w:r>
      <w:r>
        <w:rPr>
          <w:color w:val="000000" w:themeColor="text1"/>
          <w:sz w:val="32"/>
          <w:szCs w:val="32"/>
        </w:rPr>
        <w:t>38</w:t>
      </w:r>
      <w:r>
        <w:rPr>
          <w:color w:val="000000" w:themeColor="text1"/>
          <w:sz w:val="32"/>
          <w:szCs w:val="32"/>
        </w:rPr>
        <w:fldChar w:fldCharType="end"/>
      </w:r>
      <w:r>
        <w:rPr>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"_Toc105669385" </w:instrText>
      </w:r>
      <w:r>
        <w:fldChar w:fldCharType="separate"/>
      </w:r>
      <w:r>
        <w:rPr>
          <w:rStyle w:val="29"/>
          <w:rFonts w:hint="eastAsia" w:ascii="仿宋_GB2312" w:hAnsi="仿宋_GB2312" w:cs="仿宋_GB2312"/>
          <w:bCs/>
          <w:color w:val="000000" w:themeColor="text1"/>
          <w:sz w:val="32"/>
          <w:szCs w:val="32"/>
        </w:rPr>
        <w:t>（二）精细化工业固废风险防控工作</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_Toc105669385 \h </w:instrText>
      </w:r>
      <w:r>
        <w:rPr>
          <w:color w:val="000000" w:themeColor="text1"/>
          <w:sz w:val="32"/>
          <w:szCs w:val="32"/>
        </w:rPr>
        <w:fldChar w:fldCharType="separate"/>
      </w:r>
      <w:r>
        <w:rPr>
          <w:color w:val="000000" w:themeColor="text1"/>
          <w:sz w:val="32"/>
          <w:szCs w:val="32"/>
        </w:rPr>
        <w:t>39</w:t>
      </w:r>
      <w:r>
        <w:rPr>
          <w:color w:val="000000" w:themeColor="text1"/>
          <w:sz w:val="32"/>
          <w:szCs w:val="32"/>
        </w:rPr>
        <w:fldChar w:fldCharType="end"/>
      </w:r>
      <w:r>
        <w:rPr>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"_Toc105669386" </w:instrText>
      </w:r>
      <w:r>
        <w:fldChar w:fldCharType="separate"/>
      </w:r>
      <w:r>
        <w:rPr>
          <w:rStyle w:val="29"/>
          <w:rFonts w:hint="eastAsia" w:ascii="仿宋_GB2312" w:hAnsi="仿宋_GB2312" w:cs="仿宋_GB2312"/>
          <w:bCs/>
          <w:color w:val="000000" w:themeColor="text1"/>
          <w:sz w:val="32"/>
          <w:szCs w:val="32"/>
        </w:rPr>
        <w:t>（三）常态化危废及化学品风险防范</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_Toc105669386 \h </w:instrText>
      </w:r>
      <w:r>
        <w:rPr>
          <w:color w:val="000000" w:themeColor="text1"/>
          <w:sz w:val="32"/>
          <w:szCs w:val="32"/>
        </w:rPr>
        <w:fldChar w:fldCharType="separate"/>
      </w:r>
      <w:r>
        <w:rPr>
          <w:color w:val="000000" w:themeColor="text1"/>
          <w:sz w:val="32"/>
          <w:szCs w:val="32"/>
        </w:rPr>
        <w:t>41</w:t>
      </w:r>
      <w:r>
        <w:rPr>
          <w:color w:val="000000" w:themeColor="text1"/>
          <w:sz w:val="32"/>
          <w:szCs w:val="32"/>
        </w:rPr>
        <w:fldChar w:fldCharType="end"/>
      </w:r>
      <w:r>
        <w:rPr>
          <w:color w:val="000000" w:themeColor="text1"/>
          <w:sz w:val="32"/>
          <w:szCs w:val="32"/>
        </w:rPr>
        <w:fldChar w:fldCharType="end"/>
      </w:r>
    </w:p>
    <w:p>
      <w:pPr>
        <w:pStyle w:val="22"/>
        <w:tabs>
          <w:tab w:val="right" w:leader="dot" w:pos="9000"/>
        </w:tabs>
        <w:ind w:left="0" w:leftChars="0" w:firstLine="600"/>
        <w:rPr>
          <w:rFonts w:eastAsia="方正楷体_GBK"/>
          <w:color w:val="000000" w:themeColor="text1"/>
          <w:sz w:val="32"/>
          <w:szCs w:val="32"/>
        </w:rPr>
      </w:pPr>
      <w:r>
        <w:fldChar w:fldCharType="begin"/>
      </w:r>
      <w:r>
        <w:instrText xml:space="preserve"> HYPERLINK \l "_Toc105669387" </w:instrText>
      </w:r>
      <w:r>
        <w:fldChar w:fldCharType="separate"/>
      </w:r>
      <w:r>
        <w:rPr>
          <w:rStyle w:val="29"/>
          <w:rFonts w:hint="eastAsia" w:ascii="仿宋_GB2312" w:hAnsi="仿宋_GB2312" w:cs="仿宋_GB2312"/>
          <w:bCs/>
          <w:color w:val="000000" w:themeColor="text1"/>
          <w:sz w:val="32"/>
          <w:szCs w:val="32"/>
        </w:rPr>
        <w:t>第六节　促进两山转化，打造生态宜居公园城</w:t>
      </w:r>
      <w:r>
        <w:rPr>
          <w:rFonts w:eastAsia="方正楷体_GBK"/>
          <w:color w:val="000000" w:themeColor="text1"/>
          <w:sz w:val="32"/>
          <w:szCs w:val="32"/>
        </w:rPr>
        <w:tab/>
      </w:r>
      <w:r>
        <w:rPr>
          <w:rFonts w:eastAsia="方正楷体_GBK"/>
          <w:color w:val="000000" w:themeColor="text1"/>
          <w:sz w:val="32"/>
          <w:szCs w:val="32"/>
        </w:rPr>
        <w:fldChar w:fldCharType="begin"/>
      </w:r>
      <w:r>
        <w:rPr>
          <w:rFonts w:eastAsia="方正楷体_GBK"/>
          <w:color w:val="000000" w:themeColor="text1"/>
          <w:sz w:val="32"/>
          <w:szCs w:val="32"/>
        </w:rPr>
        <w:instrText xml:space="preserve"> PAGEREF _Toc105669387 \h </w:instrText>
      </w:r>
      <w:r>
        <w:rPr>
          <w:rFonts w:eastAsia="方正楷体_GBK"/>
          <w:color w:val="000000" w:themeColor="text1"/>
          <w:sz w:val="32"/>
          <w:szCs w:val="32"/>
        </w:rPr>
        <w:fldChar w:fldCharType="separate"/>
      </w:r>
      <w:r>
        <w:rPr>
          <w:rFonts w:eastAsia="方正楷体_GBK"/>
          <w:color w:val="000000" w:themeColor="text1"/>
          <w:sz w:val="32"/>
          <w:szCs w:val="32"/>
        </w:rPr>
        <w:t>43</w:t>
      </w:r>
      <w:r>
        <w:rPr>
          <w:rFonts w:eastAsia="方正楷体_GBK"/>
          <w:color w:val="000000" w:themeColor="text1"/>
          <w:sz w:val="32"/>
          <w:szCs w:val="32"/>
        </w:rPr>
        <w:fldChar w:fldCharType="end"/>
      </w:r>
      <w:r>
        <w:rPr>
          <w:rFonts w:eastAsia="方正楷体_GBK"/>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"_Toc105669388" </w:instrText>
      </w:r>
      <w:r>
        <w:fldChar w:fldCharType="separate"/>
      </w:r>
      <w:r>
        <w:rPr>
          <w:rStyle w:val="29"/>
          <w:rFonts w:hint="eastAsia" w:ascii="仿宋_GB2312" w:hAnsi="仿宋_GB2312" w:cs="仿宋_GB2312"/>
          <w:bCs/>
          <w:color w:val="000000" w:themeColor="text1"/>
          <w:sz w:val="32"/>
          <w:szCs w:val="32"/>
        </w:rPr>
        <w:t>（一）积极构建山水融合格局</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_Toc105669388 \h </w:instrText>
      </w:r>
      <w:r>
        <w:rPr>
          <w:color w:val="000000" w:themeColor="text1"/>
          <w:sz w:val="32"/>
          <w:szCs w:val="32"/>
        </w:rPr>
        <w:fldChar w:fldCharType="separate"/>
      </w:r>
      <w:r>
        <w:rPr>
          <w:color w:val="000000" w:themeColor="text1"/>
          <w:sz w:val="32"/>
          <w:szCs w:val="32"/>
        </w:rPr>
        <w:t>43</w:t>
      </w:r>
      <w:r>
        <w:rPr>
          <w:color w:val="000000" w:themeColor="text1"/>
          <w:sz w:val="32"/>
          <w:szCs w:val="32"/>
        </w:rPr>
        <w:fldChar w:fldCharType="end"/>
      </w:r>
      <w:r>
        <w:rPr>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"_Toc105669389" </w:instrText>
      </w:r>
      <w:r>
        <w:fldChar w:fldCharType="separate"/>
      </w:r>
      <w:r>
        <w:rPr>
          <w:rStyle w:val="29"/>
          <w:rFonts w:hint="eastAsia" w:ascii="仿宋_GB2312" w:hAnsi="仿宋_GB2312" w:cs="仿宋_GB2312"/>
          <w:bCs/>
          <w:color w:val="000000" w:themeColor="text1"/>
          <w:sz w:val="32"/>
          <w:szCs w:val="32"/>
        </w:rPr>
        <w:t>（二）加快宜居城市宜人建设</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_Toc105669389 \h </w:instrText>
      </w:r>
      <w:r>
        <w:rPr>
          <w:color w:val="000000" w:themeColor="text1"/>
          <w:sz w:val="32"/>
          <w:szCs w:val="32"/>
        </w:rPr>
        <w:fldChar w:fldCharType="separate"/>
      </w:r>
      <w:r>
        <w:rPr>
          <w:color w:val="000000" w:themeColor="text1"/>
          <w:sz w:val="32"/>
          <w:szCs w:val="32"/>
        </w:rPr>
        <w:t>43</w:t>
      </w:r>
      <w:r>
        <w:rPr>
          <w:color w:val="000000" w:themeColor="text1"/>
          <w:sz w:val="32"/>
          <w:szCs w:val="32"/>
        </w:rPr>
        <w:fldChar w:fldCharType="end"/>
      </w:r>
      <w:r>
        <w:rPr>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"_Toc105669390" </w:instrText>
      </w:r>
      <w:r>
        <w:fldChar w:fldCharType="separate"/>
      </w:r>
      <w:r>
        <w:rPr>
          <w:rStyle w:val="29"/>
          <w:rFonts w:hint="eastAsia" w:ascii="仿宋_GB2312" w:hAnsi="仿宋_GB2312" w:cs="仿宋_GB2312"/>
          <w:bCs/>
          <w:color w:val="000000" w:themeColor="text1"/>
          <w:sz w:val="32"/>
          <w:szCs w:val="32"/>
        </w:rPr>
        <w:t>（三）促进生态价值高效转化</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_Toc105669390 \h </w:instrText>
      </w:r>
      <w:r>
        <w:rPr>
          <w:color w:val="000000" w:themeColor="text1"/>
          <w:sz w:val="32"/>
          <w:szCs w:val="32"/>
        </w:rPr>
        <w:fldChar w:fldCharType="separate"/>
      </w:r>
      <w:r>
        <w:rPr>
          <w:color w:val="000000" w:themeColor="text1"/>
          <w:sz w:val="32"/>
          <w:szCs w:val="32"/>
        </w:rPr>
        <w:t>45</w:t>
      </w:r>
      <w:r>
        <w:rPr>
          <w:color w:val="000000" w:themeColor="text1"/>
          <w:sz w:val="32"/>
          <w:szCs w:val="32"/>
        </w:rPr>
        <w:fldChar w:fldCharType="end"/>
      </w:r>
      <w:r>
        <w:rPr>
          <w:color w:val="000000" w:themeColor="text1"/>
          <w:sz w:val="32"/>
          <w:szCs w:val="32"/>
        </w:rPr>
        <w:fldChar w:fldCharType="end"/>
      </w:r>
    </w:p>
    <w:p>
      <w:pPr>
        <w:pStyle w:val="22"/>
        <w:tabs>
          <w:tab w:val="right" w:leader="dot" w:pos="9000"/>
        </w:tabs>
        <w:ind w:left="0" w:leftChars="0" w:firstLine="600"/>
        <w:rPr>
          <w:rFonts w:eastAsia="方正楷体_GBK"/>
          <w:color w:val="000000" w:themeColor="text1"/>
          <w:sz w:val="32"/>
          <w:szCs w:val="32"/>
        </w:rPr>
      </w:pPr>
      <w:r>
        <w:fldChar w:fldCharType="begin"/>
      </w:r>
      <w:r>
        <w:instrText xml:space="preserve"> HYPERLINK \l "_Toc105669391" </w:instrText>
      </w:r>
      <w:r>
        <w:fldChar w:fldCharType="separate"/>
      </w:r>
      <w:r>
        <w:rPr>
          <w:rStyle w:val="29"/>
          <w:rFonts w:hint="eastAsia" w:ascii="仿宋_GB2312" w:hAnsi="仿宋_GB2312" w:cs="仿宋_GB2312"/>
          <w:bCs/>
          <w:color w:val="000000" w:themeColor="text1"/>
          <w:sz w:val="32"/>
          <w:szCs w:val="32"/>
        </w:rPr>
        <w:t>第七节　完善体系建设，统筹共建“大环保”格局</w:t>
      </w:r>
      <w:r>
        <w:rPr>
          <w:rFonts w:eastAsia="方正楷体_GBK"/>
          <w:color w:val="000000" w:themeColor="text1"/>
          <w:sz w:val="32"/>
          <w:szCs w:val="32"/>
        </w:rPr>
        <w:tab/>
      </w:r>
      <w:r>
        <w:rPr>
          <w:rFonts w:eastAsia="方正楷体_GBK"/>
          <w:color w:val="000000" w:themeColor="text1"/>
          <w:sz w:val="32"/>
          <w:szCs w:val="32"/>
        </w:rPr>
        <w:fldChar w:fldCharType="begin"/>
      </w:r>
      <w:r>
        <w:rPr>
          <w:rFonts w:eastAsia="方正楷体_GBK"/>
          <w:color w:val="000000" w:themeColor="text1"/>
          <w:sz w:val="32"/>
          <w:szCs w:val="32"/>
        </w:rPr>
        <w:instrText xml:space="preserve"> PAGEREF _Toc105669391 \h </w:instrText>
      </w:r>
      <w:r>
        <w:rPr>
          <w:rFonts w:eastAsia="方正楷体_GBK"/>
          <w:color w:val="000000" w:themeColor="text1"/>
          <w:sz w:val="32"/>
          <w:szCs w:val="32"/>
        </w:rPr>
        <w:fldChar w:fldCharType="separate"/>
      </w:r>
      <w:r>
        <w:rPr>
          <w:rFonts w:eastAsia="方正楷体_GBK"/>
          <w:color w:val="000000" w:themeColor="text1"/>
          <w:sz w:val="32"/>
          <w:szCs w:val="32"/>
        </w:rPr>
        <w:t>46</w:t>
      </w:r>
      <w:r>
        <w:rPr>
          <w:rFonts w:eastAsia="方正楷体_GBK"/>
          <w:color w:val="000000" w:themeColor="text1"/>
          <w:sz w:val="32"/>
          <w:szCs w:val="32"/>
        </w:rPr>
        <w:fldChar w:fldCharType="end"/>
      </w:r>
      <w:r>
        <w:rPr>
          <w:rFonts w:eastAsia="方正楷体_GBK"/>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"_Toc105669392" </w:instrText>
      </w:r>
      <w:r>
        <w:fldChar w:fldCharType="separate"/>
      </w:r>
      <w:r>
        <w:rPr>
          <w:rStyle w:val="29"/>
          <w:rFonts w:hint="eastAsia" w:ascii="仿宋_GB2312" w:hAnsi="仿宋_GB2312" w:cs="仿宋_GB2312"/>
          <w:bCs/>
          <w:color w:val="000000" w:themeColor="text1"/>
          <w:sz w:val="32"/>
          <w:szCs w:val="32"/>
        </w:rPr>
        <w:t>（一）持续完善环境保护管理</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_Toc105669392 \h </w:instrText>
      </w:r>
      <w:r>
        <w:rPr>
          <w:color w:val="000000" w:themeColor="text1"/>
          <w:sz w:val="32"/>
          <w:szCs w:val="32"/>
        </w:rPr>
        <w:fldChar w:fldCharType="separate"/>
      </w:r>
      <w:r>
        <w:rPr>
          <w:color w:val="000000" w:themeColor="text1"/>
          <w:sz w:val="32"/>
          <w:szCs w:val="32"/>
        </w:rPr>
        <w:t>46</w:t>
      </w:r>
      <w:r>
        <w:rPr>
          <w:color w:val="000000" w:themeColor="text1"/>
          <w:sz w:val="32"/>
          <w:szCs w:val="32"/>
        </w:rPr>
        <w:fldChar w:fldCharType="end"/>
      </w:r>
      <w:r>
        <w:rPr>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"_Toc105669393" </w:instrText>
      </w:r>
      <w:r>
        <w:fldChar w:fldCharType="separate"/>
      </w:r>
      <w:r>
        <w:rPr>
          <w:rStyle w:val="29"/>
          <w:rFonts w:hint="eastAsia" w:ascii="仿宋_GB2312" w:hAnsi="仿宋_GB2312" w:cs="仿宋_GB2312"/>
          <w:bCs/>
          <w:color w:val="000000" w:themeColor="text1"/>
          <w:sz w:val="32"/>
          <w:szCs w:val="32"/>
        </w:rPr>
        <w:t>（二）加快健全环境保护体系</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_Toc105669393 \h </w:instrText>
      </w:r>
      <w:r>
        <w:rPr>
          <w:color w:val="000000" w:themeColor="text1"/>
          <w:sz w:val="32"/>
          <w:szCs w:val="32"/>
        </w:rPr>
        <w:fldChar w:fldCharType="separate"/>
      </w:r>
      <w:r>
        <w:rPr>
          <w:color w:val="000000" w:themeColor="text1"/>
          <w:sz w:val="32"/>
          <w:szCs w:val="32"/>
        </w:rPr>
        <w:t>47</w:t>
      </w:r>
      <w:r>
        <w:rPr>
          <w:color w:val="000000" w:themeColor="text1"/>
          <w:sz w:val="32"/>
          <w:szCs w:val="32"/>
        </w:rPr>
        <w:fldChar w:fldCharType="end"/>
      </w:r>
      <w:r>
        <w:rPr>
          <w:color w:val="000000" w:themeColor="text1"/>
          <w:sz w:val="32"/>
          <w:szCs w:val="32"/>
        </w:rPr>
        <w:fldChar w:fldCharType="end"/>
      </w:r>
    </w:p>
    <w:p>
      <w:pPr>
        <w:pStyle w:val="16"/>
        <w:tabs>
          <w:tab w:val="right" w:leader="dot" w:pos="9000"/>
        </w:tabs>
        <w:ind w:left="0" w:leftChars="0" w:firstLine="1200" w:firstLineChars="400"/>
        <w:rPr>
          <w:rFonts w:eastAsiaTheme="minorEastAsia"/>
          <w:color w:val="000000" w:themeColor="text1"/>
          <w:sz w:val="32"/>
          <w:szCs w:val="32"/>
        </w:rPr>
      </w:pPr>
      <w:r>
        <w:fldChar w:fldCharType="begin"/>
      </w:r>
      <w:r>
        <w:instrText xml:space="preserve"> HYPERLINK \l "_Toc105669394" </w:instrText>
      </w:r>
      <w:r>
        <w:fldChar w:fldCharType="separate"/>
      </w:r>
      <w:r>
        <w:rPr>
          <w:rStyle w:val="29"/>
          <w:rFonts w:hint="eastAsia" w:ascii="仿宋_GB2312" w:hAnsi="仿宋_GB2312" w:cs="仿宋_GB2312"/>
          <w:bCs/>
          <w:color w:val="000000" w:themeColor="text1"/>
          <w:sz w:val="32"/>
          <w:szCs w:val="32"/>
        </w:rPr>
        <w:t>（三）有序推进绿色智慧治理</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_Toc105669394 \h </w:instrText>
      </w:r>
      <w:r>
        <w:rPr>
          <w:color w:val="000000" w:themeColor="text1"/>
          <w:sz w:val="32"/>
          <w:szCs w:val="32"/>
        </w:rPr>
        <w:fldChar w:fldCharType="separate"/>
      </w:r>
      <w:r>
        <w:rPr>
          <w:color w:val="000000" w:themeColor="text1"/>
          <w:sz w:val="32"/>
          <w:szCs w:val="32"/>
        </w:rPr>
        <w:t>49</w:t>
      </w:r>
      <w:r>
        <w:rPr>
          <w:color w:val="000000" w:themeColor="text1"/>
          <w:sz w:val="32"/>
          <w:szCs w:val="32"/>
        </w:rPr>
        <w:fldChar w:fldCharType="end"/>
      </w:r>
      <w:r>
        <w:rPr>
          <w:color w:val="000000" w:themeColor="text1"/>
          <w:sz w:val="32"/>
          <w:szCs w:val="32"/>
        </w:rPr>
        <w:fldChar w:fldCharType="end"/>
      </w:r>
    </w:p>
    <w:p>
      <w:pPr>
        <w:pStyle w:val="20"/>
        <w:tabs>
          <w:tab w:val="right" w:leader="dot" w:pos="9000"/>
          <w:tab w:val="clear" w:pos="8296"/>
        </w:tabs>
        <w:ind w:firstLine="0" w:firstLineChars="0"/>
        <w:rPr>
          <w:rFonts w:eastAsia="方正黑体简体"/>
          <w:b w:val="0"/>
          <w:bCs w:val="0"/>
          <w:color w:val="000000" w:themeColor="text1"/>
          <w:sz w:val="32"/>
          <w:szCs w:val="32"/>
        </w:rPr>
      </w:pPr>
      <w:r>
        <w:fldChar w:fldCharType="begin"/>
      </w:r>
      <w:r>
        <w:instrText xml:space="preserve"> HYPERLINK \l "_Toc105669395" </w:instrText>
      </w:r>
      <w:r>
        <w:fldChar w:fldCharType="separate"/>
      </w:r>
      <w:r>
        <w:rPr>
          <w:rStyle w:val="29"/>
          <w:rFonts w:hint="eastAsia" w:ascii="仿宋_GB2312" w:hAnsi="仿宋_GB2312" w:eastAsia="仿宋_GB2312" w:cs="仿宋_GB2312"/>
          <w:b w:val="0"/>
          <w:color w:val="000000" w:themeColor="text1"/>
          <w:sz w:val="32"/>
          <w:szCs w:val="32"/>
        </w:rPr>
        <w:t>第四章　保障措施</w:t>
      </w:r>
      <w:r>
        <w:rPr>
          <w:rFonts w:eastAsia="方正黑体简体"/>
          <w:b w:val="0"/>
          <w:color w:val="000000" w:themeColor="text1"/>
          <w:sz w:val="32"/>
          <w:szCs w:val="32"/>
        </w:rPr>
        <w:tab/>
      </w:r>
      <w:r>
        <w:rPr>
          <w:rFonts w:eastAsia="方正黑体简体"/>
          <w:b w:val="0"/>
          <w:color w:val="000000" w:themeColor="text1"/>
          <w:sz w:val="32"/>
          <w:szCs w:val="32"/>
        </w:rPr>
        <w:fldChar w:fldCharType="begin"/>
      </w:r>
      <w:r>
        <w:rPr>
          <w:rFonts w:eastAsia="方正黑体简体"/>
          <w:b w:val="0"/>
          <w:color w:val="000000" w:themeColor="text1"/>
          <w:sz w:val="32"/>
          <w:szCs w:val="32"/>
        </w:rPr>
        <w:instrText xml:space="preserve"> PAGEREF _Toc105669395 \h </w:instrText>
      </w:r>
      <w:r>
        <w:rPr>
          <w:rFonts w:eastAsia="方正黑体简体"/>
          <w:b w:val="0"/>
          <w:color w:val="000000" w:themeColor="text1"/>
          <w:sz w:val="32"/>
          <w:szCs w:val="32"/>
        </w:rPr>
        <w:fldChar w:fldCharType="separate"/>
      </w:r>
      <w:r>
        <w:rPr>
          <w:rFonts w:eastAsia="方正黑体简体"/>
          <w:b w:val="0"/>
          <w:color w:val="000000" w:themeColor="text1"/>
          <w:sz w:val="32"/>
          <w:szCs w:val="32"/>
        </w:rPr>
        <w:t>50</w:t>
      </w:r>
      <w:r>
        <w:rPr>
          <w:rFonts w:eastAsia="方正黑体简体"/>
          <w:b w:val="0"/>
          <w:color w:val="000000" w:themeColor="text1"/>
          <w:sz w:val="32"/>
          <w:szCs w:val="32"/>
        </w:rPr>
        <w:fldChar w:fldCharType="end"/>
      </w:r>
      <w:r>
        <w:rPr>
          <w:rFonts w:eastAsia="方正黑体简体"/>
          <w:b w:val="0"/>
          <w:color w:val="000000" w:themeColor="text1"/>
          <w:sz w:val="32"/>
          <w:szCs w:val="32"/>
        </w:rPr>
        <w:fldChar w:fldCharType="end"/>
      </w:r>
    </w:p>
    <w:p>
      <w:pPr>
        <w:pStyle w:val="22"/>
        <w:tabs>
          <w:tab w:val="right" w:leader="dot" w:pos="9000"/>
        </w:tabs>
        <w:ind w:left="0" w:leftChars="0" w:firstLine="600"/>
        <w:rPr>
          <w:rFonts w:eastAsia="黑体"/>
          <w:color w:val="000000" w:themeColor="text1"/>
          <w:sz w:val="32"/>
          <w:szCs w:val="32"/>
        </w:rPr>
      </w:pPr>
      <w:r>
        <w:fldChar w:fldCharType="begin"/>
      </w:r>
      <w:r>
        <w:instrText xml:space="preserve"> HYPERLINK \l "_Toc105669396" </w:instrText>
      </w:r>
      <w:r>
        <w:fldChar w:fldCharType="separate"/>
      </w:r>
      <w:r>
        <w:rPr>
          <w:rStyle w:val="29"/>
          <w:rFonts w:ascii="仿宋_GB2312" w:hAnsi="仿宋_GB2312" w:cs="仿宋_GB2312"/>
          <w:bCs/>
          <w:color w:val="000000" w:themeColor="text1"/>
          <w:sz w:val="32"/>
          <w:szCs w:val="32"/>
        </w:rPr>
        <w:t>第一节　加强组织保障</w:t>
      </w:r>
      <w:r>
        <w:rPr>
          <w:rFonts w:eastAsia="黑体"/>
          <w:color w:val="000000" w:themeColor="text1"/>
          <w:sz w:val="32"/>
          <w:szCs w:val="32"/>
        </w:rPr>
        <w:tab/>
      </w:r>
      <w:r>
        <w:rPr>
          <w:rFonts w:eastAsia="黑体"/>
          <w:color w:val="000000" w:themeColor="text1"/>
          <w:sz w:val="32"/>
          <w:szCs w:val="32"/>
        </w:rPr>
        <w:fldChar w:fldCharType="end"/>
      </w:r>
      <w:r>
        <w:rPr>
          <w:rFonts w:eastAsia="黑体"/>
          <w:color w:val="000000" w:themeColor="text1"/>
          <w:sz w:val="32"/>
          <w:szCs w:val="32"/>
        </w:rPr>
        <w:t>45</w:t>
      </w:r>
    </w:p>
    <w:p>
      <w:pPr>
        <w:pStyle w:val="22"/>
        <w:tabs>
          <w:tab w:val="right" w:leader="dot" w:pos="9000"/>
        </w:tabs>
        <w:ind w:left="0" w:leftChars="0" w:firstLine="600"/>
        <w:rPr>
          <w:rFonts w:eastAsia="黑体"/>
          <w:color w:val="000000" w:themeColor="text1"/>
          <w:sz w:val="32"/>
          <w:szCs w:val="32"/>
        </w:rPr>
      </w:pPr>
      <w:r>
        <w:fldChar w:fldCharType="begin"/>
      </w:r>
      <w:r>
        <w:instrText xml:space="preserve"> HYPERLINK \l "_Toc105669397" </w:instrText>
      </w:r>
      <w:r>
        <w:fldChar w:fldCharType="separate"/>
      </w:r>
      <w:r>
        <w:rPr>
          <w:rStyle w:val="29"/>
          <w:rFonts w:ascii="仿宋_GB2312" w:hAnsi="仿宋_GB2312" w:cs="仿宋_GB2312"/>
          <w:bCs/>
          <w:color w:val="000000" w:themeColor="text1"/>
          <w:sz w:val="32"/>
          <w:szCs w:val="32"/>
        </w:rPr>
        <w:t>第二节　加大资金投入</w:t>
      </w:r>
      <w:r>
        <w:rPr>
          <w:rFonts w:eastAsia="黑体"/>
          <w:color w:val="000000" w:themeColor="text1"/>
          <w:sz w:val="32"/>
          <w:szCs w:val="32"/>
        </w:rPr>
        <w:tab/>
      </w:r>
      <w:r>
        <w:rPr>
          <w:rFonts w:eastAsia="黑体"/>
          <w:color w:val="000000" w:themeColor="text1"/>
          <w:sz w:val="32"/>
          <w:szCs w:val="32"/>
        </w:rPr>
        <w:fldChar w:fldCharType="end"/>
      </w:r>
      <w:r>
        <w:rPr>
          <w:rFonts w:eastAsia="黑体"/>
          <w:color w:val="000000" w:themeColor="text1"/>
          <w:sz w:val="32"/>
          <w:szCs w:val="32"/>
        </w:rPr>
        <w:t>45</w:t>
      </w:r>
    </w:p>
    <w:p>
      <w:pPr>
        <w:pStyle w:val="22"/>
        <w:tabs>
          <w:tab w:val="right" w:leader="dot" w:pos="9000"/>
        </w:tabs>
        <w:ind w:left="0" w:leftChars="0" w:firstLine="600"/>
        <w:rPr>
          <w:rFonts w:eastAsia="黑体"/>
          <w:color w:val="000000" w:themeColor="text1"/>
          <w:sz w:val="32"/>
          <w:szCs w:val="32"/>
        </w:rPr>
      </w:pPr>
      <w:r>
        <w:fldChar w:fldCharType="begin"/>
      </w:r>
      <w:r>
        <w:instrText xml:space="preserve"> HYPERLINK \l "_Toc105669398" </w:instrText>
      </w:r>
      <w:r>
        <w:fldChar w:fldCharType="separate"/>
      </w:r>
      <w:r>
        <w:rPr>
          <w:rStyle w:val="29"/>
          <w:rFonts w:ascii="仿宋_GB2312" w:hAnsi="仿宋_GB2312" w:cs="仿宋_GB2312"/>
          <w:bCs/>
          <w:color w:val="000000" w:themeColor="text1"/>
          <w:sz w:val="32"/>
          <w:szCs w:val="32"/>
        </w:rPr>
        <w:t>第三节　深化公众参与</w:t>
      </w:r>
      <w:r>
        <w:rPr>
          <w:rFonts w:eastAsia="黑体"/>
          <w:color w:val="000000" w:themeColor="text1"/>
          <w:sz w:val="32"/>
          <w:szCs w:val="32"/>
        </w:rPr>
        <w:tab/>
      </w:r>
      <w:r>
        <w:rPr>
          <w:rFonts w:eastAsia="黑体"/>
          <w:color w:val="000000" w:themeColor="text1"/>
          <w:sz w:val="32"/>
          <w:szCs w:val="32"/>
        </w:rPr>
        <w:fldChar w:fldCharType="end"/>
      </w:r>
      <w:r>
        <w:rPr>
          <w:rFonts w:eastAsia="黑体"/>
          <w:color w:val="000000" w:themeColor="text1"/>
          <w:sz w:val="32"/>
          <w:szCs w:val="32"/>
        </w:rPr>
        <w:t>46</w:t>
      </w:r>
    </w:p>
    <w:p>
      <w:pPr>
        <w:pStyle w:val="22"/>
        <w:tabs>
          <w:tab w:val="right" w:leader="dot" w:pos="9000"/>
        </w:tabs>
        <w:ind w:left="0" w:leftChars="0" w:firstLine="600"/>
        <w:rPr>
          <w:rFonts w:eastAsia="黑体"/>
          <w:color w:val="000000" w:themeColor="text1"/>
          <w:sz w:val="32"/>
          <w:szCs w:val="32"/>
        </w:rPr>
      </w:pPr>
      <w:r>
        <w:fldChar w:fldCharType="begin"/>
      </w:r>
      <w:r>
        <w:instrText xml:space="preserve"> HYPERLINK \l "_Toc105669399" </w:instrText>
      </w:r>
      <w:r>
        <w:fldChar w:fldCharType="separate"/>
      </w:r>
      <w:r>
        <w:rPr>
          <w:rStyle w:val="29"/>
          <w:rFonts w:ascii="仿宋_GB2312" w:hAnsi="仿宋_GB2312" w:cs="仿宋_GB2312"/>
          <w:bCs/>
          <w:color w:val="000000" w:themeColor="text1"/>
          <w:sz w:val="32"/>
          <w:szCs w:val="32"/>
        </w:rPr>
        <w:t>第四节　严格目标考核</w:t>
      </w:r>
      <w:r>
        <w:rPr>
          <w:rFonts w:eastAsia="黑体"/>
          <w:color w:val="000000" w:themeColor="text1"/>
          <w:sz w:val="32"/>
          <w:szCs w:val="32"/>
        </w:rPr>
        <w:tab/>
      </w:r>
      <w:r>
        <w:rPr>
          <w:rFonts w:eastAsia="黑体"/>
          <w:color w:val="000000" w:themeColor="text1"/>
          <w:sz w:val="32"/>
          <w:szCs w:val="32"/>
        </w:rPr>
        <w:fldChar w:fldCharType="end"/>
      </w:r>
      <w:r>
        <w:rPr>
          <w:rFonts w:eastAsia="黑体"/>
          <w:color w:val="000000" w:themeColor="text1"/>
          <w:sz w:val="32"/>
          <w:szCs w:val="32"/>
        </w:rPr>
        <w:t>46</w:t>
      </w:r>
    </w:p>
    <w:p>
      <w:pPr>
        <w:pStyle w:val="20"/>
        <w:tabs>
          <w:tab w:val="right" w:leader="dot" w:pos="9000"/>
          <w:tab w:val="clear" w:pos="8296"/>
        </w:tabs>
        <w:ind w:firstLine="0" w:firstLineChars="0"/>
        <w:rPr>
          <w:rStyle w:val="29"/>
          <w:rFonts w:eastAsia="黑体"/>
          <w:b w:val="0"/>
          <w:color w:val="000000" w:themeColor="text1"/>
          <w:sz w:val="32"/>
          <w:szCs w:val="32"/>
        </w:rPr>
      </w:pPr>
      <w:r>
        <w:fldChar w:fldCharType="begin"/>
      </w:r>
      <w:r>
        <w:instrText xml:space="preserve"> HYPERLINK \l "_Toc105669400" </w:instrText>
      </w:r>
      <w:r>
        <w:fldChar w:fldCharType="separate"/>
      </w:r>
      <w:r>
        <w:rPr>
          <w:rStyle w:val="29"/>
          <w:rFonts w:ascii="仿宋_GB2312" w:hAnsi="仿宋_GB2312" w:eastAsia="仿宋_GB2312" w:cs="仿宋_GB2312"/>
          <w:b w:val="0"/>
          <w:color w:val="000000" w:themeColor="text1"/>
          <w:sz w:val="32"/>
          <w:szCs w:val="32"/>
        </w:rPr>
        <w:t>附表　东区“十四五”生态</w:t>
      </w:r>
      <w:r>
        <w:rPr>
          <w:rStyle w:val="29"/>
          <w:rFonts w:hint="eastAsia" w:ascii="仿宋_GB2312" w:hAnsi="仿宋_GB2312" w:eastAsia="仿宋_GB2312" w:cs="仿宋_GB2312"/>
          <w:b w:val="0"/>
          <w:color w:val="000000" w:themeColor="text1"/>
          <w:sz w:val="32"/>
          <w:szCs w:val="32"/>
        </w:rPr>
        <w:t>环</w:t>
      </w:r>
      <w:r>
        <w:rPr>
          <w:rStyle w:val="29"/>
          <w:rFonts w:ascii="仿宋_GB2312" w:hAnsi="仿宋_GB2312" w:eastAsia="仿宋_GB2312" w:cs="仿宋_GB2312"/>
          <w:b w:val="0"/>
          <w:color w:val="000000" w:themeColor="text1"/>
          <w:sz w:val="32"/>
          <w:szCs w:val="32"/>
        </w:rPr>
        <w:t>境保护规划重大项目表</w:t>
      </w:r>
      <w:r>
        <w:rPr>
          <w:rStyle w:val="29"/>
          <w:rFonts w:eastAsia="黑体"/>
          <w:b w:val="0"/>
          <w:color w:val="000000" w:themeColor="text1"/>
          <w:sz w:val="32"/>
          <w:szCs w:val="32"/>
        </w:rPr>
        <w:tab/>
      </w:r>
      <w:r>
        <w:rPr>
          <w:rStyle w:val="29"/>
          <w:rFonts w:eastAsia="黑体"/>
          <w:b w:val="0"/>
          <w:color w:val="000000" w:themeColor="text1"/>
          <w:sz w:val="32"/>
          <w:szCs w:val="32"/>
        </w:rPr>
        <w:fldChar w:fldCharType="begin"/>
      </w:r>
      <w:r>
        <w:rPr>
          <w:rStyle w:val="29"/>
          <w:rFonts w:eastAsia="黑体"/>
          <w:b w:val="0"/>
          <w:color w:val="000000" w:themeColor="text1"/>
          <w:sz w:val="32"/>
          <w:szCs w:val="32"/>
        </w:rPr>
        <w:instrText xml:space="preserve"> PAGEREF _Toc105669400 \h </w:instrText>
      </w:r>
      <w:r>
        <w:rPr>
          <w:rStyle w:val="29"/>
          <w:rFonts w:eastAsia="黑体"/>
          <w:b w:val="0"/>
          <w:color w:val="000000" w:themeColor="text1"/>
          <w:sz w:val="32"/>
          <w:szCs w:val="32"/>
        </w:rPr>
        <w:fldChar w:fldCharType="separate"/>
      </w:r>
      <w:r>
        <w:rPr>
          <w:rStyle w:val="29"/>
          <w:rFonts w:eastAsia="黑体"/>
          <w:b w:val="0"/>
          <w:color w:val="000000" w:themeColor="text1"/>
          <w:sz w:val="32"/>
          <w:szCs w:val="32"/>
        </w:rPr>
        <w:t>53</w:t>
      </w:r>
      <w:r>
        <w:rPr>
          <w:rStyle w:val="29"/>
          <w:rFonts w:eastAsia="黑体"/>
          <w:b w:val="0"/>
          <w:color w:val="000000" w:themeColor="text1"/>
          <w:sz w:val="32"/>
          <w:szCs w:val="32"/>
        </w:rPr>
        <w:fldChar w:fldCharType="end"/>
      </w:r>
      <w:r>
        <w:rPr>
          <w:rStyle w:val="29"/>
          <w:rFonts w:eastAsia="黑体"/>
          <w:b w:val="0"/>
          <w:color w:val="000000" w:themeColor="text1"/>
          <w:sz w:val="32"/>
          <w:szCs w:val="32"/>
        </w:rPr>
        <w:fldChar w:fldCharType="end"/>
      </w:r>
    </w:p>
    <w:p>
      <w:pPr>
        <w:tabs>
          <w:tab w:val="right" w:leader="dot" w:pos="9000"/>
        </w:tabs>
        <w:spacing w:line="240" w:lineRule="auto"/>
        <w:ind w:firstLine="0" w:firstLineChars="0"/>
        <w:rPr>
          <w:rFonts w:eastAsia="方正小标宋简体"/>
          <w:b/>
          <w:bCs/>
          <w:color w:val="000000" w:themeColor="text1"/>
          <w:sz w:val="36"/>
          <w:szCs w:val="40"/>
        </w:rPr>
      </w:pPr>
      <w:r>
        <w:rPr>
          <w:rFonts w:eastAsia="仿宋"/>
          <w:color w:val="000000" w:themeColor="text1"/>
          <w:sz w:val="32"/>
          <w:szCs w:val="32"/>
        </w:rPr>
        <w:fldChar w:fldCharType="end"/>
      </w:r>
      <w:bookmarkStart w:id="2" w:name="_Toc77779871"/>
      <w:bookmarkStart w:id="3" w:name="_Toc14467"/>
      <w:bookmarkStart w:id="4" w:name="_Toc73370497"/>
      <w:bookmarkStart w:id="5" w:name="_Toc73609858"/>
      <w:bookmarkStart w:id="6" w:name="_Toc81159691"/>
      <w:bookmarkStart w:id="7" w:name="_Toc28552"/>
      <w:r>
        <w:rPr>
          <w:bCs/>
          <w:color w:val="000000" w:themeColor="text1"/>
          <w:szCs w:val="40"/>
        </w:rPr>
        <w:br w:type="page"/>
      </w:r>
    </w:p>
    <w:p>
      <w:pPr>
        <w:pStyle w:val="76"/>
        <w:spacing w:before="156" w:after="156"/>
        <w:ind w:left="48"/>
        <w:rPr>
          <w:color w:val="000000" w:themeColor="text1"/>
          <w:kern w:val="2"/>
        </w:rPr>
        <w:sectPr>
          <w:footerReference r:id="rId11" w:type="default"/>
          <w:pgSz w:w="11906" w:h="16838"/>
          <w:pgMar w:top="2098" w:right="1474" w:bottom="1985" w:left="1588" w:header="851" w:footer="992" w:gutter="0"/>
          <w:cols w:space="720" w:num="1"/>
          <w:docGrid w:type="linesAndChars" w:linePitch="312" w:charSpace="0"/>
        </w:sectPr>
      </w:pPr>
    </w:p>
    <w:p>
      <w:pPr>
        <w:pStyle w:val="76"/>
        <w:adjustRightInd w:val="0"/>
        <w:snapToGrid w:val="0"/>
        <w:spacing w:before="156" w:after="156" w:line="353" w:lineRule="auto"/>
        <w:ind w:left="48"/>
        <w:rPr>
          <w:b w:val="0"/>
          <w:color w:val="000000" w:themeColor="text1"/>
          <w:kern w:val="2"/>
          <w:sz w:val="44"/>
          <w:szCs w:val="44"/>
        </w:rPr>
      </w:pPr>
      <w:bookmarkStart w:id="8" w:name="_Toc105669356"/>
      <w:r>
        <w:rPr>
          <w:b w:val="0"/>
          <w:color w:val="000000" w:themeColor="text1"/>
          <w:kern w:val="2"/>
          <w:sz w:val="44"/>
          <w:szCs w:val="44"/>
        </w:rPr>
        <w:t>前言</w:t>
      </w:r>
      <w:bookmarkEnd w:id="2"/>
      <w:bookmarkEnd w:id="3"/>
      <w:bookmarkEnd w:id="4"/>
      <w:bookmarkEnd w:id="5"/>
      <w:bookmarkEnd w:id="6"/>
      <w:bookmarkEnd w:id="7"/>
      <w:bookmarkEnd w:id="8"/>
    </w:p>
    <w:p>
      <w:pPr>
        <w:adjustRightInd w:val="0"/>
        <w:snapToGrid w:val="0"/>
        <w:spacing w:line="353" w:lineRule="auto"/>
        <w:ind w:firstLine="640"/>
        <w:rPr>
          <w:color w:val="000000" w:themeColor="text1"/>
          <w:sz w:val="32"/>
          <w:szCs w:val="32"/>
        </w:rPr>
      </w:pPr>
      <w:r>
        <w:rPr>
          <w:color w:val="000000" w:themeColor="text1"/>
          <w:sz w:val="32"/>
          <w:szCs w:val="32"/>
        </w:rPr>
        <w:t>“十四五”时期是加快东区生态宜居公园城建设的重要时期。为推进区域生态环境保护与城市发展良性循环，助力社会经济产业有序绿色转型，构建东区生态环境保护安全格局，持续改善生态环境质量，根据《攀枝花市东区国民经济和社会发展第十四个五年规划和二〇三五年远景目标纲要》和《攀枝花市“十四五”生态环境保护规划》有关要求，制定《攀枝花市东区“十四五”生态环境保护规划》（以下简称《规划》），助力建设产强城优人民幸福的现代化区域中心城区，为满足东区人民日益增长的优美生态环境需求提供指导依据。</w:t>
      </w:r>
    </w:p>
    <w:p>
      <w:pPr>
        <w:adjustRightInd w:val="0"/>
        <w:snapToGrid w:val="0"/>
        <w:spacing w:line="353" w:lineRule="auto"/>
        <w:ind w:firstLine="640"/>
        <w:rPr>
          <w:color w:val="000000" w:themeColor="text1"/>
          <w:sz w:val="28"/>
          <w:szCs w:val="32"/>
        </w:rPr>
      </w:pPr>
      <w:r>
        <w:rPr>
          <w:color w:val="000000" w:themeColor="text1"/>
          <w:sz w:val="32"/>
          <w:szCs w:val="32"/>
        </w:rPr>
        <w:t>《规划》全面总结分析了“十三五”期间生态环境保护工作的成效及面临问题和挑战，研判了“十四五”时期新形势和新机遇，重点从七个方面明确了“十四五”期间东区生态环境保护主要任务，强化了目标导向下的项目约束。《规划》是东区“十四五”期间推进生态环境保护、实施生态环境重大项目、制定有关政策等工作的重要依据，也是推动各部门落实环境保护主体责任的指导清单。《规划》范围为东区全域，规划面积166平方公里，规划时限为2021-2025年，展望到2035年。</w:t>
      </w:r>
    </w:p>
    <w:p>
      <w:pPr>
        <w:pStyle w:val="2"/>
        <w:ind w:firstLine="600"/>
        <w:rPr>
          <w:color w:val="000000" w:themeColor="text1"/>
        </w:rPr>
      </w:pPr>
      <w:r>
        <w:rPr>
          <w:color w:val="000000" w:themeColor="text1"/>
        </w:rPr>
        <w:br w:type="page"/>
      </w:r>
    </w:p>
    <w:p>
      <w:pPr>
        <w:pStyle w:val="76"/>
        <w:adjustRightInd w:val="0"/>
        <w:snapToGrid w:val="0"/>
        <w:spacing w:before="156" w:after="156" w:line="353" w:lineRule="auto"/>
        <w:ind w:left="48"/>
        <w:rPr>
          <w:b w:val="0"/>
          <w:color w:val="000000" w:themeColor="text1"/>
          <w:sz w:val="44"/>
          <w:szCs w:val="44"/>
        </w:rPr>
      </w:pPr>
      <w:bookmarkStart w:id="9" w:name="_Toc105669357"/>
      <w:bookmarkStart w:id="10" w:name="_Toc12623"/>
      <w:bookmarkStart w:id="11" w:name="_Toc12364"/>
      <w:bookmarkStart w:id="12" w:name="_Toc7468"/>
      <w:r>
        <w:rPr>
          <w:b w:val="0"/>
          <w:color w:val="000000" w:themeColor="text1"/>
          <w:sz w:val="44"/>
          <w:szCs w:val="44"/>
        </w:rPr>
        <w:t>第一章</w:t>
      </w:r>
      <w:r>
        <w:rPr>
          <w:rFonts w:hint="eastAsia"/>
          <w:b w:val="0"/>
          <w:color w:val="000000" w:themeColor="text1"/>
          <w:sz w:val="44"/>
          <w:szCs w:val="44"/>
        </w:rPr>
        <w:t>“</w:t>
      </w:r>
      <w:r>
        <w:rPr>
          <w:b w:val="0"/>
          <w:color w:val="000000" w:themeColor="text1"/>
          <w:sz w:val="44"/>
          <w:szCs w:val="44"/>
        </w:rPr>
        <w:t>十三五</w:t>
      </w:r>
      <w:r>
        <w:rPr>
          <w:rFonts w:hint="eastAsia"/>
          <w:b w:val="0"/>
          <w:color w:val="000000" w:themeColor="text1"/>
          <w:sz w:val="44"/>
          <w:szCs w:val="44"/>
        </w:rPr>
        <w:t>”</w:t>
      </w:r>
      <w:r>
        <w:rPr>
          <w:b w:val="0"/>
          <w:color w:val="000000" w:themeColor="text1"/>
          <w:sz w:val="44"/>
          <w:szCs w:val="44"/>
        </w:rPr>
        <w:t>回顾与</w:t>
      </w:r>
      <w:r>
        <w:rPr>
          <w:rFonts w:hint="eastAsia"/>
          <w:b w:val="0"/>
          <w:color w:val="000000" w:themeColor="text1"/>
          <w:sz w:val="44"/>
          <w:szCs w:val="44"/>
        </w:rPr>
        <w:t>“十四五”</w:t>
      </w:r>
      <w:r>
        <w:rPr>
          <w:b w:val="0"/>
          <w:color w:val="000000" w:themeColor="text1"/>
          <w:sz w:val="44"/>
          <w:szCs w:val="44"/>
        </w:rPr>
        <w:t>展望</w:t>
      </w:r>
      <w:bookmarkEnd w:id="9"/>
      <w:bookmarkEnd w:id="10"/>
      <w:bookmarkEnd w:id="11"/>
      <w:bookmarkEnd w:id="12"/>
    </w:p>
    <w:p>
      <w:pPr>
        <w:pStyle w:val="31"/>
        <w:adjustRightInd w:val="0"/>
        <w:snapToGrid w:val="0"/>
        <w:spacing w:before="156" w:after="156" w:line="353" w:lineRule="auto"/>
        <w:ind w:firstLine="2764" w:firstLineChars="864"/>
        <w:jc w:val="both"/>
        <w:rPr>
          <w:rFonts w:eastAsia="黑体"/>
          <w:color w:val="000000" w:themeColor="text1"/>
        </w:rPr>
      </w:pPr>
      <w:bookmarkStart w:id="13" w:name="_Toc26658"/>
      <w:bookmarkStart w:id="14" w:name="_Toc105669358"/>
      <w:bookmarkStart w:id="15" w:name="_Toc17697"/>
      <w:bookmarkStart w:id="16" w:name="_Toc29912"/>
      <w:r>
        <w:rPr>
          <w:rFonts w:eastAsia="黑体"/>
          <w:color w:val="000000" w:themeColor="text1"/>
        </w:rPr>
        <w:t>第一节　主要工作成效</w:t>
      </w:r>
      <w:bookmarkEnd w:id="13"/>
      <w:bookmarkEnd w:id="14"/>
      <w:bookmarkEnd w:id="15"/>
      <w:bookmarkEnd w:id="16"/>
    </w:p>
    <w:p>
      <w:pPr>
        <w:adjustRightInd w:val="0"/>
        <w:snapToGrid w:val="0"/>
        <w:spacing w:line="353" w:lineRule="auto"/>
        <w:ind w:firstLine="640"/>
        <w:rPr>
          <w:color w:val="000000" w:themeColor="text1"/>
          <w:sz w:val="32"/>
          <w:szCs w:val="32"/>
        </w:rPr>
      </w:pPr>
      <w:r>
        <w:rPr>
          <w:color w:val="000000" w:themeColor="text1"/>
          <w:sz w:val="32"/>
          <w:szCs w:val="32"/>
        </w:rPr>
        <w:t>区域环境质量明显改善。空气质量稳中有升，2020年PM</w:t>
      </w:r>
      <w:r>
        <w:rPr>
          <w:color w:val="000000" w:themeColor="text1"/>
          <w:sz w:val="32"/>
          <w:szCs w:val="32"/>
          <w:vertAlign w:val="subscript"/>
        </w:rPr>
        <w:t>2.5</w:t>
      </w:r>
      <w:r>
        <w:rPr>
          <w:color w:val="000000" w:themeColor="text1"/>
          <w:sz w:val="32"/>
          <w:szCs w:val="32"/>
        </w:rPr>
        <w:t>浓度28微克/立方米，优良天数率96.3%，较2015年优良天数增加60天，SO</w:t>
      </w:r>
      <w:r>
        <w:rPr>
          <w:color w:val="000000" w:themeColor="text1"/>
          <w:sz w:val="32"/>
          <w:szCs w:val="32"/>
          <w:vertAlign w:val="subscript"/>
        </w:rPr>
        <w:t>2</w:t>
      </w:r>
      <w:r>
        <w:rPr>
          <w:color w:val="000000" w:themeColor="text1"/>
          <w:sz w:val="32"/>
          <w:szCs w:val="32"/>
        </w:rPr>
        <w:t>、PM</w:t>
      </w:r>
      <w:r>
        <w:rPr>
          <w:color w:val="000000" w:themeColor="text1"/>
          <w:sz w:val="32"/>
          <w:szCs w:val="32"/>
          <w:vertAlign w:val="subscript"/>
        </w:rPr>
        <w:t>10</w:t>
      </w:r>
      <w:r>
        <w:rPr>
          <w:color w:val="000000" w:themeColor="text1"/>
          <w:sz w:val="32"/>
          <w:szCs w:val="32"/>
        </w:rPr>
        <w:t>、CO、O</w:t>
      </w:r>
      <w:r>
        <w:rPr>
          <w:color w:val="000000" w:themeColor="text1"/>
          <w:sz w:val="32"/>
          <w:szCs w:val="32"/>
          <w:vertAlign w:val="subscript"/>
        </w:rPr>
        <w:t>3</w:t>
      </w:r>
      <w:r>
        <w:rPr>
          <w:color w:val="000000" w:themeColor="text1"/>
          <w:sz w:val="32"/>
          <w:szCs w:val="32"/>
        </w:rPr>
        <w:t>浓度分别下降18.4%、25%、14.6%、7.1%。水环境质量持续向好，2020年2个国控断面水质稳定达到或优于Ⅱ类，达标率稳定达到100%，2个县级集中式饮用水水源地水质（密地、高梁坪饮用水源地）达标率100%，城市建成区内无黑臭水体。土壤环境质量总体保持稳定，未发生土壤污染事件。城市声环境质量稳定达标，城区环境噪声（昼间）均值为50.7dB。主要污染物排放总量大幅削减，2020年二氧化硫（SO</w:t>
      </w:r>
      <w:r>
        <w:rPr>
          <w:color w:val="000000" w:themeColor="text1"/>
          <w:sz w:val="32"/>
          <w:szCs w:val="32"/>
          <w:vertAlign w:val="subscript"/>
        </w:rPr>
        <w:t>2</w:t>
      </w:r>
      <w:r>
        <w:rPr>
          <w:color w:val="000000" w:themeColor="text1"/>
          <w:sz w:val="32"/>
          <w:szCs w:val="32"/>
        </w:rPr>
        <w:t>）、氮氧化物（NOx）、化学需氧量（COD）和氨氮（NH</w:t>
      </w:r>
      <w:r>
        <w:rPr>
          <w:color w:val="000000" w:themeColor="text1"/>
          <w:sz w:val="32"/>
          <w:szCs w:val="32"/>
          <w:vertAlign w:val="subscript"/>
        </w:rPr>
        <w:t>3</w:t>
      </w:r>
      <w:r>
        <w:rPr>
          <w:color w:val="000000" w:themeColor="text1"/>
          <w:sz w:val="32"/>
          <w:szCs w:val="32"/>
        </w:rPr>
        <w:t>-N）排放量较“十三五”初期分别下降30.5%、36.4%、29.5%和15.4%，全面完成“十三五”减排目标任务。</w:t>
      </w:r>
    </w:p>
    <w:p>
      <w:pPr>
        <w:adjustRightInd w:val="0"/>
        <w:snapToGrid w:val="0"/>
        <w:spacing w:line="353" w:lineRule="auto"/>
        <w:ind w:firstLine="640"/>
        <w:rPr>
          <w:color w:val="000000" w:themeColor="text1"/>
          <w:sz w:val="32"/>
          <w:szCs w:val="32"/>
        </w:rPr>
      </w:pPr>
      <w:r>
        <w:rPr>
          <w:color w:val="000000" w:themeColor="text1"/>
          <w:sz w:val="32"/>
          <w:szCs w:val="32"/>
        </w:rPr>
        <w:t>蓝天保卫战取得积极成效。淘汰落后产能和压减过剩产能</w:t>
      </w:r>
      <w:r>
        <w:rPr>
          <w:rFonts w:hint="eastAsia"/>
          <w:color w:val="000000" w:themeColor="text1"/>
          <w:sz w:val="32"/>
          <w:szCs w:val="32"/>
        </w:rPr>
        <w:t>工作</w:t>
      </w:r>
      <w:r>
        <w:rPr>
          <w:color w:val="000000" w:themeColor="text1"/>
          <w:sz w:val="32"/>
          <w:szCs w:val="32"/>
        </w:rPr>
        <w:t>稳步推进，拆除区域内燃煤锅炉、废毁中频炉、一段式煤气发生炉29套，攀阳钒钛工贸化解粗钢产能15万吨、生铁产能10万吨，宇泰工贸去除轧钢生产能力30万吨。排查治理“散乱污”企业58家。推进挥发性有机物防治工作，实施攀钢集团选钛厂烘干废气治理，完成攀枝花盘江煤焦化有限公司</w:t>
      </w:r>
      <w:r>
        <w:rPr>
          <w:rFonts w:hint="eastAsia"/>
          <w:color w:val="000000" w:themeColor="text1"/>
          <w:sz w:val="32"/>
          <w:szCs w:val="32"/>
        </w:rPr>
        <w:t>废水</w:t>
      </w:r>
      <w:r>
        <w:rPr>
          <w:color w:val="000000" w:themeColor="text1"/>
          <w:sz w:val="32"/>
          <w:szCs w:val="32"/>
        </w:rPr>
        <w:t>区域VOCs治理项目，攀新彩印有限责任公司、鸿舰重型机械有限公司等7家挥发性有机物排放重点企业按要求完成低挥发性原辅料替代和使用低（无）VOCs排放的生产工艺、设备的改造工作。严控垃圾、枯枝落叶等露天焚烧，加大倮果片区、阿署达村沿线、沙坝村沿线、攀枝花村辖区等重点区域、重点路段、重点时段的巡查力度。</w:t>
      </w:r>
    </w:p>
    <w:p>
      <w:pPr>
        <w:adjustRightInd w:val="0"/>
        <w:snapToGrid w:val="0"/>
        <w:spacing w:line="353" w:lineRule="auto"/>
        <w:ind w:firstLine="640"/>
        <w:rPr>
          <w:b/>
          <w:bCs/>
          <w:color w:val="000000" w:themeColor="text1"/>
          <w:sz w:val="32"/>
          <w:szCs w:val="32"/>
        </w:rPr>
      </w:pPr>
      <w:r>
        <w:rPr>
          <w:color w:val="000000" w:themeColor="text1"/>
          <w:sz w:val="32"/>
          <w:szCs w:val="32"/>
        </w:rPr>
        <w:t>碧水保卫战巩固阶段成果。</w:t>
      </w:r>
      <w:r>
        <w:rPr>
          <w:bCs/>
          <w:color w:val="000000" w:themeColor="text1"/>
          <w:sz w:val="32"/>
          <w:szCs w:val="32"/>
        </w:rPr>
        <w:t>开展</w:t>
      </w:r>
      <w:r>
        <w:rPr>
          <w:color w:val="000000" w:themeColor="text1"/>
          <w:sz w:val="32"/>
          <w:szCs w:val="32"/>
        </w:rPr>
        <w:t>污水处理能力提升工程，</w:t>
      </w:r>
      <w:r>
        <w:rPr>
          <w:rFonts w:hint="eastAsia"/>
          <w:color w:val="000000" w:themeColor="text1"/>
          <w:sz w:val="32"/>
          <w:szCs w:val="32"/>
        </w:rPr>
        <w:t>辖区内</w:t>
      </w:r>
      <w:r>
        <w:rPr>
          <w:color w:val="000000" w:themeColor="text1"/>
          <w:sz w:val="32"/>
          <w:szCs w:val="32"/>
        </w:rPr>
        <w:t>4个城镇生活污水处理厂均完成提标升级改造，高梁坪园区污水处理厂投入试运行，出厂水执行一级A标准。完成农村生活污水治理“千村示范工程”目标任务，全面启动实施银江镇3700万农村生活污水项目，实施农村卫生厕所普及，普及率达98.62%。开展建成区黑臭水体情况摸查、金沙大渡口等水源地环境问题排查、禁养区外养殖场例行检查、入河排污口专项检查等系列活动，整改辖区水源地环境问题20个、关闭取缔沿江选矿企业13家。倮果断面、雅砻江口断面水质稳中有升，金沙密地水源地、金沙江高梁坪水源地水质保持良好，倮果水站被列为全国首批100个“最美水站”之一。</w:t>
      </w:r>
    </w:p>
    <w:p>
      <w:pPr>
        <w:adjustRightInd w:val="0"/>
        <w:snapToGrid w:val="0"/>
        <w:spacing w:line="353" w:lineRule="auto"/>
        <w:ind w:firstLine="640"/>
        <w:rPr>
          <w:b/>
          <w:bCs/>
          <w:color w:val="000000" w:themeColor="text1"/>
          <w:sz w:val="32"/>
          <w:szCs w:val="32"/>
        </w:rPr>
      </w:pPr>
      <w:r>
        <w:rPr>
          <w:color w:val="000000" w:themeColor="text1"/>
          <w:sz w:val="32"/>
          <w:szCs w:val="32"/>
        </w:rPr>
        <w:t>净土保卫战夯实基础。积极开展土壤污染状况</w:t>
      </w:r>
      <w:r>
        <w:rPr>
          <w:rFonts w:hint="eastAsia"/>
          <w:color w:val="000000" w:themeColor="text1"/>
          <w:sz w:val="32"/>
          <w:szCs w:val="32"/>
        </w:rPr>
        <w:t>调查</w:t>
      </w:r>
      <w:r>
        <w:rPr>
          <w:color w:val="000000" w:themeColor="text1"/>
          <w:sz w:val="32"/>
          <w:szCs w:val="32"/>
        </w:rPr>
        <w:t>和风险管控，顺利完成高梁坪县级集中式饮用水源地一二级保护区陆域、攀枝花东区高新技术产业园区、重点工业尾矿库等土壤污染状况评估。持续推进重点行业重点区域土壤调查及地块治理修复，建立健全辖区疑似污染地块名单，在全市率先出台区级关闭搬迁企业地块土壤污染状况初步调查实施方案。完成辖区109家企业地块信息核查，13个重点监管企业土壤风险隐患排查，51块疑似污染地块初步调查，建设用地土地污染状况初步摸清。2020年，各行业固体废物申报管理企业338家，较2019年增长22%。完成384家企业（占全市总数50%）危险废物年度申报，办结率100%。</w:t>
      </w:r>
    </w:p>
    <w:p>
      <w:pPr>
        <w:adjustRightInd w:val="0"/>
        <w:snapToGrid w:val="0"/>
        <w:spacing w:before="156" w:after="156" w:line="353" w:lineRule="auto"/>
        <w:ind w:firstLine="640"/>
        <w:rPr>
          <w:rFonts w:eastAsia="黑体"/>
          <w:color w:val="000000" w:themeColor="text1"/>
        </w:rPr>
      </w:pPr>
      <w:r>
        <w:rPr>
          <w:color w:val="000000" w:themeColor="text1"/>
          <w:sz w:val="32"/>
          <w:szCs w:val="32"/>
        </w:rPr>
        <w:t>生态文明建设初见成效。</w:t>
      </w:r>
      <w:bookmarkStart w:id="17" w:name="_Hlk59712720"/>
      <w:r>
        <w:rPr>
          <w:color w:val="000000" w:themeColor="text1"/>
          <w:sz w:val="32"/>
          <w:szCs w:val="32"/>
        </w:rPr>
        <w:t>全力推进生态修复，密地五社森林植被恢复竣工验收，干旱、半干旱地区生态综合治理试点示范项目建设完成，马坎火烧迹地森林植被恢复工程开工建设，金沙江流域（东区段）综合治理工程、攀枝花公园改造提升工程加快实施，森林覆盖率从39.9%提升至42.7%。大力提升人居环境品质，新源路、新福路等4条道路打造绿道花廊，马兰山、凤凰花等6大城市森林公园镶嵌环绕，建成区绿化覆盖率由40.0%提升至41.8%，人均公园绿地面积提升至13.72平方米，道路绿化率、水岸绿化率100%。银江镇获评“省级生态乡镇”，阿署达村、沙坝村、弄弄沟村建成“美丽四川</w:t>
      </w:r>
      <w:r>
        <w:rPr>
          <w:rFonts w:hint="eastAsia"/>
          <w:color w:val="000000" w:themeColor="text1"/>
          <w:sz w:val="32"/>
          <w:szCs w:val="32"/>
        </w:rPr>
        <w:t>•</w:t>
      </w:r>
      <w:r>
        <w:rPr>
          <w:color w:val="000000" w:themeColor="text1"/>
          <w:sz w:val="32"/>
          <w:szCs w:val="32"/>
        </w:rPr>
        <w:t>宜居乡村”，初步实现生态景观推窗见绿、移步见景的花园目标</w:t>
      </w:r>
      <w:bookmarkEnd w:id="17"/>
      <w:r>
        <w:rPr>
          <w:color w:val="000000" w:themeColor="text1"/>
          <w:sz w:val="32"/>
          <w:szCs w:val="32"/>
        </w:rPr>
        <w:t>。</w:t>
      </w:r>
      <w:bookmarkStart w:id="18" w:name="_Toc31981"/>
      <w:bookmarkStart w:id="19" w:name="_Toc24922"/>
      <w:bookmarkStart w:id="20" w:name="_Toc359"/>
      <w:bookmarkStart w:id="21" w:name="_Toc105669359"/>
    </w:p>
    <w:p>
      <w:pPr>
        <w:pStyle w:val="31"/>
        <w:adjustRightInd w:val="0"/>
        <w:snapToGrid w:val="0"/>
        <w:spacing w:before="156" w:after="156" w:line="353" w:lineRule="auto"/>
        <w:ind w:firstLine="640" w:firstLineChars="200"/>
        <w:rPr>
          <w:rFonts w:eastAsia="黑体"/>
          <w:color w:val="000000" w:themeColor="text1"/>
        </w:rPr>
      </w:pPr>
      <w:r>
        <w:rPr>
          <w:rFonts w:eastAsia="黑体"/>
          <w:color w:val="000000" w:themeColor="text1"/>
        </w:rPr>
        <w:t>第二节　面临问题</w:t>
      </w:r>
      <w:bookmarkEnd w:id="18"/>
      <w:bookmarkEnd w:id="19"/>
      <w:bookmarkEnd w:id="20"/>
      <w:r>
        <w:rPr>
          <w:rFonts w:eastAsia="黑体"/>
          <w:color w:val="000000" w:themeColor="text1"/>
        </w:rPr>
        <w:t>与挑战</w:t>
      </w:r>
      <w:bookmarkEnd w:id="21"/>
    </w:p>
    <w:p>
      <w:pPr>
        <w:adjustRightInd w:val="0"/>
        <w:snapToGrid w:val="0"/>
        <w:spacing w:line="353" w:lineRule="auto"/>
        <w:ind w:firstLine="640"/>
        <w:rPr>
          <w:color w:val="000000" w:themeColor="text1"/>
          <w:sz w:val="32"/>
          <w:szCs w:val="32"/>
        </w:rPr>
      </w:pPr>
      <w:bookmarkStart w:id="22" w:name="_Toc446954201"/>
      <w:bookmarkStart w:id="23" w:name="_Toc475629261"/>
      <w:bookmarkStart w:id="24" w:name="_Toc460758508"/>
      <w:bookmarkStart w:id="25" w:name="_Toc469304898"/>
      <w:r>
        <w:rPr>
          <w:color w:val="000000" w:themeColor="text1"/>
          <w:sz w:val="32"/>
          <w:szCs w:val="32"/>
        </w:rPr>
        <w:t>结构性污染问题</w:t>
      </w:r>
      <w:bookmarkEnd w:id="22"/>
      <w:bookmarkEnd w:id="23"/>
      <w:bookmarkEnd w:id="24"/>
      <w:bookmarkEnd w:id="25"/>
      <w:r>
        <w:rPr>
          <w:color w:val="000000" w:themeColor="text1"/>
          <w:sz w:val="32"/>
          <w:szCs w:val="32"/>
        </w:rPr>
        <w:t>仍然突出。东区结构性、根源性、趋势性的生态环境压力仍未得到根本缓解。资源型产业结构特征明显，钢铁型企业龙头地位突出。二产比重达53.3%，且规上工业以金属冶炼和压延加工业等高耗能行业为主，五大高耗能行业能源消费量占规上工业能源消费量的95%以上，单位GDP能耗绝对值远超全省平均水平，二氧化硫、氮氧化物、颗粒物</w:t>
      </w:r>
      <w:r>
        <w:rPr>
          <w:rFonts w:hint="eastAsia"/>
          <w:color w:val="000000" w:themeColor="text1"/>
          <w:sz w:val="32"/>
          <w:szCs w:val="32"/>
        </w:rPr>
        <w:t>排放量</w:t>
      </w:r>
      <w:r>
        <w:rPr>
          <w:color w:val="000000" w:themeColor="text1"/>
          <w:sz w:val="32"/>
          <w:szCs w:val="32"/>
        </w:rPr>
        <w:t>分别占全区总排放量的97.71%、99.33%和67.17%，结构性污染问题突出。区域低碳发展及产业绿色转型</w:t>
      </w:r>
      <w:r>
        <w:rPr>
          <w:rFonts w:hint="eastAsia"/>
          <w:color w:val="000000" w:themeColor="text1"/>
          <w:sz w:val="32"/>
          <w:szCs w:val="32"/>
        </w:rPr>
        <w:t>需</w:t>
      </w:r>
      <w:r>
        <w:rPr>
          <w:color w:val="000000" w:themeColor="text1"/>
          <w:sz w:val="32"/>
          <w:szCs w:val="32"/>
        </w:rPr>
        <w:t>求愈加强烈。</w:t>
      </w:r>
    </w:p>
    <w:p>
      <w:pPr>
        <w:adjustRightInd w:val="0"/>
        <w:snapToGrid w:val="0"/>
        <w:spacing w:line="353" w:lineRule="auto"/>
        <w:ind w:firstLine="640"/>
        <w:rPr>
          <w:color w:val="000000" w:themeColor="text1"/>
          <w:sz w:val="32"/>
          <w:szCs w:val="32"/>
        </w:rPr>
      </w:pPr>
      <w:r>
        <w:rPr>
          <w:color w:val="000000" w:themeColor="text1"/>
          <w:sz w:val="32"/>
          <w:szCs w:val="32"/>
        </w:rPr>
        <w:t>局部区域性生态环境问题突出。局部区域生态环境问题矛盾突出，弄弄坪片区、密地片区工矿企业与生活住宅犬牙交错，朱兰矿区开采导致地表裸露，金沙江沿河滨岸植被面积下滑，大河流域水生态环境系统退化，硫磺沟地区地质灾害偶有发生。沿江硬质边坡的大量修建致使河道生态结构单一。城市生活污水收集配套管网建设存在短板，管网错接、漏接现象时有发生。建设人与自然友好共处的绿色生态环境成为东区面临的重大挑战。</w:t>
      </w:r>
    </w:p>
    <w:p>
      <w:pPr>
        <w:pStyle w:val="2"/>
        <w:adjustRightInd w:val="0"/>
        <w:snapToGrid w:val="0"/>
        <w:spacing w:before="156" w:after="156" w:line="353" w:lineRule="auto"/>
        <w:ind w:firstLine="640"/>
        <w:rPr>
          <w:rFonts w:eastAsia="黑体"/>
          <w:color w:val="000000" w:themeColor="text1"/>
        </w:rPr>
      </w:pPr>
      <w:r>
        <w:rPr>
          <w:color w:val="000000" w:themeColor="text1"/>
          <w:sz w:val="32"/>
          <w:szCs w:val="32"/>
        </w:rPr>
        <w:t>突发性生态环境风险不容忽视。钢铁、冶炼、重化工产业体量大，辖区</w:t>
      </w:r>
      <w:r>
        <w:rPr>
          <w:rFonts w:hint="eastAsia"/>
          <w:color w:val="000000" w:themeColor="text1"/>
          <w:sz w:val="32"/>
          <w:szCs w:val="32"/>
        </w:rPr>
        <w:t>内</w:t>
      </w:r>
      <w:r>
        <w:rPr>
          <w:color w:val="000000" w:themeColor="text1"/>
          <w:sz w:val="32"/>
          <w:szCs w:val="32"/>
        </w:rPr>
        <w:t>错落分布</w:t>
      </w:r>
      <w:r>
        <w:rPr>
          <w:rFonts w:hint="eastAsia"/>
          <w:color w:val="000000" w:themeColor="text1"/>
          <w:sz w:val="32"/>
          <w:szCs w:val="32"/>
        </w:rPr>
        <w:t>有</w:t>
      </w:r>
      <w:r>
        <w:rPr>
          <w:color w:val="000000" w:themeColor="text1"/>
          <w:sz w:val="32"/>
          <w:szCs w:val="32"/>
        </w:rPr>
        <w:t>51块疑似污染地块，砷、镍、钒、苯并[a]芘、钴、苯并[b]荧蒽、二苯并[a，h]等超标物质组成复杂。6座重点尾矿库及干堆场沿江近岸上下游散乱分布，废石、矿渣、尾矿等一般工业固体累计储存量逐步增大。</w:t>
      </w:r>
      <w:r>
        <w:rPr>
          <w:rFonts w:hint="eastAsia"/>
          <w:color w:val="000000" w:themeColor="text1"/>
          <w:sz w:val="32"/>
          <w:szCs w:val="32"/>
        </w:rPr>
        <w:t>攀枝花</w:t>
      </w:r>
      <w:r>
        <w:rPr>
          <w:color w:val="000000" w:themeColor="text1"/>
          <w:sz w:val="32"/>
          <w:szCs w:val="32"/>
        </w:rPr>
        <w:t>东区高新技术产业园区距金沙江和雅砻江较近，沿江1公里范围内工矿企业较多，事故发生后污染物入江途径多、时间短，水环境风险防范面临严峻考验。</w:t>
      </w:r>
      <w:bookmarkStart w:id="26" w:name="_Toc7124"/>
      <w:bookmarkStart w:id="27" w:name="_Toc5937"/>
      <w:bookmarkStart w:id="28" w:name="_Toc10965"/>
      <w:bookmarkStart w:id="29" w:name="_Toc105669360"/>
    </w:p>
    <w:p>
      <w:pPr>
        <w:pStyle w:val="31"/>
        <w:adjustRightInd w:val="0"/>
        <w:snapToGrid w:val="0"/>
        <w:spacing w:before="156" w:after="156" w:line="353" w:lineRule="auto"/>
        <w:ind w:firstLine="2560" w:firstLineChars="800"/>
        <w:jc w:val="both"/>
        <w:rPr>
          <w:rFonts w:eastAsia="黑体"/>
          <w:color w:val="000000" w:themeColor="text1"/>
        </w:rPr>
      </w:pPr>
      <w:r>
        <w:rPr>
          <w:rFonts w:eastAsia="黑体"/>
          <w:color w:val="000000" w:themeColor="text1"/>
        </w:rPr>
        <w:t>第三节　新形势与新机遇</w:t>
      </w:r>
      <w:bookmarkEnd w:id="26"/>
      <w:bookmarkEnd w:id="27"/>
      <w:bookmarkEnd w:id="28"/>
      <w:bookmarkEnd w:id="29"/>
    </w:p>
    <w:p>
      <w:pPr>
        <w:adjustRightInd w:val="0"/>
        <w:snapToGrid w:val="0"/>
        <w:spacing w:line="353" w:lineRule="auto"/>
        <w:ind w:firstLine="640"/>
        <w:rPr>
          <w:color w:val="000000" w:themeColor="text1"/>
          <w:sz w:val="32"/>
          <w:szCs w:val="32"/>
        </w:rPr>
      </w:pPr>
      <w:r>
        <w:rPr>
          <w:rFonts w:hint="eastAsia"/>
          <w:color w:val="000000" w:themeColor="text1"/>
          <w:sz w:val="32"/>
          <w:szCs w:val="32"/>
          <w:lang w:eastAsia="zh-CN"/>
        </w:rPr>
        <w:t>习近平</w:t>
      </w:r>
      <w:bookmarkStart w:id="199" w:name="_GoBack"/>
      <w:bookmarkEnd w:id="199"/>
      <w:r>
        <w:rPr>
          <w:color w:val="000000" w:themeColor="text1"/>
          <w:sz w:val="32"/>
          <w:szCs w:val="32"/>
        </w:rPr>
        <w:t>生态文明思想提供新的有利契机。习近平总书记坚定不移推进生态环境保护工作，习近平生态文明思想逐步落地生根、开花结果，为“十四五”生态环境保护工作提供了最大动力和根本保障。生态环境保护“四梁八柱”的制度体系基本形成，有关改革举措逐步落地见效，生态文明理念日益深入人心，“绿水青山就是金山银山”的绿色发展理念正在全社会牢固树立，综合效能进一步发挥，生态环境制度保障更加全面、更加有力。国家高度重视长江经济带生态环境保护，明确长江经济带生态优先、绿色发展的总体战略，为破解长江经济带生态环境管理破碎化难题，促进整体性、系统性保护提供了有利契机。</w:t>
      </w:r>
    </w:p>
    <w:p>
      <w:pPr>
        <w:adjustRightInd w:val="0"/>
        <w:snapToGrid w:val="0"/>
        <w:spacing w:line="353" w:lineRule="auto"/>
        <w:ind w:firstLine="640"/>
        <w:rPr>
          <w:color w:val="000000" w:themeColor="text1"/>
          <w:sz w:val="32"/>
          <w:szCs w:val="32"/>
        </w:rPr>
      </w:pPr>
      <w:r>
        <w:rPr>
          <w:color w:val="000000" w:themeColor="text1"/>
          <w:sz w:val="32"/>
          <w:szCs w:val="32"/>
        </w:rPr>
        <w:t>多项战略叠加为生态环境保护提供重要支撑。长江经济带发展、新时代西部大开发等国家战略叠加实施，全省“一干多支、五区协同”“四向拓展、全域开放”战略全面部署，全市推进构建“三个圈层”，建设产强城优人民幸福的现代化区域中心城市，推进打造城市公园体系、优化完善城乡基础设施，推进城乡协同高质量发展、谋求国家级生态文明建设示范区创建，给东区生态环境工作带来了难得的政策红利与发展机遇。</w:t>
      </w:r>
    </w:p>
    <w:p>
      <w:pPr>
        <w:adjustRightInd w:val="0"/>
        <w:snapToGrid w:val="0"/>
        <w:spacing w:line="353" w:lineRule="auto"/>
        <w:ind w:firstLine="640"/>
        <w:rPr>
          <w:b/>
          <w:bCs/>
          <w:color w:val="000000" w:themeColor="text1"/>
          <w:sz w:val="32"/>
          <w:szCs w:val="32"/>
        </w:rPr>
      </w:pPr>
      <w:r>
        <w:rPr>
          <w:color w:val="000000" w:themeColor="text1"/>
          <w:sz w:val="32"/>
          <w:szCs w:val="32"/>
        </w:rPr>
        <w:t>产业转型升级激发新的绿色动能。市委“一三三三”总体发展战略的提出为攀枝花市东区的经济社会发展指明了新的方向。攀枝花市东区经济发展也由早期重规模、重速度转变为如今的重质量、重效益，发展的平衡性、协调性和可持续性逐步提升，创新驱动能力不断增强。三次产业结构比重从2015年0.4:66.8:32.8调整为2020年0.5:53.3:46.2，工业与服务业双轮驱动，传统经济与新兴经济联动发展，产业转型升级加快推进，企业自主创新能力不断</w:t>
      </w:r>
      <w:r>
        <w:rPr>
          <w:rFonts w:hint="eastAsia"/>
          <w:color w:val="000000" w:themeColor="text1"/>
          <w:sz w:val="32"/>
          <w:szCs w:val="32"/>
        </w:rPr>
        <w:t>增强</w:t>
      </w:r>
      <w:r>
        <w:rPr>
          <w:color w:val="000000" w:themeColor="text1"/>
          <w:sz w:val="32"/>
          <w:szCs w:val="32"/>
        </w:rPr>
        <w:t>，构建起环境友好、资源节约的发展体系，为全领域绿色发展提供了新的动力。</w:t>
      </w:r>
    </w:p>
    <w:p>
      <w:pPr>
        <w:ind w:firstLine="600"/>
        <w:rPr>
          <w:b/>
          <w:bCs/>
          <w:color w:val="000000" w:themeColor="text1"/>
          <w:sz w:val="28"/>
          <w:szCs w:val="21"/>
        </w:rPr>
      </w:pPr>
      <w:bookmarkStart w:id="30" w:name="_Toc9392"/>
      <w:bookmarkStart w:id="31" w:name="_Toc31614"/>
      <w:bookmarkStart w:id="32" w:name="_Toc21960"/>
      <w:r>
        <w:rPr>
          <w:color w:val="000000" w:themeColor="text1"/>
        </w:rPr>
        <w:br w:type="page"/>
      </w:r>
    </w:p>
    <w:p>
      <w:pPr>
        <w:pStyle w:val="76"/>
        <w:adjustRightInd w:val="0"/>
        <w:snapToGrid w:val="0"/>
        <w:spacing w:before="156" w:after="156" w:line="353" w:lineRule="auto"/>
        <w:ind w:left="48"/>
        <w:rPr>
          <w:b w:val="0"/>
          <w:color w:val="000000" w:themeColor="text1"/>
          <w:sz w:val="44"/>
          <w:szCs w:val="44"/>
        </w:rPr>
      </w:pPr>
      <w:bookmarkStart w:id="33" w:name="_Toc105669361"/>
      <w:r>
        <w:rPr>
          <w:b w:val="0"/>
          <w:color w:val="000000" w:themeColor="text1"/>
          <w:sz w:val="44"/>
          <w:szCs w:val="44"/>
        </w:rPr>
        <w:t>第二章　总体要求</w:t>
      </w:r>
      <w:bookmarkEnd w:id="30"/>
      <w:bookmarkEnd w:id="31"/>
      <w:bookmarkEnd w:id="32"/>
      <w:bookmarkEnd w:id="33"/>
    </w:p>
    <w:p>
      <w:pPr>
        <w:pStyle w:val="31"/>
        <w:adjustRightInd w:val="0"/>
        <w:snapToGrid w:val="0"/>
        <w:spacing w:before="156" w:after="156" w:line="353" w:lineRule="auto"/>
        <w:rPr>
          <w:rFonts w:eastAsia="黑体"/>
          <w:color w:val="000000" w:themeColor="text1"/>
        </w:rPr>
      </w:pPr>
      <w:bookmarkStart w:id="34" w:name="_Toc4910"/>
      <w:bookmarkStart w:id="35" w:name="_Toc14747"/>
      <w:bookmarkStart w:id="36" w:name="_Toc105669362"/>
      <w:bookmarkStart w:id="37" w:name="_Toc17165"/>
      <w:r>
        <w:rPr>
          <w:rFonts w:eastAsia="黑体"/>
          <w:color w:val="000000" w:themeColor="text1"/>
        </w:rPr>
        <w:t>第一节　指导思想</w:t>
      </w:r>
      <w:bookmarkEnd w:id="34"/>
      <w:bookmarkEnd w:id="35"/>
      <w:bookmarkEnd w:id="36"/>
      <w:bookmarkEnd w:id="37"/>
    </w:p>
    <w:p>
      <w:pPr>
        <w:adjustRightInd w:val="0"/>
        <w:snapToGrid w:val="0"/>
        <w:spacing w:line="353" w:lineRule="auto"/>
        <w:ind w:firstLine="640"/>
        <w:rPr>
          <w:color w:val="000000" w:themeColor="text1"/>
          <w:sz w:val="32"/>
          <w:szCs w:val="32"/>
        </w:rPr>
      </w:pPr>
      <w:r>
        <w:rPr>
          <w:color w:val="000000" w:themeColor="text1"/>
          <w:sz w:val="32"/>
          <w:szCs w:val="32"/>
        </w:rPr>
        <w:t>以习近平新时代中国特色社会主义思想为指导，全面贯彻党的十九大和十九届历次全会精神，深入贯彻习近平生态文明思想和习近平总书记对四川工作系列重要指示精神，立足新发展阶段、贯彻新发展理念、融入新发展格局，全面落实省委十一届历次全会精神，立足东区资源优势和产业特色，坚持以减污降碳为总要求，以改善生态环境为核心，以生态优先、绿色发展为方针，深入打好污染防治攻坚战，加快推进生态环境治理体系和治理能力现代化建设，进一步提高生态价值转化能力，促进全区经济社会发展全面绿色转型，增强人民群众获得感、幸福感、安全感。深入践行“绿水青山就是金山银山”和能源绿色低碳发展，以生态环境高水平保护推动经济高质量发展，加快打造“现代工业聚集地、</w:t>
      </w:r>
      <w:bookmarkStart w:id="38" w:name="_Hlk103439909"/>
      <w:r>
        <w:rPr>
          <w:color w:val="000000" w:themeColor="text1"/>
          <w:sz w:val="32"/>
          <w:szCs w:val="32"/>
        </w:rPr>
        <w:t>生态宜居公园城</w:t>
      </w:r>
      <w:bookmarkEnd w:id="38"/>
      <w:r>
        <w:rPr>
          <w:color w:val="000000" w:themeColor="text1"/>
          <w:sz w:val="32"/>
          <w:szCs w:val="32"/>
        </w:rPr>
        <w:t>”，为建设产强城优人民幸福的现代化区域中心城区提供生态环境保障。</w:t>
      </w:r>
    </w:p>
    <w:p>
      <w:pPr>
        <w:pStyle w:val="31"/>
        <w:adjustRightInd w:val="0"/>
        <w:snapToGrid w:val="0"/>
        <w:spacing w:before="156" w:after="156" w:line="353" w:lineRule="auto"/>
        <w:rPr>
          <w:rFonts w:eastAsia="黑体"/>
          <w:color w:val="000000" w:themeColor="text1"/>
        </w:rPr>
      </w:pPr>
      <w:bookmarkStart w:id="39" w:name="_Toc22197"/>
      <w:bookmarkStart w:id="40" w:name="_Toc19605"/>
      <w:bookmarkStart w:id="41" w:name="_Toc105669363"/>
      <w:bookmarkStart w:id="42" w:name="_Toc27173"/>
      <w:r>
        <w:rPr>
          <w:rFonts w:eastAsia="黑体"/>
          <w:color w:val="000000" w:themeColor="text1"/>
        </w:rPr>
        <w:t>第二节　基本原则</w:t>
      </w:r>
      <w:bookmarkEnd w:id="39"/>
      <w:bookmarkEnd w:id="40"/>
      <w:bookmarkEnd w:id="41"/>
      <w:bookmarkEnd w:id="42"/>
    </w:p>
    <w:p>
      <w:pPr>
        <w:adjustRightInd w:val="0"/>
        <w:snapToGrid w:val="0"/>
        <w:spacing w:line="353" w:lineRule="auto"/>
        <w:ind w:firstLine="640"/>
        <w:rPr>
          <w:color w:val="000000" w:themeColor="text1"/>
          <w:sz w:val="32"/>
          <w:szCs w:val="32"/>
        </w:rPr>
      </w:pPr>
      <w:r>
        <w:rPr>
          <w:color w:val="000000" w:themeColor="text1"/>
          <w:kern w:val="0"/>
          <w:sz w:val="32"/>
          <w:szCs w:val="32"/>
        </w:rPr>
        <w:t>生态优先、绿色发展。</w:t>
      </w:r>
      <w:r>
        <w:rPr>
          <w:color w:val="000000" w:themeColor="text1"/>
          <w:sz w:val="32"/>
          <w:szCs w:val="32"/>
        </w:rPr>
        <w:t>深学笃用习近平生态文明思想，践行“绿水青山就是金山银山”的发展理念，严格生态空间管控，以区域资源和环境承载能力作为经济社会发展的硬性约束条件，加快经济发展方式转变，促进经济发展、城镇建设与生态保护相协调，建立健全绿色低碳循环发展经济体系，走可持续发展之路。</w:t>
      </w:r>
    </w:p>
    <w:p>
      <w:pPr>
        <w:adjustRightInd w:val="0"/>
        <w:snapToGrid w:val="0"/>
        <w:spacing w:line="353" w:lineRule="auto"/>
        <w:ind w:firstLine="640"/>
        <w:rPr>
          <w:color w:val="000000" w:themeColor="text1"/>
          <w:sz w:val="32"/>
          <w:szCs w:val="32"/>
        </w:rPr>
      </w:pPr>
      <w:r>
        <w:rPr>
          <w:color w:val="000000" w:themeColor="text1"/>
          <w:kern w:val="0"/>
          <w:sz w:val="32"/>
          <w:szCs w:val="32"/>
        </w:rPr>
        <w:t>围绕中心、服务大局。</w:t>
      </w:r>
      <w:r>
        <w:rPr>
          <w:color w:val="000000" w:themeColor="text1"/>
          <w:sz w:val="32"/>
          <w:szCs w:val="32"/>
        </w:rPr>
        <w:t>紧紧围绕省、市发展战略与定位，认真落实省委“一干多支、五区协同”“四向拓展、全域开放”重大战略部署、市委“一三三三”总体发展战略安排，聚焦区委“一二三五”总体工作思路，坚持新发展理念和“稳中求进”工作总基调，平衡和处理好发展与保护的关系。</w:t>
      </w:r>
    </w:p>
    <w:p>
      <w:pPr>
        <w:adjustRightInd w:val="0"/>
        <w:snapToGrid w:val="0"/>
        <w:spacing w:line="353" w:lineRule="auto"/>
        <w:ind w:firstLine="640"/>
        <w:rPr>
          <w:color w:val="000000" w:themeColor="text1"/>
          <w:sz w:val="32"/>
          <w:szCs w:val="32"/>
        </w:rPr>
      </w:pPr>
      <w:r>
        <w:rPr>
          <w:color w:val="000000" w:themeColor="text1"/>
          <w:kern w:val="0"/>
          <w:sz w:val="32"/>
          <w:szCs w:val="32"/>
        </w:rPr>
        <w:t>问题导向、精准治污。</w:t>
      </w:r>
      <w:r>
        <w:rPr>
          <w:color w:val="000000" w:themeColor="text1"/>
          <w:sz w:val="32"/>
          <w:szCs w:val="32"/>
        </w:rPr>
        <w:t>着力解决突出环境问题，找差距、补短板、强弱项，坚持精准治污、科学治污、依法治污，因地制宜细化落实治理措施，提高生态环境治理成效，不断满足人民日益增长的优美生态环境需要，坚决守护好绿水青山、蓝天白云、食安净土、阳光花城。</w:t>
      </w:r>
    </w:p>
    <w:p>
      <w:pPr>
        <w:adjustRightInd w:val="0"/>
        <w:snapToGrid w:val="0"/>
        <w:spacing w:line="353" w:lineRule="auto"/>
        <w:ind w:firstLine="640"/>
        <w:rPr>
          <w:color w:val="000000" w:themeColor="text1"/>
          <w:sz w:val="32"/>
          <w:szCs w:val="32"/>
        </w:rPr>
      </w:pPr>
      <w:r>
        <w:rPr>
          <w:color w:val="000000" w:themeColor="text1"/>
          <w:kern w:val="0"/>
          <w:sz w:val="32"/>
          <w:szCs w:val="32"/>
        </w:rPr>
        <w:t>改革创新、智慧治理。</w:t>
      </w:r>
      <w:bookmarkStart w:id="43" w:name="_Hlk104795037"/>
      <w:r>
        <w:rPr>
          <w:color w:val="000000" w:themeColor="text1"/>
          <w:sz w:val="32"/>
          <w:szCs w:val="32"/>
        </w:rPr>
        <w:t>提升</w:t>
      </w:r>
      <w:bookmarkEnd w:id="43"/>
      <w:r>
        <w:rPr>
          <w:color w:val="000000" w:themeColor="text1"/>
          <w:sz w:val="32"/>
          <w:szCs w:val="32"/>
        </w:rPr>
        <w:t>生态环境治理体系和治理能力现代化水平，以科学发展观为统领，创新监管模式，强化科技支撑作用，强化关键技术创新研发，强化成果转化，提升环保科技创新能力，结合现代科技大力实施环境保护智慧化建设，用“智慧环保”守住蓝天碧水净土。</w:t>
      </w:r>
    </w:p>
    <w:p>
      <w:pPr>
        <w:pStyle w:val="31"/>
        <w:keepNext w:val="0"/>
        <w:keepLines w:val="0"/>
        <w:adjustRightInd w:val="0"/>
        <w:snapToGrid w:val="0"/>
        <w:spacing w:beforeLines="0" w:afterLines="0" w:line="353" w:lineRule="auto"/>
        <w:ind w:firstLine="3200" w:firstLineChars="1000"/>
        <w:jc w:val="both"/>
        <w:outlineLvl w:val="9"/>
        <w:rPr>
          <w:rFonts w:eastAsia="黑体"/>
          <w:color w:val="000000" w:themeColor="text1"/>
        </w:rPr>
      </w:pPr>
      <w:bookmarkStart w:id="44" w:name="_Toc20825"/>
      <w:bookmarkStart w:id="45" w:name="_Toc13705"/>
      <w:bookmarkStart w:id="46" w:name="_Toc5798"/>
      <w:bookmarkStart w:id="47" w:name="_Toc105669364"/>
      <w:r>
        <w:rPr>
          <w:rFonts w:eastAsia="黑体"/>
          <w:color w:val="000000" w:themeColor="text1"/>
        </w:rPr>
        <w:t>第三节　目标指标</w:t>
      </w:r>
      <w:bookmarkEnd w:id="44"/>
      <w:bookmarkEnd w:id="45"/>
      <w:bookmarkEnd w:id="46"/>
      <w:bookmarkEnd w:id="47"/>
    </w:p>
    <w:p>
      <w:pPr>
        <w:adjustRightInd w:val="0"/>
        <w:snapToGrid w:val="0"/>
        <w:spacing w:line="353" w:lineRule="auto"/>
        <w:ind w:firstLine="640"/>
        <w:rPr>
          <w:color w:val="000000" w:themeColor="text1"/>
          <w:sz w:val="32"/>
          <w:szCs w:val="32"/>
        </w:rPr>
      </w:pPr>
      <w:r>
        <w:rPr>
          <w:color w:val="000000" w:themeColor="text1"/>
          <w:sz w:val="32"/>
          <w:szCs w:val="32"/>
        </w:rPr>
        <w:t>到2025年，东区生产生活绿色低碳模式进一步优化，产业绿色转型速度加快，资源节约集约及循环利用水平位居全省前列，生态环境质量持续改善，环境风险得到有效控制，生态环境治理体系和治理能力现代化建设步伐加快，生态文明建设迈上新台阶，人民群众对生态和人居环境满意度持续提高，“空气常新、碧水常流、沃土常净、康养宜居”的东区基本建成。</w:t>
      </w:r>
    </w:p>
    <w:p>
      <w:pPr>
        <w:adjustRightInd w:val="0"/>
        <w:snapToGrid w:val="0"/>
        <w:spacing w:line="353" w:lineRule="auto"/>
        <w:ind w:firstLine="640"/>
        <w:rPr>
          <w:color w:val="000000" w:themeColor="text1"/>
          <w:sz w:val="32"/>
          <w:szCs w:val="32"/>
        </w:rPr>
      </w:pPr>
      <w:r>
        <w:rPr>
          <w:color w:val="000000" w:themeColor="text1"/>
          <w:sz w:val="32"/>
          <w:szCs w:val="32"/>
        </w:rPr>
        <w:t>展望2035年，生态环境质量根本改善，生态环境治理体系和治理能力现代化建设基本完成，经济发展与生态文明高水平协调、全方位发展构架基本实现，产强城优人民幸福的现代化区域中心城区基本建成。</w:t>
      </w:r>
    </w:p>
    <w:p>
      <w:pPr>
        <w:spacing w:line="600" w:lineRule="exact"/>
        <w:ind w:firstLine="560"/>
        <w:jc w:val="center"/>
        <w:rPr>
          <w:rFonts w:eastAsia="黑体"/>
          <w:bCs/>
          <w:color w:val="000000" w:themeColor="text1"/>
          <w:sz w:val="28"/>
          <w:szCs w:val="28"/>
        </w:rPr>
      </w:pPr>
      <w:r>
        <w:rPr>
          <w:rFonts w:eastAsia="黑体"/>
          <w:bCs/>
          <w:color w:val="000000" w:themeColor="text1"/>
          <w:sz w:val="28"/>
          <w:szCs w:val="28"/>
        </w:rPr>
        <w:t>表1  攀枝花市东区“十四五”生态环境保护规划指标体系</w:t>
      </w:r>
    </w:p>
    <w:tbl>
      <w:tblPr>
        <w:tblStyle w:val="25"/>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13"/>
        <w:gridCol w:w="879"/>
        <w:gridCol w:w="1595"/>
        <w:gridCol w:w="150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blHeader/>
          <w:jc w:val="center"/>
        </w:trPr>
        <w:tc>
          <w:tcPr>
            <w:tcW w:w="4313" w:type="dxa"/>
            <w:vAlign w:val="center"/>
          </w:tcPr>
          <w:p>
            <w:pPr>
              <w:adjustRightInd w:val="0"/>
              <w:snapToGrid w:val="0"/>
              <w:spacing w:line="300" w:lineRule="exact"/>
              <w:ind w:firstLine="0" w:firstLineChars="0"/>
              <w:jc w:val="center"/>
              <w:rPr>
                <w:b/>
                <w:color w:val="000000" w:themeColor="text1"/>
                <w:sz w:val="21"/>
                <w:szCs w:val="21"/>
              </w:rPr>
            </w:pPr>
            <w:r>
              <w:rPr>
                <w:b/>
                <w:color w:val="000000" w:themeColor="text1"/>
                <w:sz w:val="21"/>
                <w:szCs w:val="21"/>
              </w:rPr>
              <w:t>指标</w:t>
            </w:r>
          </w:p>
        </w:tc>
        <w:tc>
          <w:tcPr>
            <w:tcW w:w="879" w:type="dxa"/>
            <w:vAlign w:val="center"/>
          </w:tcPr>
          <w:p>
            <w:pPr>
              <w:adjustRightInd w:val="0"/>
              <w:snapToGrid w:val="0"/>
              <w:spacing w:line="300" w:lineRule="exact"/>
              <w:ind w:firstLine="0" w:firstLineChars="0"/>
              <w:jc w:val="center"/>
              <w:rPr>
                <w:b/>
                <w:color w:val="000000" w:themeColor="text1"/>
                <w:sz w:val="21"/>
                <w:szCs w:val="21"/>
              </w:rPr>
            </w:pPr>
            <w:r>
              <w:rPr>
                <w:b/>
                <w:color w:val="000000" w:themeColor="text1"/>
                <w:sz w:val="21"/>
                <w:szCs w:val="21"/>
              </w:rPr>
              <w:t>2020年</w:t>
            </w:r>
          </w:p>
        </w:tc>
        <w:tc>
          <w:tcPr>
            <w:tcW w:w="1595" w:type="dxa"/>
            <w:vAlign w:val="center"/>
          </w:tcPr>
          <w:p>
            <w:pPr>
              <w:adjustRightInd w:val="0"/>
              <w:snapToGrid w:val="0"/>
              <w:spacing w:line="300" w:lineRule="exact"/>
              <w:ind w:firstLine="0" w:firstLineChars="0"/>
              <w:jc w:val="center"/>
              <w:rPr>
                <w:b/>
                <w:color w:val="000000" w:themeColor="text1"/>
                <w:sz w:val="21"/>
                <w:szCs w:val="21"/>
              </w:rPr>
            </w:pPr>
            <w:r>
              <w:rPr>
                <w:b/>
                <w:color w:val="000000" w:themeColor="text1"/>
                <w:sz w:val="21"/>
                <w:szCs w:val="21"/>
              </w:rPr>
              <w:t>2025年</w:t>
            </w:r>
          </w:p>
        </w:tc>
        <w:tc>
          <w:tcPr>
            <w:tcW w:w="1500" w:type="dxa"/>
            <w:vAlign w:val="center"/>
          </w:tcPr>
          <w:p>
            <w:pPr>
              <w:adjustRightInd w:val="0"/>
              <w:snapToGrid w:val="0"/>
              <w:spacing w:line="300" w:lineRule="exact"/>
              <w:ind w:firstLine="0" w:firstLineChars="0"/>
              <w:jc w:val="center"/>
              <w:rPr>
                <w:b/>
                <w:color w:val="000000" w:themeColor="text1"/>
                <w:sz w:val="21"/>
                <w:szCs w:val="21"/>
              </w:rPr>
            </w:pPr>
            <w:r>
              <w:rPr>
                <w:b/>
                <w:color w:val="000000" w:themeColor="text1"/>
                <w:sz w:val="21"/>
                <w:szCs w:val="21"/>
              </w:rPr>
              <w:t>五年累计</w:t>
            </w:r>
          </w:p>
        </w:tc>
        <w:tc>
          <w:tcPr>
            <w:tcW w:w="880" w:type="dxa"/>
            <w:vAlign w:val="center"/>
          </w:tcPr>
          <w:p>
            <w:pPr>
              <w:adjustRightInd w:val="0"/>
              <w:snapToGrid w:val="0"/>
              <w:spacing w:line="300" w:lineRule="exact"/>
              <w:ind w:firstLine="0" w:firstLineChars="0"/>
              <w:jc w:val="center"/>
              <w:rPr>
                <w:b/>
                <w:color w:val="000000" w:themeColor="text1"/>
                <w:sz w:val="21"/>
                <w:szCs w:val="21"/>
              </w:rPr>
            </w:pPr>
            <w:r>
              <w:rPr>
                <w:b/>
                <w:color w:val="000000" w:themeColor="text1"/>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167" w:type="dxa"/>
            <w:gridSpan w:val="5"/>
          </w:tcPr>
          <w:p>
            <w:pPr>
              <w:adjustRightInd w:val="0"/>
              <w:snapToGrid w:val="0"/>
              <w:spacing w:line="300" w:lineRule="exact"/>
              <w:ind w:firstLine="0" w:firstLineChars="0"/>
              <w:jc w:val="left"/>
              <w:rPr>
                <w:color w:val="000000" w:themeColor="text1"/>
                <w:sz w:val="21"/>
                <w:szCs w:val="21"/>
              </w:rPr>
            </w:pPr>
            <w:r>
              <w:rPr>
                <w:b/>
                <w:color w:val="000000" w:themeColor="text1"/>
                <w:sz w:val="21"/>
                <w:szCs w:val="21"/>
              </w:rPr>
              <w:t>（一）环境治理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13" w:type="dxa"/>
            <w:vAlign w:val="center"/>
          </w:tcPr>
          <w:p>
            <w:pPr>
              <w:adjustRightInd w:val="0"/>
              <w:snapToGrid w:val="0"/>
              <w:spacing w:line="300" w:lineRule="exact"/>
              <w:ind w:firstLine="0" w:firstLineChars="0"/>
              <w:rPr>
                <w:color w:val="000000" w:themeColor="text1"/>
                <w:sz w:val="21"/>
                <w:szCs w:val="21"/>
              </w:rPr>
            </w:pPr>
            <w:r>
              <w:rPr>
                <w:color w:val="000000" w:themeColor="text1"/>
                <w:sz w:val="21"/>
                <w:szCs w:val="21"/>
              </w:rPr>
              <w:t>（1）城市细颗粒物（PM</w:t>
            </w:r>
            <w:r>
              <w:rPr>
                <w:color w:val="000000" w:themeColor="text1"/>
                <w:sz w:val="21"/>
                <w:szCs w:val="21"/>
                <w:vertAlign w:val="subscript"/>
              </w:rPr>
              <w:t>2.5</w:t>
            </w:r>
            <w:r>
              <w:rPr>
                <w:color w:val="000000" w:themeColor="text1"/>
                <w:sz w:val="21"/>
                <w:szCs w:val="21"/>
              </w:rPr>
              <w:t>）浓度(μg/m</w:t>
            </w:r>
            <w:r>
              <w:rPr>
                <w:color w:val="000000" w:themeColor="text1"/>
                <w:sz w:val="21"/>
                <w:szCs w:val="21"/>
                <w:vertAlign w:val="superscript"/>
              </w:rPr>
              <w:t>3</w:t>
            </w:r>
            <w:r>
              <w:rPr>
                <w:color w:val="000000" w:themeColor="text1"/>
                <w:sz w:val="21"/>
                <w:szCs w:val="21"/>
              </w:rPr>
              <w:t xml:space="preserve"> )</w:t>
            </w:r>
          </w:p>
        </w:tc>
        <w:tc>
          <w:tcPr>
            <w:tcW w:w="879"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28</w:t>
            </w:r>
          </w:p>
        </w:tc>
        <w:tc>
          <w:tcPr>
            <w:tcW w:w="1595"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完成市下达目标</w:t>
            </w:r>
          </w:p>
        </w:tc>
        <w:tc>
          <w:tcPr>
            <w:tcW w:w="1500" w:type="dxa"/>
            <w:vAlign w:val="center"/>
          </w:tcPr>
          <w:p>
            <w:pPr>
              <w:adjustRightInd w:val="0"/>
              <w:snapToGrid w:val="0"/>
              <w:spacing w:line="300" w:lineRule="exact"/>
              <w:ind w:firstLine="0" w:firstLineChars="0"/>
              <w:jc w:val="center"/>
              <w:rPr>
                <w:color w:val="000000" w:themeColor="text1"/>
                <w:kern w:val="0"/>
                <w:sz w:val="21"/>
                <w:szCs w:val="21"/>
              </w:rPr>
            </w:pPr>
          </w:p>
        </w:tc>
        <w:tc>
          <w:tcPr>
            <w:tcW w:w="880"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13" w:type="dxa"/>
            <w:vAlign w:val="center"/>
          </w:tcPr>
          <w:p>
            <w:pPr>
              <w:adjustRightInd w:val="0"/>
              <w:snapToGrid w:val="0"/>
              <w:spacing w:line="300" w:lineRule="exact"/>
              <w:ind w:firstLine="0" w:firstLineChars="0"/>
              <w:rPr>
                <w:color w:val="000000" w:themeColor="text1"/>
                <w:sz w:val="21"/>
                <w:szCs w:val="21"/>
              </w:rPr>
            </w:pPr>
            <w:r>
              <w:rPr>
                <w:color w:val="000000" w:themeColor="text1"/>
                <w:sz w:val="21"/>
                <w:szCs w:val="21"/>
              </w:rPr>
              <w:t>（2）城市空气质量优良天数比例（%）</w:t>
            </w:r>
          </w:p>
        </w:tc>
        <w:tc>
          <w:tcPr>
            <w:tcW w:w="879"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96.3</w:t>
            </w:r>
          </w:p>
        </w:tc>
        <w:tc>
          <w:tcPr>
            <w:tcW w:w="1595"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完成市下达目标</w:t>
            </w:r>
          </w:p>
        </w:tc>
        <w:tc>
          <w:tcPr>
            <w:tcW w:w="1500" w:type="dxa"/>
            <w:vAlign w:val="center"/>
          </w:tcPr>
          <w:p>
            <w:pPr>
              <w:adjustRightInd w:val="0"/>
              <w:snapToGrid w:val="0"/>
              <w:spacing w:line="300" w:lineRule="exact"/>
              <w:ind w:firstLine="0" w:firstLineChars="0"/>
              <w:jc w:val="center"/>
              <w:rPr>
                <w:color w:val="000000" w:themeColor="text1"/>
                <w:sz w:val="21"/>
                <w:szCs w:val="21"/>
              </w:rPr>
            </w:pPr>
          </w:p>
        </w:tc>
        <w:tc>
          <w:tcPr>
            <w:tcW w:w="880"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13" w:type="dxa"/>
            <w:vAlign w:val="center"/>
          </w:tcPr>
          <w:p>
            <w:pPr>
              <w:adjustRightInd w:val="0"/>
              <w:snapToGrid w:val="0"/>
              <w:spacing w:line="300" w:lineRule="exact"/>
              <w:ind w:firstLine="0" w:firstLineChars="0"/>
              <w:rPr>
                <w:color w:val="000000" w:themeColor="text1"/>
                <w:sz w:val="21"/>
                <w:szCs w:val="21"/>
              </w:rPr>
            </w:pPr>
            <w:r>
              <w:rPr>
                <w:color w:val="000000" w:themeColor="text1"/>
                <w:sz w:val="21"/>
                <w:szCs w:val="21"/>
              </w:rPr>
              <w:t>（3）城市空气质量重污染天数比例（%）</w:t>
            </w:r>
          </w:p>
        </w:tc>
        <w:tc>
          <w:tcPr>
            <w:tcW w:w="879"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0</w:t>
            </w:r>
          </w:p>
        </w:tc>
        <w:tc>
          <w:tcPr>
            <w:tcW w:w="1595"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0</w:t>
            </w:r>
          </w:p>
        </w:tc>
        <w:tc>
          <w:tcPr>
            <w:tcW w:w="1500" w:type="dxa"/>
            <w:vAlign w:val="center"/>
          </w:tcPr>
          <w:p>
            <w:pPr>
              <w:adjustRightInd w:val="0"/>
              <w:snapToGrid w:val="0"/>
              <w:spacing w:line="300" w:lineRule="exact"/>
              <w:ind w:firstLine="0" w:firstLineChars="0"/>
              <w:jc w:val="center"/>
              <w:rPr>
                <w:color w:val="000000" w:themeColor="text1"/>
                <w:sz w:val="21"/>
                <w:szCs w:val="21"/>
              </w:rPr>
            </w:pPr>
          </w:p>
        </w:tc>
        <w:tc>
          <w:tcPr>
            <w:tcW w:w="880"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13" w:type="dxa"/>
            <w:vAlign w:val="center"/>
          </w:tcPr>
          <w:p>
            <w:pPr>
              <w:adjustRightInd w:val="0"/>
              <w:snapToGrid w:val="0"/>
              <w:spacing w:line="300" w:lineRule="exact"/>
              <w:ind w:firstLine="0" w:firstLineChars="0"/>
              <w:rPr>
                <w:color w:val="000000" w:themeColor="text1"/>
                <w:sz w:val="21"/>
                <w:szCs w:val="21"/>
              </w:rPr>
            </w:pPr>
            <w:r>
              <w:rPr>
                <w:color w:val="000000" w:themeColor="text1"/>
                <w:sz w:val="21"/>
                <w:szCs w:val="21"/>
              </w:rPr>
              <w:t>（4）国考断面达到或优于Ⅱ类水体比例（%）</w:t>
            </w:r>
          </w:p>
        </w:tc>
        <w:tc>
          <w:tcPr>
            <w:tcW w:w="879"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100</w:t>
            </w:r>
          </w:p>
        </w:tc>
        <w:tc>
          <w:tcPr>
            <w:tcW w:w="1595"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100</w:t>
            </w:r>
          </w:p>
        </w:tc>
        <w:tc>
          <w:tcPr>
            <w:tcW w:w="1500" w:type="dxa"/>
            <w:vAlign w:val="center"/>
          </w:tcPr>
          <w:p>
            <w:pPr>
              <w:adjustRightInd w:val="0"/>
              <w:snapToGrid w:val="0"/>
              <w:spacing w:line="300" w:lineRule="exact"/>
              <w:ind w:firstLine="0" w:firstLineChars="0"/>
              <w:jc w:val="center"/>
              <w:rPr>
                <w:color w:val="000000" w:themeColor="text1"/>
                <w:sz w:val="21"/>
                <w:szCs w:val="21"/>
              </w:rPr>
            </w:pPr>
          </w:p>
        </w:tc>
        <w:tc>
          <w:tcPr>
            <w:tcW w:w="880"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13" w:type="dxa"/>
            <w:vAlign w:val="center"/>
          </w:tcPr>
          <w:p>
            <w:pPr>
              <w:adjustRightInd w:val="0"/>
              <w:snapToGrid w:val="0"/>
              <w:spacing w:line="300" w:lineRule="exact"/>
              <w:ind w:firstLine="0" w:firstLineChars="0"/>
              <w:rPr>
                <w:color w:val="000000" w:themeColor="text1"/>
                <w:sz w:val="21"/>
                <w:szCs w:val="21"/>
              </w:rPr>
            </w:pPr>
            <w:r>
              <w:rPr>
                <w:color w:val="000000" w:themeColor="text1"/>
                <w:sz w:val="21"/>
                <w:szCs w:val="21"/>
              </w:rPr>
              <w:t>（5）地表水质量劣Ⅴ类水体比例（%）</w:t>
            </w:r>
          </w:p>
        </w:tc>
        <w:tc>
          <w:tcPr>
            <w:tcW w:w="879"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0</w:t>
            </w:r>
          </w:p>
        </w:tc>
        <w:tc>
          <w:tcPr>
            <w:tcW w:w="1595"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0</w:t>
            </w:r>
          </w:p>
        </w:tc>
        <w:tc>
          <w:tcPr>
            <w:tcW w:w="1500" w:type="dxa"/>
            <w:vAlign w:val="center"/>
          </w:tcPr>
          <w:p>
            <w:pPr>
              <w:adjustRightInd w:val="0"/>
              <w:snapToGrid w:val="0"/>
              <w:spacing w:line="300" w:lineRule="exact"/>
              <w:ind w:firstLine="0" w:firstLineChars="0"/>
              <w:jc w:val="center"/>
              <w:rPr>
                <w:color w:val="000000" w:themeColor="text1"/>
                <w:sz w:val="21"/>
                <w:szCs w:val="21"/>
              </w:rPr>
            </w:pPr>
          </w:p>
        </w:tc>
        <w:tc>
          <w:tcPr>
            <w:tcW w:w="880"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13" w:type="dxa"/>
            <w:vAlign w:val="center"/>
          </w:tcPr>
          <w:p>
            <w:pPr>
              <w:adjustRightInd w:val="0"/>
              <w:snapToGrid w:val="0"/>
              <w:spacing w:line="300" w:lineRule="exact"/>
              <w:ind w:firstLine="0" w:firstLineChars="0"/>
              <w:rPr>
                <w:color w:val="000000" w:themeColor="text1"/>
                <w:sz w:val="21"/>
                <w:szCs w:val="21"/>
              </w:rPr>
            </w:pPr>
            <w:r>
              <w:rPr>
                <w:color w:val="000000" w:themeColor="text1"/>
                <w:sz w:val="21"/>
                <w:szCs w:val="21"/>
              </w:rPr>
              <w:t>（6）建成区黑臭水体比例（%）</w:t>
            </w:r>
          </w:p>
        </w:tc>
        <w:tc>
          <w:tcPr>
            <w:tcW w:w="879"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0</w:t>
            </w:r>
          </w:p>
        </w:tc>
        <w:tc>
          <w:tcPr>
            <w:tcW w:w="1595"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0</w:t>
            </w:r>
          </w:p>
        </w:tc>
        <w:tc>
          <w:tcPr>
            <w:tcW w:w="1500" w:type="dxa"/>
            <w:vAlign w:val="center"/>
          </w:tcPr>
          <w:p>
            <w:pPr>
              <w:adjustRightInd w:val="0"/>
              <w:snapToGrid w:val="0"/>
              <w:spacing w:line="300" w:lineRule="exact"/>
              <w:ind w:firstLine="0" w:firstLineChars="0"/>
              <w:jc w:val="center"/>
              <w:rPr>
                <w:color w:val="000000" w:themeColor="text1"/>
                <w:sz w:val="21"/>
                <w:szCs w:val="21"/>
              </w:rPr>
            </w:pPr>
          </w:p>
        </w:tc>
        <w:tc>
          <w:tcPr>
            <w:tcW w:w="880"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13" w:type="dxa"/>
            <w:vAlign w:val="center"/>
          </w:tcPr>
          <w:p>
            <w:pPr>
              <w:adjustRightInd w:val="0"/>
              <w:snapToGrid w:val="0"/>
              <w:spacing w:line="300" w:lineRule="exact"/>
              <w:ind w:firstLine="0" w:firstLineChars="0"/>
              <w:rPr>
                <w:color w:val="000000" w:themeColor="text1"/>
                <w:sz w:val="21"/>
                <w:szCs w:val="21"/>
              </w:rPr>
            </w:pPr>
            <w:r>
              <w:rPr>
                <w:color w:val="000000" w:themeColor="text1"/>
                <w:sz w:val="21"/>
                <w:szCs w:val="21"/>
              </w:rPr>
              <w:t>（7）地下水质量Ⅴ类水比例（%）</w:t>
            </w:r>
          </w:p>
        </w:tc>
        <w:tc>
          <w:tcPr>
            <w:tcW w:w="879"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kern w:val="0"/>
                <w:sz w:val="21"/>
                <w:szCs w:val="21"/>
              </w:rPr>
              <w:t>—</w:t>
            </w:r>
          </w:p>
        </w:tc>
        <w:tc>
          <w:tcPr>
            <w:tcW w:w="1595"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完成市下达目标</w:t>
            </w:r>
          </w:p>
        </w:tc>
        <w:tc>
          <w:tcPr>
            <w:tcW w:w="1500" w:type="dxa"/>
            <w:vAlign w:val="center"/>
          </w:tcPr>
          <w:p>
            <w:pPr>
              <w:adjustRightInd w:val="0"/>
              <w:snapToGrid w:val="0"/>
              <w:spacing w:line="300" w:lineRule="exact"/>
              <w:ind w:firstLine="0" w:firstLineChars="0"/>
              <w:jc w:val="center"/>
              <w:rPr>
                <w:color w:val="000000" w:themeColor="text1"/>
                <w:sz w:val="21"/>
                <w:szCs w:val="21"/>
              </w:rPr>
            </w:pPr>
          </w:p>
        </w:tc>
        <w:tc>
          <w:tcPr>
            <w:tcW w:w="880"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13" w:type="dxa"/>
            <w:vAlign w:val="center"/>
          </w:tcPr>
          <w:p>
            <w:pPr>
              <w:adjustRightInd w:val="0"/>
              <w:snapToGrid w:val="0"/>
              <w:spacing w:line="300" w:lineRule="exact"/>
              <w:ind w:firstLine="0" w:firstLineChars="0"/>
              <w:rPr>
                <w:color w:val="000000" w:themeColor="text1"/>
                <w:sz w:val="21"/>
                <w:szCs w:val="21"/>
              </w:rPr>
            </w:pPr>
            <w:r>
              <w:rPr>
                <w:color w:val="000000" w:themeColor="text1"/>
                <w:sz w:val="21"/>
                <w:szCs w:val="21"/>
              </w:rPr>
              <w:t>（8）行政村农村生活污水有效治理比例（%）</w:t>
            </w:r>
          </w:p>
        </w:tc>
        <w:tc>
          <w:tcPr>
            <w:tcW w:w="879"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71.43</w:t>
            </w:r>
          </w:p>
        </w:tc>
        <w:tc>
          <w:tcPr>
            <w:tcW w:w="1595"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90</w:t>
            </w:r>
          </w:p>
        </w:tc>
        <w:tc>
          <w:tcPr>
            <w:tcW w:w="1500" w:type="dxa"/>
            <w:vAlign w:val="center"/>
          </w:tcPr>
          <w:p>
            <w:pPr>
              <w:adjustRightInd w:val="0"/>
              <w:snapToGrid w:val="0"/>
              <w:spacing w:line="300" w:lineRule="exact"/>
              <w:ind w:firstLine="0" w:firstLineChars="0"/>
              <w:jc w:val="center"/>
              <w:rPr>
                <w:color w:val="000000" w:themeColor="text1"/>
                <w:sz w:val="21"/>
                <w:szCs w:val="21"/>
              </w:rPr>
            </w:pPr>
          </w:p>
        </w:tc>
        <w:tc>
          <w:tcPr>
            <w:tcW w:w="880"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13" w:type="dxa"/>
          </w:tcPr>
          <w:p>
            <w:pPr>
              <w:adjustRightInd w:val="0"/>
              <w:snapToGrid w:val="0"/>
              <w:spacing w:line="300" w:lineRule="exact"/>
              <w:ind w:firstLine="0" w:firstLineChars="0"/>
              <w:rPr>
                <w:color w:val="000000" w:themeColor="text1"/>
                <w:sz w:val="21"/>
                <w:szCs w:val="21"/>
              </w:rPr>
            </w:pPr>
            <w:r>
              <w:rPr>
                <w:color w:val="000000" w:themeColor="text1"/>
                <w:sz w:val="21"/>
                <w:szCs w:val="21"/>
              </w:rPr>
              <w:t>（9）氮氧化物重点工程减排量(吨)</w:t>
            </w:r>
          </w:p>
        </w:tc>
        <w:tc>
          <w:tcPr>
            <w:tcW w:w="879"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kern w:val="0"/>
                <w:sz w:val="21"/>
                <w:szCs w:val="21"/>
              </w:rPr>
              <w:t>—</w:t>
            </w:r>
          </w:p>
        </w:tc>
        <w:tc>
          <w:tcPr>
            <w:tcW w:w="1595"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kern w:val="0"/>
                <w:sz w:val="21"/>
                <w:szCs w:val="21"/>
              </w:rPr>
              <w:t>—</w:t>
            </w:r>
          </w:p>
        </w:tc>
        <w:tc>
          <w:tcPr>
            <w:tcW w:w="1500" w:type="dxa"/>
            <w:vMerge w:val="restart"/>
            <w:vAlign w:val="center"/>
          </w:tcPr>
          <w:p>
            <w:pPr>
              <w:adjustRightInd w:val="0"/>
              <w:snapToGrid w:val="0"/>
              <w:spacing w:line="300" w:lineRule="exact"/>
              <w:ind w:firstLine="0" w:firstLineChars="0"/>
              <w:rPr>
                <w:color w:val="000000" w:themeColor="text1"/>
                <w:sz w:val="21"/>
                <w:szCs w:val="21"/>
              </w:rPr>
            </w:pPr>
            <w:r>
              <w:rPr>
                <w:color w:val="000000" w:themeColor="text1"/>
                <w:sz w:val="21"/>
                <w:szCs w:val="21"/>
              </w:rPr>
              <w:t>完成市下达目标</w:t>
            </w:r>
          </w:p>
        </w:tc>
        <w:tc>
          <w:tcPr>
            <w:tcW w:w="880"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13" w:type="dxa"/>
            <w:vAlign w:val="center"/>
          </w:tcPr>
          <w:p>
            <w:pPr>
              <w:adjustRightInd w:val="0"/>
              <w:snapToGrid w:val="0"/>
              <w:spacing w:line="300" w:lineRule="exact"/>
              <w:ind w:firstLine="0" w:firstLineChars="0"/>
              <w:rPr>
                <w:color w:val="000000" w:themeColor="text1"/>
                <w:sz w:val="21"/>
                <w:szCs w:val="21"/>
              </w:rPr>
            </w:pPr>
            <w:r>
              <w:rPr>
                <w:color w:val="000000" w:themeColor="text1"/>
                <w:sz w:val="21"/>
                <w:szCs w:val="21"/>
              </w:rPr>
              <w:t>（10）挥发性有机物重点工程减排量(吨)</w:t>
            </w:r>
          </w:p>
        </w:tc>
        <w:tc>
          <w:tcPr>
            <w:tcW w:w="879"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kern w:val="0"/>
                <w:sz w:val="21"/>
                <w:szCs w:val="21"/>
              </w:rPr>
              <w:t>—</w:t>
            </w:r>
          </w:p>
        </w:tc>
        <w:tc>
          <w:tcPr>
            <w:tcW w:w="1595"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kern w:val="0"/>
                <w:sz w:val="21"/>
                <w:szCs w:val="21"/>
              </w:rPr>
              <w:t>—</w:t>
            </w:r>
          </w:p>
        </w:tc>
        <w:tc>
          <w:tcPr>
            <w:tcW w:w="1500" w:type="dxa"/>
            <w:vMerge w:val="continue"/>
          </w:tcPr>
          <w:p>
            <w:pPr>
              <w:adjustRightInd w:val="0"/>
              <w:snapToGrid w:val="0"/>
              <w:spacing w:line="300" w:lineRule="exact"/>
              <w:ind w:firstLine="420"/>
              <w:jc w:val="center"/>
              <w:rPr>
                <w:color w:val="000000" w:themeColor="text1"/>
                <w:sz w:val="21"/>
                <w:szCs w:val="21"/>
              </w:rPr>
            </w:pPr>
          </w:p>
        </w:tc>
        <w:tc>
          <w:tcPr>
            <w:tcW w:w="880"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13" w:type="dxa"/>
            <w:vAlign w:val="center"/>
          </w:tcPr>
          <w:p>
            <w:pPr>
              <w:adjustRightInd w:val="0"/>
              <w:snapToGrid w:val="0"/>
              <w:spacing w:line="300" w:lineRule="exact"/>
              <w:ind w:firstLine="0" w:firstLineChars="0"/>
              <w:rPr>
                <w:color w:val="000000" w:themeColor="text1"/>
                <w:sz w:val="21"/>
                <w:szCs w:val="21"/>
              </w:rPr>
            </w:pPr>
            <w:r>
              <w:rPr>
                <w:color w:val="000000" w:themeColor="text1"/>
                <w:sz w:val="21"/>
                <w:szCs w:val="21"/>
              </w:rPr>
              <w:t>（11）化学需氧量重点工程减排量(吨)</w:t>
            </w:r>
          </w:p>
        </w:tc>
        <w:tc>
          <w:tcPr>
            <w:tcW w:w="879"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kern w:val="0"/>
                <w:sz w:val="21"/>
                <w:szCs w:val="21"/>
              </w:rPr>
              <w:t>—</w:t>
            </w:r>
          </w:p>
        </w:tc>
        <w:tc>
          <w:tcPr>
            <w:tcW w:w="1595"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kern w:val="0"/>
                <w:sz w:val="21"/>
                <w:szCs w:val="21"/>
              </w:rPr>
              <w:t>—</w:t>
            </w:r>
          </w:p>
        </w:tc>
        <w:tc>
          <w:tcPr>
            <w:tcW w:w="1500" w:type="dxa"/>
            <w:vMerge w:val="continue"/>
          </w:tcPr>
          <w:p>
            <w:pPr>
              <w:adjustRightInd w:val="0"/>
              <w:snapToGrid w:val="0"/>
              <w:spacing w:line="300" w:lineRule="exact"/>
              <w:ind w:firstLine="420"/>
              <w:jc w:val="center"/>
              <w:rPr>
                <w:color w:val="000000" w:themeColor="text1"/>
                <w:sz w:val="21"/>
                <w:szCs w:val="21"/>
              </w:rPr>
            </w:pPr>
          </w:p>
        </w:tc>
        <w:tc>
          <w:tcPr>
            <w:tcW w:w="880"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13" w:type="dxa"/>
            <w:vAlign w:val="center"/>
          </w:tcPr>
          <w:p>
            <w:pPr>
              <w:adjustRightInd w:val="0"/>
              <w:snapToGrid w:val="0"/>
              <w:spacing w:line="300" w:lineRule="exact"/>
              <w:ind w:firstLine="0" w:firstLineChars="0"/>
              <w:rPr>
                <w:color w:val="000000" w:themeColor="text1"/>
                <w:sz w:val="21"/>
                <w:szCs w:val="21"/>
              </w:rPr>
            </w:pPr>
            <w:r>
              <w:rPr>
                <w:color w:val="000000" w:themeColor="text1"/>
                <w:sz w:val="21"/>
                <w:szCs w:val="21"/>
              </w:rPr>
              <w:t>（12）氨氮重点工程减排量(吨)</w:t>
            </w:r>
          </w:p>
        </w:tc>
        <w:tc>
          <w:tcPr>
            <w:tcW w:w="879"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kern w:val="0"/>
                <w:sz w:val="21"/>
                <w:szCs w:val="21"/>
              </w:rPr>
              <w:t>—</w:t>
            </w:r>
          </w:p>
        </w:tc>
        <w:tc>
          <w:tcPr>
            <w:tcW w:w="1595"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kern w:val="0"/>
                <w:sz w:val="21"/>
                <w:szCs w:val="21"/>
              </w:rPr>
              <w:t>—</w:t>
            </w:r>
          </w:p>
        </w:tc>
        <w:tc>
          <w:tcPr>
            <w:tcW w:w="1500" w:type="dxa"/>
            <w:vMerge w:val="continue"/>
          </w:tcPr>
          <w:p>
            <w:pPr>
              <w:adjustRightInd w:val="0"/>
              <w:snapToGrid w:val="0"/>
              <w:spacing w:line="300" w:lineRule="exact"/>
              <w:ind w:firstLine="0" w:firstLineChars="0"/>
              <w:jc w:val="center"/>
              <w:rPr>
                <w:color w:val="000000" w:themeColor="text1"/>
                <w:sz w:val="21"/>
                <w:szCs w:val="21"/>
              </w:rPr>
            </w:pPr>
          </w:p>
        </w:tc>
        <w:tc>
          <w:tcPr>
            <w:tcW w:w="880"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167" w:type="dxa"/>
            <w:gridSpan w:val="5"/>
            <w:vAlign w:val="center"/>
          </w:tcPr>
          <w:p>
            <w:pPr>
              <w:adjustRightInd w:val="0"/>
              <w:snapToGrid w:val="0"/>
              <w:spacing w:line="300" w:lineRule="exact"/>
              <w:ind w:firstLine="0" w:firstLineChars="0"/>
              <w:jc w:val="left"/>
              <w:rPr>
                <w:color w:val="000000" w:themeColor="text1"/>
                <w:sz w:val="21"/>
                <w:szCs w:val="21"/>
              </w:rPr>
            </w:pPr>
            <w:r>
              <w:rPr>
                <w:b/>
                <w:color w:val="000000" w:themeColor="text1"/>
                <w:sz w:val="21"/>
                <w:szCs w:val="21"/>
              </w:rPr>
              <w:t>（二）应对气候变化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13" w:type="dxa"/>
            <w:vAlign w:val="center"/>
          </w:tcPr>
          <w:p>
            <w:pPr>
              <w:adjustRightInd w:val="0"/>
              <w:snapToGrid w:val="0"/>
              <w:spacing w:line="300" w:lineRule="exact"/>
              <w:ind w:firstLine="0" w:firstLineChars="0"/>
              <w:rPr>
                <w:color w:val="000000" w:themeColor="text1"/>
                <w:sz w:val="21"/>
                <w:szCs w:val="21"/>
              </w:rPr>
            </w:pPr>
            <w:r>
              <w:rPr>
                <w:color w:val="000000" w:themeColor="text1"/>
                <w:sz w:val="21"/>
                <w:szCs w:val="21"/>
              </w:rPr>
              <w:t>（13）单位地区生产总值二氧化碳排放降低（%）</w:t>
            </w:r>
          </w:p>
        </w:tc>
        <w:tc>
          <w:tcPr>
            <w:tcW w:w="879"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kern w:val="0"/>
                <w:sz w:val="21"/>
                <w:szCs w:val="21"/>
              </w:rPr>
              <w:t>—</w:t>
            </w:r>
          </w:p>
        </w:tc>
        <w:tc>
          <w:tcPr>
            <w:tcW w:w="1595"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kern w:val="0"/>
                <w:sz w:val="21"/>
                <w:szCs w:val="21"/>
              </w:rPr>
              <w:t>—</w:t>
            </w:r>
          </w:p>
        </w:tc>
        <w:tc>
          <w:tcPr>
            <w:tcW w:w="1500"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完成市下达目标</w:t>
            </w:r>
          </w:p>
        </w:tc>
        <w:tc>
          <w:tcPr>
            <w:tcW w:w="880"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13" w:type="dxa"/>
            <w:vAlign w:val="center"/>
          </w:tcPr>
          <w:p>
            <w:pPr>
              <w:adjustRightInd w:val="0"/>
              <w:snapToGrid w:val="0"/>
              <w:spacing w:line="300" w:lineRule="exact"/>
              <w:ind w:firstLine="0" w:firstLineChars="0"/>
              <w:rPr>
                <w:color w:val="000000" w:themeColor="text1"/>
                <w:sz w:val="21"/>
                <w:szCs w:val="21"/>
              </w:rPr>
            </w:pPr>
            <w:r>
              <w:rPr>
                <w:color w:val="000000" w:themeColor="text1"/>
                <w:sz w:val="21"/>
                <w:szCs w:val="21"/>
              </w:rPr>
              <w:t>（14）单位地区生产总值能源消耗降低（%）</w:t>
            </w:r>
          </w:p>
        </w:tc>
        <w:tc>
          <w:tcPr>
            <w:tcW w:w="879"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kern w:val="0"/>
                <w:sz w:val="21"/>
                <w:szCs w:val="21"/>
              </w:rPr>
              <w:t>2.2</w:t>
            </w:r>
          </w:p>
        </w:tc>
        <w:tc>
          <w:tcPr>
            <w:tcW w:w="1595"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kern w:val="0"/>
                <w:sz w:val="21"/>
                <w:szCs w:val="21"/>
              </w:rPr>
              <w:t>—</w:t>
            </w:r>
          </w:p>
        </w:tc>
        <w:tc>
          <w:tcPr>
            <w:tcW w:w="1500" w:type="dxa"/>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完成市下达目标</w:t>
            </w:r>
          </w:p>
        </w:tc>
        <w:tc>
          <w:tcPr>
            <w:tcW w:w="880"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13" w:type="dxa"/>
            <w:vAlign w:val="center"/>
          </w:tcPr>
          <w:p>
            <w:pPr>
              <w:adjustRightInd w:val="0"/>
              <w:snapToGrid w:val="0"/>
              <w:spacing w:line="300" w:lineRule="exact"/>
              <w:ind w:firstLine="0" w:firstLineChars="0"/>
              <w:rPr>
                <w:color w:val="000000" w:themeColor="text1"/>
                <w:sz w:val="21"/>
                <w:szCs w:val="21"/>
              </w:rPr>
            </w:pPr>
            <w:r>
              <w:rPr>
                <w:color w:val="000000" w:themeColor="text1"/>
                <w:sz w:val="21"/>
                <w:szCs w:val="21"/>
              </w:rPr>
              <w:t>（15）非化石能源占能源消费比例（%）</w:t>
            </w:r>
          </w:p>
        </w:tc>
        <w:tc>
          <w:tcPr>
            <w:tcW w:w="879"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kern w:val="0"/>
                <w:sz w:val="21"/>
                <w:szCs w:val="21"/>
              </w:rPr>
              <w:t>53.0</w:t>
            </w:r>
          </w:p>
        </w:tc>
        <w:tc>
          <w:tcPr>
            <w:tcW w:w="1595"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完成市下达目标</w:t>
            </w:r>
          </w:p>
        </w:tc>
        <w:tc>
          <w:tcPr>
            <w:tcW w:w="1500" w:type="dxa"/>
          </w:tcPr>
          <w:p>
            <w:pPr>
              <w:adjustRightInd w:val="0"/>
              <w:snapToGrid w:val="0"/>
              <w:spacing w:line="300" w:lineRule="exact"/>
              <w:ind w:firstLine="0" w:firstLineChars="0"/>
              <w:jc w:val="center"/>
              <w:rPr>
                <w:color w:val="000000" w:themeColor="text1"/>
                <w:sz w:val="21"/>
                <w:szCs w:val="21"/>
              </w:rPr>
            </w:pPr>
          </w:p>
        </w:tc>
        <w:tc>
          <w:tcPr>
            <w:tcW w:w="880"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167" w:type="dxa"/>
            <w:gridSpan w:val="5"/>
            <w:vAlign w:val="center"/>
          </w:tcPr>
          <w:p>
            <w:pPr>
              <w:adjustRightInd w:val="0"/>
              <w:snapToGrid w:val="0"/>
              <w:spacing w:line="300" w:lineRule="exact"/>
              <w:ind w:firstLine="0" w:firstLineChars="0"/>
              <w:jc w:val="left"/>
              <w:rPr>
                <w:color w:val="000000" w:themeColor="text1"/>
                <w:sz w:val="21"/>
                <w:szCs w:val="21"/>
              </w:rPr>
            </w:pPr>
            <w:r>
              <w:rPr>
                <w:b/>
                <w:color w:val="000000" w:themeColor="text1"/>
                <w:sz w:val="21"/>
                <w:szCs w:val="21"/>
              </w:rPr>
              <w:t>（三）环境风险防控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13" w:type="dxa"/>
          </w:tcPr>
          <w:p>
            <w:pPr>
              <w:adjustRightInd w:val="0"/>
              <w:snapToGrid w:val="0"/>
              <w:spacing w:line="300" w:lineRule="exact"/>
              <w:ind w:firstLine="0" w:firstLineChars="0"/>
              <w:rPr>
                <w:color w:val="000000" w:themeColor="text1"/>
                <w:sz w:val="21"/>
                <w:szCs w:val="21"/>
              </w:rPr>
            </w:pPr>
            <w:r>
              <w:rPr>
                <w:color w:val="000000" w:themeColor="text1"/>
                <w:sz w:val="21"/>
                <w:szCs w:val="21"/>
              </w:rPr>
              <w:t>（16）重点建设用地安全利用</w:t>
            </w:r>
          </w:p>
        </w:tc>
        <w:tc>
          <w:tcPr>
            <w:tcW w:w="879"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kern w:val="0"/>
                <w:sz w:val="21"/>
                <w:szCs w:val="21"/>
              </w:rPr>
              <w:t>—</w:t>
            </w:r>
          </w:p>
        </w:tc>
        <w:tc>
          <w:tcPr>
            <w:tcW w:w="1595" w:type="dxa"/>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完成市下达目标</w:t>
            </w:r>
          </w:p>
        </w:tc>
        <w:tc>
          <w:tcPr>
            <w:tcW w:w="1500" w:type="dxa"/>
            <w:vAlign w:val="center"/>
          </w:tcPr>
          <w:p>
            <w:pPr>
              <w:adjustRightInd w:val="0"/>
              <w:snapToGrid w:val="0"/>
              <w:spacing w:line="300" w:lineRule="exact"/>
              <w:ind w:firstLine="0" w:firstLineChars="0"/>
              <w:jc w:val="center"/>
              <w:rPr>
                <w:color w:val="000000" w:themeColor="text1"/>
                <w:sz w:val="21"/>
                <w:szCs w:val="21"/>
              </w:rPr>
            </w:pPr>
          </w:p>
        </w:tc>
        <w:tc>
          <w:tcPr>
            <w:tcW w:w="880"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167" w:type="dxa"/>
            <w:gridSpan w:val="5"/>
            <w:vAlign w:val="center"/>
          </w:tcPr>
          <w:p>
            <w:pPr>
              <w:adjustRightInd w:val="0"/>
              <w:snapToGrid w:val="0"/>
              <w:spacing w:line="300" w:lineRule="exact"/>
              <w:ind w:firstLine="0" w:firstLineChars="0"/>
              <w:jc w:val="left"/>
              <w:rPr>
                <w:color w:val="000000" w:themeColor="text1"/>
                <w:sz w:val="21"/>
                <w:szCs w:val="21"/>
              </w:rPr>
            </w:pPr>
            <w:r>
              <w:rPr>
                <w:b/>
                <w:color w:val="000000" w:themeColor="text1"/>
                <w:sz w:val="21"/>
                <w:szCs w:val="21"/>
              </w:rPr>
              <w:t>（四）生态保护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13" w:type="dxa"/>
            <w:vAlign w:val="center"/>
          </w:tcPr>
          <w:p>
            <w:pPr>
              <w:adjustRightInd w:val="0"/>
              <w:snapToGrid w:val="0"/>
              <w:spacing w:line="300" w:lineRule="exact"/>
              <w:ind w:firstLine="0" w:firstLineChars="0"/>
              <w:rPr>
                <w:color w:val="000000" w:themeColor="text1"/>
                <w:sz w:val="21"/>
                <w:szCs w:val="21"/>
              </w:rPr>
            </w:pPr>
            <w:r>
              <w:rPr>
                <w:color w:val="000000" w:themeColor="text1"/>
                <w:sz w:val="21"/>
                <w:szCs w:val="21"/>
              </w:rPr>
              <w:t>（17）生态质量指数（EQI）</w:t>
            </w:r>
          </w:p>
        </w:tc>
        <w:tc>
          <w:tcPr>
            <w:tcW w:w="879"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kern w:val="0"/>
                <w:sz w:val="21"/>
                <w:szCs w:val="21"/>
              </w:rPr>
              <w:t>—</w:t>
            </w:r>
          </w:p>
        </w:tc>
        <w:tc>
          <w:tcPr>
            <w:tcW w:w="1595"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稳中向好</w:t>
            </w:r>
          </w:p>
        </w:tc>
        <w:tc>
          <w:tcPr>
            <w:tcW w:w="1500" w:type="dxa"/>
            <w:vAlign w:val="center"/>
          </w:tcPr>
          <w:p>
            <w:pPr>
              <w:adjustRightInd w:val="0"/>
              <w:snapToGrid w:val="0"/>
              <w:spacing w:line="300" w:lineRule="exact"/>
              <w:ind w:firstLine="0" w:firstLineChars="0"/>
              <w:jc w:val="center"/>
              <w:rPr>
                <w:color w:val="000000" w:themeColor="text1"/>
                <w:sz w:val="21"/>
                <w:szCs w:val="21"/>
              </w:rPr>
            </w:pPr>
          </w:p>
        </w:tc>
        <w:tc>
          <w:tcPr>
            <w:tcW w:w="880"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13" w:type="dxa"/>
            <w:vAlign w:val="center"/>
          </w:tcPr>
          <w:p>
            <w:pPr>
              <w:adjustRightInd w:val="0"/>
              <w:snapToGrid w:val="0"/>
              <w:spacing w:line="300" w:lineRule="exact"/>
              <w:ind w:firstLine="0" w:firstLineChars="0"/>
              <w:rPr>
                <w:b/>
                <w:color w:val="000000" w:themeColor="text1"/>
                <w:sz w:val="21"/>
                <w:szCs w:val="21"/>
              </w:rPr>
            </w:pPr>
            <w:r>
              <w:rPr>
                <w:color w:val="000000" w:themeColor="text1"/>
                <w:sz w:val="21"/>
                <w:szCs w:val="21"/>
              </w:rPr>
              <w:t>（18）森林覆盖率（%）</w:t>
            </w:r>
          </w:p>
        </w:tc>
        <w:tc>
          <w:tcPr>
            <w:tcW w:w="879"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42.7</w:t>
            </w:r>
          </w:p>
        </w:tc>
        <w:tc>
          <w:tcPr>
            <w:tcW w:w="1595"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完成市下达目标</w:t>
            </w:r>
          </w:p>
        </w:tc>
        <w:tc>
          <w:tcPr>
            <w:tcW w:w="1500" w:type="dxa"/>
            <w:vAlign w:val="center"/>
          </w:tcPr>
          <w:p>
            <w:pPr>
              <w:adjustRightInd w:val="0"/>
              <w:snapToGrid w:val="0"/>
              <w:spacing w:line="300" w:lineRule="exact"/>
              <w:ind w:firstLine="0" w:firstLineChars="0"/>
              <w:jc w:val="center"/>
              <w:rPr>
                <w:color w:val="000000" w:themeColor="text1"/>
                <w:sz w:val="21"/>
                <w:szCs w:val="21"/>
              </w:rPr>
            </w:pPr>
          </w:p>
        </w:tc>
        <w:tc>
          <w:tcPr>
            <w:tcW w:w="880" w:type="dxa"/>
            <w:vAlign w:val="center"/>
          </w:tcPr>
          <w:p>
            <w:pPr>
              <w:adjustRightInd w:val="0"/>
              <w:snapToGrid w:val="0"/>
              <w:spacing w:line="300" w:lineRule="exact"/>
              <w:ind w:firstLine="0" w:firstLineChars="0"/>
              <w:jc w:val="center"/>
              <w:rPr>
                <w:color w:val="000000" w:themeColor="text1"/>
                <w:sz w:val="21"/>
                <w:szCs w:val="21"/>
              </w:rPr>
            </w:pPr>
            <w:r>
              <w:rPr>
                <w:color w:val="000000" w:themeColor="text1"/>
                <w:sz w:val="21"/>
                <w:szCs w:val="21"/>
              </w:rPr>
              <w:t>约束性</w:t>
            </w:r>
          </w:p>
        </w:tc>
      </w:tr>
    </w:tbl>
    <w:p>
      <w:pPr>
        <w:pStyle w:val="2"/>
        <w:ind w:firstLine="0" w:firstLineChars="0"/>
        <w:rPr>
          <w:color w:val="000000" w:themeColor="text1"/>
        </w:rPr>
      </w:pPr>
      <w:bookmarkStart w:id="48" w:name="_Toc17658"/>
      <w:bookmarkStart w:id="49" w:name="_Toc13410"/>
      <w:bookmarkStart w:id="50" w:name="_Toc22919"/>
      <w:r>
        <w:rPr>
          <w:color w:val="000000" w:themeColor="text1"/>
        </w:rPr>
        <w:br w:type="page"/>
      </w:r>
    </w:p>
    <w:p>
      <w:pPr>
        <w:pStyle w:val="76"/>
        <w:adjustRightInd w:val="0"/>
        <w:snapToGrid w:val="0"/>
        <w:spacing w:before="156" w:after="156" w:line="353" w:lineRule="auto"/>
        <w:ind w:left="48"/>
        <w:rPr>
          <w:b w:val="0"/>
          <w:color w:val="000000" w:themeColor="text1"/>
          <w:sz w:val="44"/>
          <w:szCs w:val="44"/>
        </w:rPr>
      </w:pPr>
      <w:bookmarkStart w:id="51" w:name="_Toc105669365"/>
      <w:r>
        <w:rPr>
          <w:b w:val="0"/>
          <w:color w:val="000000" w:themeColor="text1"/>
          <w:sz w:val="44"/>
          <w:szCs w:val="44"/>
        </w:rPr>
        <w:t>第三章　主要任务</w:t>
      </w:r>
      <w:bookmarkEnd w:id="51"/>
    </w:p>
    <w:p>
      <w:pPr>
        <w:pStyle w:val="3"/>
        <w:adjustRightInd w:val="0"/>
        <w:snapToGrid w:val="0"/>
        <w:spacing w:before="0" w:after="0" w:line="353" w:lineRule="auto"/>
        <w:ind w:firstLine="640" w:firstLineChars="200"/>
        <w:jc w:val="center"/>
        <w:rPr>
          <w:rFonts w:eastAsia="黑体"/>
          <w:b w:val="0"/>
          <w:bCs/>
          <w:color w:val="000000" w:themeColor="text1"/>
          <w:sz w:val="32"/>
          <w:szCs w:val="32"/>
        </w:rPr>
      </w:pPr>
      <w:bookmarkStart w:id="52" w:name="_Toc105669366"/>
      <w:r>
        <w:rPr>
          <w:rFonts w:eastAsia="黑体"/>
          <w:b w:val="0"/>
          <w:bCs/>
          <w:color w:val="000000" w:themeColor="text1"/>
          <w:sz w:val="32"/>
          <w:szCs w:val="32"/>
        </w:rPr>
        <w:t>第一节　探索合理路径，推动区域碳排放达峰先行</w:t>
      </w:r>
      <w:bookmarkEnd w:id="48"/>
      <w:bookmarkEnd w:id="49"/>
      <w:bookmarkEnd w:id="50"/>
      <w:bookmarkEnd w:id="52"/>
    </w:p>
    <w:p>
      <w:pPr>
        <w:pStyle w:val="3"/>
        <w:adjustRightInd w:val="0"/>
        <w:snapToGrid w:val="0"/>
        <w:spacing w:before="0" w:after="0" w:line="353" w:lineRule="auto"/>
        <w:ind w:firstLine="640" w:firstLineChars="200"/>
        <w:jc w:val="both"/>
        <w:rPr>
          <w:rFonts w:eastAsia="楷体_GB2312"/>
          <w:b w:val="0"/>
          <w:bCs/>
          <w:color w:val="000000" w:themeColor="text1"/>
          <w:sz w:val="32"/>
          <w:szCs w:val="32"/>
        </w:rPr>
      </w:pPr>
      <w:bookmarkStart w:id="53" w:name="_Toc6035"/>
      <w:bookmarkStart w:id="54" w:name="_Toc13840"/>
      <w:bookmarkStart w:id="55" w:name="_Toc105669367"/>
      <w:bookmarkStart w:id="56" w:name="_Toc29521"/>
      <w:r>
        <w:rPr>
          <w:rFonts w:eastAsia="楷体_GB2312"/>
          <w:b w:val="0"/>
          <w:bCs/>
          <w:color w:val="000000" w:themeColor="text1"/>
          <w:sz w:val="32"/>
          <w:szCs w:val="32"/>
        </w:rPr>
        <w:t>（一）积极推进碳达峰行动</w:t>
      </w:r>
      <w:bookmarkEnd w:id="53"/>
      <w:bookmarkEnd w:id="54"/>
      <w:bookmarkEnd w:id="55"/>
      <w:bookmarkEnd w:id="56"/>
      <w:r>
        <w:rPr>
          <w:rFonts w:eastAsia="楷体_GB2312"/>
          <w:b w:val="0"/>
          <w:bCs/>
          <w:color w:val="000000" w:themeColor="text1"/>
          <w:sz w:val="32"/>
          <w:szCs w:val="32"/>
        </w:rPr>
        <w:t>。</w:t>
      </w:r>
    </w:p>
    <w:p>
      <w:pPr>
        <w:adjustRightInd w:val="0"/>
        <w:snapToGrid w:val="0"/>
        <w:spacing w:line="353" w:lineRule="auto"/>
        <w:ind w:firstLine="640"/>
        <w:rPr>
          <w:color w:val="000000" w:themeColor="text1"/>
          <w:sz w:val="32"/>
          <w:szCs w:val="32"/>
        </w:rPr>
      </w:pPr>
      <w:r>
        <w:rPr>
          <w:bCs/>
          <w:color w:val="000000" w:themeColor="text1"/>
          <w:sz w:val="32"/>
          <w:szCs w:val="32"/>
        </w:rPr>
        <w:t>探索碳达峰路径。</w:t>
      </w:r>
      <w:r>
        <w:rPr>
          <w:color w:val="000000" w:themeColor="text1"/>
          <w:sz w:val="32"/>
          <w:szCs w:val="32"/>
        </w:rPr>
        <w:t>探索实施以二氧化碳排放强度控制为主、总量控制为辅的制度，有效控制二氧化碳排放增量，持续降低碳排放强度。</w:t>
      </w:r>
      <w:r>
        <w:rPr>
          <w:bCs/>
          <w:color w:val="000000" w:themeColor="text1"/>
          <w:sz w:val="32"/>
          <w:szCs w:val="32"/>
        </w:rPr>
        <w:t>开展</w:t>
      </w:r>
      <w:r>
        <w:rPr>
          <w:color w:val="000000" w:themeColor="text1"/>
          <w:sz w:val="32"/>
          <w:szCs w:val="32"/>
        </w:rPr>
        <w:t>区域二氧化碳排放达峰研究，研判二氧化碳排放变化趋势和特点，落实二氧化碳达峰行动方案要求，根据区域二氧化碳排放达峰总体目标、阶段性任务和重要举措，探索符合战略定位、发展阶段、城镇化态势、产业特征、能源结构和资源禀赋的低碳转型路径。优先推动年碳排放50万吨及以上的企业制定碳达峰、碳中和行动方案。指导推动钢铁、化工等重点行业编制碳达峰行动方案。</w:t>
      </w:r>
    </w:p>
    <w:p>
      <w:pPr>
        <w:adjustRightInd w:val="0"/>
        <w:snapToGrid w:val="0"/>
        <w:spacing w:line="353" w:lineRule="auto"/>
        <w:ind w:firstLine="640"/>
        <w:rPr>
          <w:color w:val="000000" w:themeColor="text1"/>
          <w:sz w:val="32"/>
          <w:szCs w:val="32"/>
        </w:rPr>
      </w:pPr>
      <w:r>
        <w:rPr>
          <w:bCs/>
          <w:color w:val="000000" w:themeColor="text1"/>
          <w:sz w:val="32"/>
          <w:szCs w:val="32"/>
        </w:rPr>
        <w:t>优化现有能源结构。加强煤炭消费减量替代管理，</w:t>
      </w:r>
      <w:r>
        <w:rPr>
          <w:color w:val="000000" w:themeColor="text1"/>
          <w:sz w:val="32"/>
          <w:szCs w:val="32"/>
        </w:rPr>
        <w:t>推动渣铁渣钢余热回收利用、</w:t>
      </w:r>
      <w:r>
        <w:rPr>
          <w:bCs/>
          <w:color w:val="000000" w:themeColor="text1"/>
          <w:sz w:val="32"/>
          <w:szCs w:val="32"/>
        </w:rPr>
        <w:t>燃煤电厂电能替代，逐步</w:t>
      </w:r>
      <w:r>
        <w:rPr>
          <w:rFonts w:hint="eastAsia"/>
          <w:bCs/>
          <w:color w:val="000000" w:themeColor="text1"/>
          <w:sz w:val="32"/>
          <w:szCs w:val="32"/>
        </w:rPr>
        <w:t>降低</w:t>
      </w:r>
      <w:r>
        <w:rPr>
          <w:bCs/>
          <w:color w:val="000000" w:themeColor="text1"/>
          <w:sz w:val="32"/>
          <w:szCs w:val="32"/>
        </w:rPr>
        <w:t>化石能源消费占比。聚焦绿色低碳优势产业，协同推进减碳降污，加强可再生能源开发</w:t>
      </w:r>
      <w:r>
        <w:rPr>
          <w:color w:val="000000" w:themeColor="text1"/>
          <w:sz w:val="32"/>
          <w:szCs w:val="32"/>
        </w:rPr>
        <w:t>利用，推动“水</w:t>
      </w:r>
      <w:r>
        <w:rPr>
          <w:rFonts w:hint="eastAsia"/>
          <w:color w:val="000000" w:themeColor="text1"/>
          <w:sz w:val="32"/>
          <w:szCs w:val="32"/>
        </w:rPr>
        <w:t>风</w:t>
      </w:r>
      <w:r>
        <w:rPr>
          <w:color w:val="000000" w:themeColor="text1"/>
          <w:sz w:val="32"/>
          <w:szCs w:val="32"/>
        </w:rPr>
        <w:t>光氢储”</w:t>
      </w:r>
      <w:r>
        <w:rPr>
          <w:rFonts w:hint="eastAsia"/>
          <w:color w:val="000000" w:themeColor="text1"/>
          <w:sz w:val="32"/>
          <w:szCs w:val="32"/>
        </w:rPr>
        <w:t>五位</w:t>
      </w:r>
      <w:r>
        <w:rPr>
          <w:color w:val="000000" w:themeColor="text1"/>
          <w:sz w:val="32"/>
          <w:szCs w:val="32"/>
        </w:rPr>
        <w:t>一体、多能互补、协调发展，加快构建清洁低碳、安全高效能源体系。实施清洁能源建设系统化工程，推进缅气入攀、银江水电煤炭消费减量替代工程建设，鼓励屋顶分布式光伏发电等项目实施，实现能源消费中清洁能源和可再生能源占比进一步提高。</w:t>
      </w:r>
    </w:p>
    <w:p>
      <w:pPr>
        <w:adjustRightInd w:val="0"/>
        <w:snapToGrid w:val="0"/>
        <w:spacing w:line="353" w:lineRule="auto"/>
        <w:ind w:firstLine="640"/>
        <w:rPr>
          <w:bCs/>
          <w:color w:val="000000" w:themeColor="text1"/>
          <w:sz w:val="32"/>
          <w:szCs w:val="32"/>
        </w:rPr>
      </w:pPr>
      <w:r>
        <w:rPr>
          <w:bCs/>
          <w:color w:val="000000" w:themeColor="text1"/>
          <w:sz w:val="32"/>
          <w:szCs w:val="32"/>
        </w:rPr>
        <w:t>统筹推进氢能产业发展。</w:t>
      </w:r>
      <w:r>
        <w:rPr>
          <w:color w:val="000000" w:themeColor="text1"/>
          <w:sz w:val="32"/>
          <w:szCs w:val="32"/>
        </w:rPr>
        <w:t>抢抓氢能产业发展重大机遇，</w:t>
      </w:r>
      <w:r>
        <w:rPr>
          <w:bCs/>
          <w:color w:val="000000" w:themeColor="text1"/>
          <w:sz w:val="32"/>
          <w:szCs w:val="32"/>
        </w:rPr>
        <w:t>建立以绿氢为主、集中式供氢和分布式供氢相结合的低成本氢气供应体系。探索发展氢储存产业，加快推进大容量储氢容器产品化、产业化。科学规划高效、低成本的氢输送网络，统筹建设加氢综合能源站和氢储能、氢运输示范应用等项目。大力推进氢能在交通领域的应用示范，推广氢燃料电池重卡汽车，开通氢燃料电池公交示范线，加大氢能在矿山运输、长途货运、城际物流、旅游客运等方面的应用</w:t>
      </w:r>
      <w:r>
        <w:rPr>
          <w:rFonts w:hint="eastAsia"/>
          <w:bCs/>
          <w:color w:val="000000" w:themeColor="text1"/>
          <w:sz w:val="32"/>
          <w:szCs w:val="32"/>
        </w:rPr>
        <w:t>推广</w:t>
      </w:r>
      <w:r>
        <w:rPr>
          <w:bCs/>
          <w:color w:val="000000" w:themeColor="text1"/>
          <w:sz w:val="32"/>
          <w:szCs w:val="32"/>
        </w:rPr>
        <w:t>力度。</w:t>
      </w:r>
    </w:p>
    <w:p>
      <w:pPr>
        <w:pStyle w:val="79"/>
        <w:adjustRightInd w:val="0"/>
        <w:snapToGrid w:val="0"/>
        <w:spacing w:line="353" w:lineRule="auto"/>
        <w:ind w:firstLine="640" w:firstLineChars="200"/>
        <w:rPr>
          <w:rFonts w:ascii="Times New Roman" w:eastAsia="楷体_GB2312"/>
          <w:b w:val="0"/>
          <w:bCs/>
          <w:color w:val="000000" w:themeColor="text1"/>
          <w:kern w:val="44"/>
          <w:sz w:val="32"/>
          <w:szCs w:val="32"/>
        </w:rPr>
      </w:pPr>
      <w:bookmarkStart w:id="57" w:name="_Toc105669368"/>
      <w:r>
        <w:rPr>
          <w:rFonts w:ascii="Times New Roman" w:eastAsia="楷体_GB2312"/>
          <w:b w:val="0"/>
          <w:bCs/>
          <w:color w:val="000000" w:themeColor="text1"/>
          <w:kern w:val="44"/>
          <w:sz w:val="32"/>
          <w:szCs w:val="32"/>
        </w:rPr>
        <w:t>（二）有效控制温室气体排放</w:t>
      </w:r>
      <w:bookmarkEnd w:id="57"/>
      <w:r>
        <w:rPr>
          <w:rFonts w:hint="eastAsia" w:ascii="Times New Roman" w:eastAsia="楷体_GB2312"/>
          <w:b w:val="0"/>
          <w:bCs/>
          <w:color w:val="000000" w:themeColor="text1"/>
          <w:kern w:val="44"/>
          <w:sz w:val="32"/>
          <w:szCs w:val="32"/>
        </w:rPr>
        <w:t>。</w:t>
      </w:r>
    </w:p>
    <w:p>
      <w:pPr>
        <w:adjustRightInd w:val="0"/>
        <w:snapToGrid w:val="0"/>
        <w:spacing w:line="353" w:lineRule="auto"/>
        <w:ind w:firstLine="640"/>
        <w:rPr>
          <w:color w:val="000000" w:themeColor="text1"/>
          <w:sz w:val="32"/>
          <w:szCs w:val="32"/>
        </w:rPr>
      </w:pPr>
      <w:r>
        <w:rPr>
          <w:bCs/>
          <w:color w:val="000000" w:themeColor="text1"/>
          <w:sz w:val="32"/>
          <w:szCs w:val="32"/>
        </w:rPr>
        <w:t>降低二氧化碳排放。</w:t>
      </w:r>
      <w:r>
        <w:rPr>
          <w:color w:val="000000" w:themeColor="text1"/>
          <w:sz w:val="32"/>
          <w:szCs w:val="32"/>
        </w:rPr>
        <w:t>加快调整产业结构、能源结构、交通运输结构和用地结构，降低重点领域二氧化碳排放。强化工业领域碳排放控制，积极推广低碳新工艺、新技术，支持采取原料替代、工艺改进、设备更新等措施减少工业过程二氧化碳排放。推进绿色低碳交通运输体系建设，控制交通领域二氧化碳排放。大力发展节能低碳建筑，推广绿色低碳建材，推进城镇既有建筑和市政基础设施节能改造。</w:t>
      </w:r>
    </w:p>
    <w:p>
      <w:pPr>
        <w:adjustRightInd w:val="0"/>
        <w:snapToGrid w:val="0"/>
        <w:spacing w:line="353" w:lineRule="auto"/>
        <w:ind w:firstLine="640"/>
        <w:rPr>
          <w:color w:val="000000" w:themeColor="text1"/>
          <w:sz w:val="32"/>
          <w:szCs w:val="32"/>
        </w:rPr>
      </w:pPr>
      <w:r>
        <w:rPr>
          <w:bCs/>
          <w:color w:val="000000" w:themeColor="text1"/>
          <w:sz w:val="32"/>
          <w:szCs w:val="32"/>
        </w:rPr>
        <w:t>控制非二氧化碳温室气体排放。</w:t>
      </w:r>
      <w:r>
        <w:rPr>
          <w:color w:val="000000" w:themeColor="text1"/>
          <w:sz w:val="32"/>
          <w:szCs w:val="32"/>
        </w:rPr>
        <w:t>加强甲烷、氧化亚氮、氢氟碳化物、全氟化碳、六氟化硫、三氟化氮等非二氧化碳温室气体排放控制。控制农业生产活动及市政设施温室气体排放，加强畜禽养殖废弃物污染治理和综合利用，强化污水处理厂（站）、垃圾填埋厂等集中处置设施的运维管理，协同控制甲烷、氧化亚氮等温室气体。</w:t>
      </w:r>
    </w:p>
    <w:p>
      <w:pPr>
        <w:pStyle w:val="2"/>
        <w:adjustRightInd w:val="0"/>
        <w:snapToGrid w:val="0"/>
        <w:spacing w:line="353" w:lineRule="auto"/>
        <w:ind w:firstLine="640"/>
        <w:rPr>
          <w:color w:val="000000" w:themeColor="text1"/>
          <w:sz w:val="32"/>
          <w:szCs w:val="32"/>
        </w:rPr>
      </w:pPr>
      <w:r>
        <w:rPr>
          <w:bCs/>
          <w:color w:val="000000" w:themeColor="text1"/>
          <w:sz w:val="32"/>
          <w:szCs w:val="32"/>
        </w:rPr>
        <w:t>提升生态系统碳汇能力。</w:t>
      </w:r>
      <w:r>
        <w:rPr>
          <w:color w:val="000000" w:themeColor="text1"/>
          <w:sz w:val="32"/>
          <w:szCs w:val="32"/>
        </w:rPr>
        <w:t>实施碳汇造林、岸线植被恢复、金沙江下游干热河谷区造林绿化、干热河谷生态脆弱区修复治理、森林质量精准提</w:t>
      </w:r>
      <w:r>
        <w:rPr>
          <w:rFonts w:hint="eastAsia"/>
          <w:color w:val="000000" w:themeColor="text1"/>
          <w:sz w:val="32"/>
          <w:szCs w:val="32"/>
        </w:rPr>
        <w:t>高</w:t>
      </w:r>
      <w:r>
        <w:rPr>
          <w:color w:val="000000" w:themeColor="text1"/>
          <w:sz w:val="32"/>
          <w:szCs w:val="32"/>
        </w:rPr>
        <w:t>等提</w:t>
      </w:r>
      <w:r>
        <w:rPr>
          <w:rFonts w:hint="eastAsia"/>
          <w:color w:val="000000" w:themeColor="text1"/>
          <w:sz w:val="32"/>
          <w:szCs w:val="32"/>
        </w:rPr>
        <w:t>升</w:t>
      </w:r>
      <w:r>
        <w:rPr>
          <w:color w:val="000000" w:themeColor="text1"/>
          <w:sz w:val="32"/>
          <w:szCs w:val="32"/>
        </w:rPr>
        <w:t>生态系统碳汇能力。</w:t>
      </w:r>
      <w:r>
        <w:rPr>
          <w:rFonts w:hint="eastAsia"/>
          <w:color w:val="000000" w:themeColor="text1"/>
          <w:sz w:val="32"/>
          <w:szCs w:val="32"/>
        </w:rPr>
        <w:t>巩固</w:t>
      </w:r>
      <w:r>
        <w:rPr>
          <w:color w:val="000000" w:themeColor="text1"/>
          <w:sz w:val="32"/>
          <w:szCs w:val="32"/>
        </w:rPr>
        <w:t>国家森林城市创建成果，发挥城市生态绿地、湿地、森林优势，深度发掘金沙江、雅砻江流域生态系统固碳能力。积极参与碳汇产业，谋划构建碳汇项目，促进碳汇交易。</w:t>
      </w:r>
    </w:p>
    <w:p>
      <w:pPr>
        <w:pStyle w:val="79"/>
        <w:adjustRightInd w:val="0"/>
        <w:snapToGrid w:val="0"/>
        <w:spacing w:line="353" w:lineRule="auto"/>
        <w:ind w:firstLine="640" w:firstLineChars="200"/>
        <w:rPr>
          <w:rFonts w:ascii="Times New Roman" w:eastAsia="楷体_GB2312"/>
          <w:b w:val="0"/>
          <w:bCs/>
          <w:color w:val="000000" w:themeColor="text1"/>
          <w:kern w:val="44"/>
          <w:sz w:val="32"/>
          <w:szCs w:val="32"/>
        </w:rPr>
      </w:pPr>
      <w:bookmarkStart w:id="58" w:name="_Toc105669369"/>
      <w:bookmarkStart w:id="59" w:name="_Toc19019"/>
      <w:bookmarkStart w:id="60" w:name="_Toc20339"/>
      <w:bookmarkStart w:id="61" w:name="_Toc14626"/>
      <w:r>
        <w:rPr>
          <w:rFonts w:ascii="Times New Roman" w:eastAsia="楷体_GB2312"/>
          <w:b w:val="0"/>
          <w:bCs/>
          <w:color w:val="000000" w:themeColor="text1"/>
          <w:kern w:val="44"/>
          <w:sz w:val="32"/>
          <w:szCs w:val="32"/>
        </w:rPr>
        <w:t>（三）推广绿色低碳生活方式</w:t>
      </w:r>
      <w:bookmarkEnd w:id="58"/>
      <w:r>
        <w:rPr>
          <w:rFonts w:hint="eastAsia" w:ascii="Times New Roman" w:eastAsia="楷体_GB2312"/>
          <w:b w:val="0"/>
          <w:bCs/>
          <w:color w:val="000000" w:themeColor="text1"/>
          <w:kern w:val="44"/>
          <w:sz w:val="32"/>
          <w:szCs w:val="32"/>
        </w:rPr>
        <w:t>。</w:t>
      </w:r>
    </w:p>
    <w:p>
      <w:pPr>
        <w:pStyle w:val="2"/>
        <w:adjustRightInd w:val="0"/>
        <w:snapToGrid w:val="0"/>
        <w:spacing w:line="353" w:lineRule="auto"/>
        <w:ind w:firstLine="640"/>
        <w:rPr>
          <w:color w:val="000000" w:themeColor="text1"/>
          <w:sz w:val="32"/>
          <w:szCs w:val="32"/>
        </w:rPr>
      </w:pPr>
      <w:r>
        <w:rPr>
          <w:color w:val="000000" w:themeColor="text1"/>
          <w:sz w:val="32"/>
          <w:szCs w:val="32"/>
        </w:rPr>
        <w:t>提高城镇建设低碳水平。</w:t>
      </w:r>
      <w:r>
        <w:rPr>
          <w:color w:val="000000" w:themeColor="text1"/>
          <w:kern w:val="0"/>
          <w:sz w:val="32"/>
          <w:szCs w:val="32"/>
        </w:rPr>
        <w:t>新建居住建筑和公共建筑全面</w:t>
      </w:r>
      <w:r>
        <w:rPr>
          <w:color w:val="000000" w:themeColor="text1"/>
          <w:sz w:val="32"/>
          <w:szCs w:val="32"/>
        </w:rPr>
        <w:t>执行绿色建筑标准，禁止使用粘土砖，限制使用实心砖，使用节能建筑门窗，鼓励有条件的建设项目按绿色建筑更高星级要求建设。</w:t>
      </w:r>
      <w:r>
        <w:rPr>
          <w:color w:val="000000" w:themeColor="text1"/>
          <w:kern w:val="0"/>
          <w:sz w:val="32"/>
          <w:szCs w:val="32"/>
        </w:rPr>
        <w:t>分类统筹推进旧城绿色更新改造，延长建筑物和构建物使用寿命，实现老旧建筑改造再利用。</w:t>
      </w:r>
      <w:r>
        <w:rPr>
          <w:color w:val="000000" w:themeColor="text1"/>
          <w:sz w:val="32"/>
          <w:szCs w:val="32"/>
        </w:rPr>
        <w:t>积极发展被动式超低能耗建筑，提高新建建筑气密性，鼓励通过屋顶花园、垂直绿化等方式增强建筑隔热性能。大力推广分布式屋顶光伏、智能光伏等一系列低碳绿电设施，鼓励低碳公共服务机构、低碳社区试点，探索一条推进碳达峰碳中和城镇建设的绿色发展创新之路。培育绿色建筑材料产业，采用新技术、新材料、新工艺，发展装配式建筑产业链，在五道河区域布局打造装配式钢结构建筑构件制造基地和绿色建材产业园。</w:t>
      </w:r>
    </w:p>
    <w:p>
      <w:pPr>
        <w:pStyle w:val="2"/>
        <w:adjustRightInd w:val="0"/>
        <w:snapToGrid w:val="0"/>
        <w:spacing w:line="353" w:lineRule="auto"/>
        <w:ind w:firstLine="640"/>
        <w:rPr>
          <w:color w:val="000000" w:themeColor="text1"/>
          <w:sz w:val="32"/>
          <w:szCs w:val="32"/>
        </w:rPr>
      </w:pPr>
      <w:r>
        <w:rPr>
          <w:color w:val="000000" w:themeColor="text1"/>
          <w:sz w:val="32"/>
          <w:szCs w:val="32"/>
        </w:rPr>
        <w:t>推行低碳环保生活方式。倡导绿色健康的消费理念，引导公众减少“高污染、高环境风险”产品使用，完善节能产品补贴政策，积极引导消费者购买新能源汽车、高能效家电、节水型器具等节能环保低碳产品。推广绿色环保的祭祀方式，严控烟花爆竹燃放行为，落实烟花爆竹禁燃禁放政策宣传教育。丰富绿色低碳宣传途径，持续谋划国际公路自行车赛、皮划艇野水马拉松等赛事，完善低碳旅游宣传体系。规范快递业、共享经济等新业态环保行为，限制商品过度包装。强化资源回收意识，</w:t>
      </w:r>
      <w:r>
        <w:rPr>
          <w:rFonts w:hint="eastAsia"/>
          <w:color w:val="000000" w:themeColor="text1"/>
          <w:sz w:val="32"/>
          <w:szCs w:val="32"/>
        </w:rPr>
        <w:t>引</w:t>
      </w:r>
      <w:r>
        <w:rPr>
          <w:color w:val="000000" w:themeColor="text1"/>
          <w:sz w:val="32"/>
          <w:szCs w:val="32"/>
        </w:rPr>
        <w:t>导个人和家庭养成资源回收利用习惯，自觉进行垃圾分类。</w:t>
      </w:r>
    </w:p>
    <w:p>
      <w:pPr>
        <w:pStyle w:val="2"/>
        <w:adjustRightInd w:val="0"/>
        <w:snapToGrid w:val="0"/>
        <w:spacing w:line="353" w:lineRule="auto"/>
        <w:ind w:firstLine="640"/>
        <w:rPr>
          <w:color w:val="000000" w:themeColor="text1"/>
          <w:sz w:val="32"/>
          <w:szCs w:val="32"/>
        </w:rPr>
      </w:pPr>
      <w:r>
        <w:rPr>
          <w:color w:val="000000" w:themeColor="text1"/>
          <w:sz w:val="32"/>
          <w:szCs w:val="32"/>
        </w:rPr>
        <w:t>完善绿色生活配套设施。加快电动汽车充电基础设施建设，以公共停车区、居住小区、高速公路服务区为重点，基本形成电动车充电网络体系。完善城区天然气网络布局，优化液化天然气（LNG）输气管网结构，推进江南片区煤气置换工程和老旧小区燃气管网改造，落实江北片区燃气管网改造，有序推进建成区管道天然气置换。鼓励建立绿色批发市场、绿色餐馆、绿色商超、绿色电商等绿色流通主体，支持商场、超市在显著位置开设绿色产品销售专区。城市道路、广场、公园等主要公共场所普及节能型电器及节水型器具，采用节能灯具照明。</w:t>
      </w:r>
    </w:p>
    <w:p>
      <w:pPr>
        <w:pStyle w:val="79"/>
        <w:adjustRightInd w:val="0"/>
        <w:snapToGrid w:val="0"/>
        <w:spacing w:line="353" w:lineRule="auto"/>
        <w:ind w:firstLine="640" w:firstLineChars="200"/>
        <w:rPr>
          <w:rFonts w:ascii="Times New Roman" w:eastAsia="楷体_GB2312"/>
          <w:b w:val="0"/>
          <w:bCs/>
          <w:color w:val="000000" w:themeColor="text1"/>
          <w:kern w:val="44"/>
          <w:sz w:val="32"/>
          <w:szCs w:val="32"/>
        </w:rPr>
      </w:pPr>
      <w:bookmarkStart w:id="62" w:name="_Toc105669370"/>
      <w:r>
        <w:rPr>
          <w:rFonts w:ascii="Times New Roman" w:eastAsia="楷体_GB2312"/>
          <w:b w:val="0"/>
          <w:bCs/>
          <w:color w:val="000000" w:themeColor="text1"/>
          <w:kern w:val="44"/>
          <w:sz w:val="32"/>
          <w:szCs w:val="32"/>
        </w:rPr>
        <w:t>（四）逐步增强区域气候韧性</w:t>
      </w:r>
      <w:bookmarkEnd w:id="59"/>
      <w:bookmarkEnd w:id="60"/>
      <w:bookmarkEnd w:id="61"/>
      <w:bookmarkEnd w:id="62"/>
      <w:r>
        <w:rPr>
          <w:rFonts w:hint="eastAsia" w:ascii="Times New Roman" w:eastAsia="楷体_GB2312"/>
          <w:b w:val="0"/>
          <w:bCs/>
          <w:color w:val="000000" w:themeColor="text1"/>
          <w:kern w:val="44"/>
          <w:sz w:val="32"/>
          <w:szCs w:val="32"/>
        </w:rPr>
        <w:t>。</w:t>
      </w:r>
    </w:p>
    <w:p>
      <w:pPr>
        <w:adjustRightInd w:val="0"/>
        <w:snapToGrid w:val="0"/>
        <w:spacing w:line="353" w:lineRule="auto"/>
        <w:ind w:firstLine="640"/>
        <w:rPr>
          <w:color w:val="000000" w:themeColor="text1"/>
          <w:sz w:val="32"/>
          <w:szCs w:val="32"/>
        </w:rPr>
      </w:pPr>
      <w:r>
        <w:rPr>
          <w:color w:val="000000" w:themeColor="text1"/>
          <w:sz w:val="32"/>
          <w:szCs w:val="32"/>
        </w:rPr>
        <w:t>建设气候适应型河谷城市</w:t>
      </w:r>
      <w:r>
        <w:rPr>
          <w:b/>
          <w:bCs/>
          <w:color w:val="000000" w:themeColor="text1"/>
          <w:sz w:val="32"/>
          <w:szCs w:val="32"/>
        </w:rPr>
        <w:t>。</w:t>
      </w:r>
      <w:r>
        <w:rPr>
          <w:color w:val="000000" w:themeColor="text1"/>
          <w:sz w:val="32"/>
          <w:szCs w:val="32"/>
        </w:rPr>
        <w:t>实施适应气候变化行动，推广适应气候变化理念，降低城市建筑、交通、供排水、能源等重要生命线系统的风险暴露度。提升极端天气气候事件监测预警能力，积极应对高温、干旱等极端事件。提高雅砻江、金沙江、大河等重点河流沿线防洪排涝能力，综合防治滑坡等地质灾害。</w:t>
      </w:r>
    </w:p>
    <w:p>
      <w:pPr>
        <w:adjustRightInd w:val="0"/>
        <w:snapToGrid w:val="0"/>
        <w:spacing w:line="353" w:lineRule="auto"/>
        <w:ind w:firstLine="640"/>
        <w:rPr>
          <w:color w:val="000000" w:themeColor="text1"/>
          <w:sz w:val="32"/>
          <w:szCs w:val="32"/>
        </w:rPr>
      </w:pPr>
      <w:r>
        <w:rPr>
          <w:color w:val="000000" w:themeColor="text1"/>
          <w:sz w:val="32"/>
          <w:szCs w:val="32"/>
        </w:rPr>
        <w:t>提升区域生态系统气候韧性。加强金沙江、雅砻江干热河谷生态修复和原生植被保护，种植耐旱、耐瘠薄植物，营造水土保持林和护岸护路林，促进生态系统正向演替。发挥园林绿化改善城市微气候作用，增</w:t>
      </w:r>
      <w:r>
        <w:rPr>
          <w:rFonts w:hint="eastAsia"/>
          <w:color w:val="000000" w:themeColor="text1"/>
          <w:sz w:val="32"/>
          <w:szCs w:val="32"/>
        </w:rPr>
        <w:t>大</w:t>
      </w:r>
      <w:r>
        <w:rPr>
          <w:color w:val="000000" w:themeColor="text1"/>
          <w:sz w:val="32"/>
          <w:szCs w:val="32"/>
        </w:rPr>
        <w:t>城市绿地、城市森林等自然生态系统</w:t>
      </w:r>
      <w:r>
        <w:rPr>
          <w:rFonts w:hint="eastAsia"/>
          <w:color w:val="000000" w:themeColor="text1"/>
          <w:sz w:val="32"/>
          <w:szCs w:val="32"/>
        </w:rPr>
        <w:t>面积，提升</w:t>
      </w:r>
      <w:r>
        <w:rPr>
          <w:color w:val="000000" w:themeColor="text1"/>
          <w:sz w:val="32"/>
          <w:szCs w:val="32"/>
        </w:rPr>
        <w:t>涵养水源、调节气温、保持水土等多方面生态功能。加强森林火险预警平台和监测站建设，有序实施计划烧除。科学布局防火通道及林火阻隔网络，加强大黑山地区抗火抗灾能力。</w:t>
      </w:r>
    </w:p>
    <w:p>
      <w:pPr>
        <w:pStyle w:val="3"/>
        <w:adjustRightInd w:val="0"/>
        <w:snapToGrid w:val="0"/>
        <w:spacing w:before="0" w:after="0" w:line="353" w:lineRule="auto"/>
        <w:ind w:firstLine="640" w:firstLineChars="200"/>
        <w:jc w:val="center"/>
        <w:rPr>
          <w:rFonts w:eastAsia="黑体"/>
          <w:b w:val="0"/>
          <w:bCs/>
          <w:color w:val="000000" w:themeColor="text1"/>
          <w:sz w:val="32"/>
          <w:szCs w:val="32"/>
        </w:rPr>
      </w:pPr>
      <w:bookmarkStart w:id="63" w:name="_Toc20913"/>
      <w:bookmarkStart w:id="64" w:name="_Toc10410"/>
      <w:bookmarkStart w:id="65" w:name="_Toc23472"/>
      <w:bookmarkStart w:id="66" w:name="_Toc105669371"/>
      <w:r>
        <w:rPr>
          <w:rFonts w:eastAsia="黑体"/>
          <w:b w:val="0"/>
          <w:bCs/>
          <w:color w:val="000000" w:themeColor="text1"/>
          <w:sz w:val="32"/>
          <w:szCs w:val="32"/>
        </w:rPr>
        <w:t>第二节　强化环境引导，推进经济社会绿色转型</w:t>
      </w:r>
      <w:bookmarkEnd w:id="63"/>
      <w:bookmarkEnd w:id="64"/>
      <w:bookmarkEnd w:id="65"/>
      <w:bookmarkEnd w:id="66"/>
    </w:p>
    <w:p>
      <w:pPr>
        <w:pStyle w:val="3"/>
        <w:adjustRightInd w:val="0"/>
        <w:snapToGrid w:val="0"/>
        <w:spacing w:before="0" w:after="0" w:line="353" w:lineRule="auto"/>
        <w:ind w:firstLine="640" w:firstLineChars="200"/>
        <w:jc w:val="both"/>
        <w:rPr>
          <w:rFonts w:eastAsia="楷体_GB2312"/>
          <w:b w:val="0"/>
          <w:bCs/>
          <w:color w:val="000000" w:themeColor="text1"/>
          <w:sz w:val="32"/>
          <w:szCs w:val="32"/>
        </w:rPr>
      </w:pPr>
      <w:bookmarkStart w:id="67" w:name="_Toc105669372"/>
      <w:bookmarkStart w:id="68" w:name="_Toc29391"/>
      <w:bookmarkStart w:id="69" w:name="_Toc21192"/>
      <w:bookmarkStart w:id="70" w:name="_Toc20503"/>
      <w:r>
        <w:rPr>
          <w:rFonts w:eastAsia="楷体_GB2312"/>
          <w:b w:val="0"/>
          <w:bCs/>
          <w:color w:val="000000" w:themeColor="text1"/>
          <w:sz w:val="32"/>
          <w:szCs w:val="32"/>
        </w:rPr>
        <w:t>（一）统筹区域绿色协调发展</w:t>
      </w:r>
      <w:bookmarkEnd w:id="67"/>
      <w:bookmarkEnd w:id="68"/>
      <w:bookmarkEnd w:id="69"/>
      <w:bookmarkEnd w:id="70"/>
      <w:r>
        <w:rPr>
          <w:rFonts w:eastAsia="楷体_GB2312"/>
          <w:b w:val="0"/>
          <w:bCs/>
          <w:color w:val="000000" w:themeColor="text1"/>
          <w:sz w:val="32"/>
          <w:szCs w:val="32"/>
        </w:rPr>
        <w:t>。</w:t>
      </w:r>
    </w:p>
    <w:p>
      <w:pPr>
        <w:adjustRightInd w:val="0"/>
        <w:snapToGrid w:val="0"/>
        <w:spacing w:line="353" w:lineRule="auto"/>
        <w:ind w:firstLine="640"/>
        <w:rPr>
          <w:b/>
          <w:bCs/>
          <w:color w:val="000000" w:themeColor="text1"/>
          <w:sz w:val="32"/>
          <w:szCs w:val="32"/>
        </w:rPr>
      </w:pPr>
      <w:bookmarkStart w:id="71" w:name="_Hlk50389681"/>
      <w:r>
        <w:rPr>
          <w:color w:val="000000" w:themeColor="text1"/>
          <w:sz w:val="32"/>
          <w:szCs w:val="32"/>
        </w:rPr>
        <w:t>强化生态环境空间分区管控</w:t>
      </w:r>
      <w:bookmarkEnd w:id="71"/>
      <w:r>
        <w:rPr>
          <w:color w:val="000000" w:themeColor="text1"/>
          <w:sz w:val="32"/>
          <w:szCs w:val="32"/>
        </w:rPr>
        <w:t>。衔接国土空间规划分区和用途管制要求，科学有序统筹布局生态、生产、生活空间，构建与区域资源禀赋、生态本底、环境条件等相适应的城乡空间框架。以大黑山森林公园（辖区内区域）等优先保护单元为重点，维护生态安全，提升生态系统服务功能。中心城区重点围绕改善人居环境，建设生态宜居公园城，强化城镇生活污水、大气移动源、扬尘源管控。攀枝花东区高新技术产业园区严格执行准入门槛，强化新建项目选址论证，严控环境风险。禁止在金沙江、雅砻江一公里范围内新建、扩建化工园区和化工项目，禁止在金沙江岸线三公里范围内和雅砻江岸线一公里范围内新建、改建、扩建尾矿库。全面落实“三线一单”生态环境分区管控要求，加强生态环境空间分区管控在政策制定、环境准入、园区管理、执法监管等方面的应用。</w:t>
      </w:r>
    </w:p>
    <w:p>
      <w:pPr>
        <w:adjustRightInd w:val="0"/>
        <w:snapToGrid w:val="0"/>
        <w:spacing w:line="353" w:lineRule="auto"/>
        <w:ind w:firstLine="640"/>
        <w:rPr>
          <w:color w:val="000000" w:themeColor="text1"/>
          <w:sz w:val="32"/>
          <w:szCs w:val="32"/>
        </w:rPr>
      </w:pPr>
      <w:r>
        <w:rPr>
          <w:color w:val="000000" w:themeColor="text1"/>
          <w:sz w:val="32"/>
          <w:szCs w:val="32"/>
        </w:rPr>
        <w:t>构建与资源环境相适应的生产力空间布局。推进绿色低碳发展，引导重点行业向环境容量足、扩散条件好的区域布局，形成城市功能片区划分清晰、基础设施和产业配套完善、生态环境显著改善的“两区一廊三带”生产力布局。依托江北工业集中区设施优势，深化现代绿色工业发展</w:t>
      </w:r>
      <w:r>
        <w:rPr>
          <w:rFonts w:hint="eastAsia"/>
          <w:color w:val="000000" w:themeColor="text1"/>
          <w:sz w:val="32"/>
          <w:szCs w:val="32"/>
        </w:rPr>
        <w:t>；</w:t>
      </w:r>
      <w:r>
        <w:rPr>
          <w:color w:val="000000" w:themeColor="text1"/>
          <w:sz w:val="32"/>
          <w:szCs w:val="32"/>
        </w:rPr>
        <w:t>立足金沙江沿江经济带和渡口交通带位置优势，推进江北绿色货运枢纽廊带构建。依托江南生活聚集区地位优势，强化阳光康养产业建设。聚焦马家田、阿署达、弄弄沟、双龙滩、红花田等生态旅游产品优势，实现马家田至阿署达农文旅融合经济带、金沙江沿江生态休闲经济带</w:t>
      </w:r>
      <w:r>
        <w:rPr>
          <w:rFonts w:hint="eastAsia"/>
          <w:color w:val="000000" w:themeColor="text1"/>
          <w:sz w:val="32"/>
          <w:szCs w:val="32"/>
        </w:rPr>
        <w:t>的农文旅协同发展、</w:t>
      </w:r>
      <w:r>
        <w:rPr>
          <w:color w:val="000000" w:themeColor="text1"/>
          <w:sz w:val="32"/>
          <w:szCs w:val="32"/>
        </w:rPr>
        <w:t>弄弄沟至双龙滩现代农业经济带多要素生态融合，实现生态价值高效转化。</w:t>
      </w:r>
    </w:p>
    <w:p>
      <w:pPr>
        <w:pStyle w:val="79"/>
        <w:adjustRightInd w:val="0"/>
        <w:snapToGrid w:val="0"/>
        <w:spacing w:line="353" w:lineRule="auto"/>
        <w:ind w:firstLine="640" w:firstLineChars="200"/>
        <w:rPr>
          <w:rFonts w:ascii="Times New Roman" w:eastAsia="楷体_GB2312"/>
          <w:b w:val="0"/>
          <w:bCs/>
          <w:color w:val="000000" w:themeColor="text1"/>
          <w:kern w:val="44"/>
          <w:sz w:val="32"/>
          <w:szCs w:val="32"/>
        </w:rPr>
      </w:pPr>
      <w:bookmarkStart w:id="72" w:name="_Toc19604"/>
      <w:bookmarkStart w:id="73" w:name="_Toc5806"/>
      <w:bookmarkStart w:id="74" w:name="_Toc31708"/>
      <w:bookmarkStart w:id="75" w:name="_Toc105669373"/>
      <w:r>
        <w:rPr>
          <w:rFonts w:ascii="Times New Roman" w:eastAsia="楷体_GB2312"/>
          <w:b w:val="0"/>
          <w:bCs/>
          <w:color w:val="000000" w:themeColor="text1"/>
          <w:kern w:val="44"/>
          <w:sz w:val="32"/>
          <w:szCs w:val="32"/>
        </w:rPr>
        <w:t>（二）构建绿色产业体系</w:t>
      </w:r>
      <w:bookmarkEnd w:id="72"/>
      <w:bookmarkEnd w:id="73"/>
      <w:bookmarkEnd w:id="74"/>
      <w:bookmarkEnd w:id="75"/>
      <w:r>
        <w:rPr>
          <w:rFonts w:hint="eastAsia" w:ascii="Times New Roman" w:eastAsia="楷体_GB2312"/>
          <w:b w:val="0"/>
          <w:bCs/>
          <w:color w:val="000000" w:themeColor="text1"/>
          <w:kern w:val="44"/>
          <w:sz w:val="32"/>
          <w:szCs w:val="32"/>
        </w:rPr>
        <w:t>。</w:t>
      </w:r>
    </w:p>
    <w:p>
      <w:pPr>
        <w:pStyle w:val="2"/>
        <w:adjustRightInd w:val="0"/>
        <w:snapToGrid w:val="0"/>
        <w:spacing w:line="353" w:lineRule="auto"/>
        <w:ind w:firstLine="720"/>
        <w:rPr>
          <w:color w:val="000000" w:themeColor="text1"/>
          <w:sz w:val="32"/>
          <w:szCs w:val="32"/>
        </w:rPr>
      </w:pPr>
      <w:r>
        <w:rPr>
          <w:color w:val="000000" w:themeColor="text1"/>
          <w:sz w:val="36"/>
          <w:szCs w:val="36"/>
        </w:rPr>
        <w:t>构建绿色农业特色品牌。</w:t>
      </w:r>
      <w:r>
        <w:rPr>
          <w:color w:val="000000" w:themeColor="text1"/>
          <w:sz w:val="32"/>
          <w:szCs w:val="32"/>
        </w:rPr>
        <w:t>推进以阿署达</w:t>
      </w:r>
      <w:r>
        <w:rPr>
          <w:rFonts w:hint="eastAsia"/>
          <w:color w:val="000000" w:themeColor="text1"/>
          <w:sz w:val="32"/>
          <w:szCs w:val="32"/>
        </w:rPr>
        <w:t>村</w:t>
      </w:r>
      <w:r>
        <w:rPr>
          <w:color w:val="000000" w:themeColor="text1"/>
          <w:sz w:val="32"/>
          <w:szCs w:val="32"/>
        </w:rPr>
        <w:t>、沙坝</w:t>
      </w:r>
      <w:r>
        <w:rPr>
          <w:rFonts w:hint="eastAsia"/>
          <w:color w:val="000000" w:themeColor="text1"/>
          <w:sz w:val="32"/>
          <w:szCs w:val="32"/>
        </w:rPr>
        <w:t>村</w:t>
      </w:r>
      <w:r>
        <w:rPr>
          <w:color w:val="000000" w:themeColor="text1"/>
          <w:sz w:val="32"/>
          <w:szCs w:val="32"/>
        </w:rPr>
        <w:t>、弄密村为重点的现代农业示范园区建设</w:t>
      </w:r>
      <w:r>
        <w:rPr>
          <w:rFonts w:hint="eastAsia"/>
          <w:color w:val="000000" w:themeColor="text1"/>
          <w:sz w:val="32"/>
          <w:szCs w:val="32"/>
        </w:rPr>
        <w:t>。</w:t>
      </w:r>
      <w:r>
        <w:rPr>
          <w:color w:val="000000" w:themeColor="text1"/>
          <w:sz w:val="32"/>
          <w:szCs w:val="32"/>
        </w:rPr>
        <w:t>重点围绕蓄水、保墒、集雨、节灌、抗旱五大环节，加强农业用水总量和农业水环境污染控制，优先利用天然降水，全面实施水肥一体化等节水</w:t>
      </w:r>
      <w:r>
        <w:rPr>
          <w:rFonts w:hint="eastAsia"/>
          <w:color w:val="000000" w:themeColor="text1"/>
          <w:sz w:val="32"/>
          <w:szCs w:val="32"/>
        </w:rPr>
        <w:t>项目</w:t>
      </w:r>
      <w:r>
        <w:rPr>
          <w:color w:val="000000" w:themeColor="text1"/>
          <w:sz w:val="32"/>
          <w:szCs w:val="32"/>
        </w:rPr>
        <w:t>，提高农业用水效率。有序发展畜禽标准化养殖，推动双龙滩、红花田标准化养殖小区建设。</w:t>
      </w:r>
      <w:r>
        <w:rPr>
          <w:rFonts w:hint="eastAsia"/>
          <w:color w:val="000000" w:themeColor="text1"/>
          <w:sz w:val="32"/>
          <w:szCs w:val="32"/>
        </w:rPr>
        <w:t>打造</w:t>
      </w:r>
      <w:r>
        <w:rPr>
          <w:color w:val="000000" w:themeColor="text1"/>
          <w:sz w:val="32"/>
          <w:szCs w:val="32"/>
        </w:rPr>
        <w:t>阿署达、沙坝片区休闲观光农业集聚发展示范区，推进以农事采摘体验、近郊休闲观光、康养旅游接待等新业态为主的农文旅融合发展模式。到2025年，打响东区康养农业、观光农业、休闲农业特色品牌，构建一批特色农业产品</w:t>
      </w:r>
      <w:r>
        <w:rPr>
          <w:rFonts w:hint="eastAsia"/>
          <w:color w:val="000000" w:themeColor="text1"/>
          <w:sz w:val="32"/>
          <w:szCs w:val="32"/>
        </w:rPr>
        <w:t>，</w:t>
      </w:r>
      <w:r>
        <w:rPr>
          <w:color w:val="000000" w:themeColor="text1"/>
          <w:sz w:val="32"/>
          <w:szCs w:val="32"/>
        </w:rPr>
        <w:t>建成市级以上现代农业示范园区2个。</w:t>
      </w:r>
    </w:p>
    <w:p>
      <w:pPr>
        <w:widowControl/>
        <w:adjustRightInd w:val="0"/>
        <w:snapToGrid w:val="0"/>
        <w:spacing w:line="353" w:lineRule="auto"/>
        <w:ind w:firstLine="640"/>
        <w:rPr>
          <w:color w:val="000000" w:themeColor="text1"/>
          <w:sz w:val="32"/>
          <w:szCs w:val="32"/>
        </w:rPr>
      </w:pPr>
      <w:r>
        <w:rPr>
          <w:color w:val="000000" w:themeColor="text1"/>
          <w:sz w:val="32"/>
          <w:szCs w:val="32"/>
        </w:rPr>
        <w:t>加快工业绿色改造。推进炼钢、采选、冶炼等传统行业落后产能淘汰，加快高污染、高耗能、落后生产工艺、设备和企业淘汰进程。树立攀钢等创新型龙头企业引领作用，延伸绿色产业链</w:t>
      </w:r>
      <w:r>
        <w:rPr>
          <w:rFonts w:hint="eastAsia"/>
          <w:color w:val="000000" w:themeColor="text1"/>
          <w:sz w:val="32"/>
          <w:szCs w:val="32"/>
        </w:rPr>
        <w:t>、</w:t>
      </w:r>
      <w:r>
        <w:rPr>
          <w:color w:val="000000" w:themeColor="text1"/>
          <w:sz w:val="32"/>
          <w:szCs w:val="32"/>
        </w:rPr>
        <w:t>供应链，推进企业以“绿色、高效、低成本”为核心的产品转型。加强钒产业全系列清洁化生产，以钒氮合金、钒铝合金、钒电池及电解液等战略性高端产品为重点，构建五道河-马家湾清洁钒产业园区。加强钛资源高效利用技术攻关，推进高钛型高炉渣中钒钛资源综合利用产业化、低成本制钛工艺研发与产业化技术研究，加快攀宝金属钛深加工产业园建设。以绿色建筑带动绿色建筑材料全行业发展，全面推广建筑节能和绿色建筑，强化建筑材料行业对绿色转型的底层助力。以钛金属加工、粉末冶金、智能制造、节能环保等领域为重点，加快培育发展战略性新兴产业。</w:t>
      </w:r>
    </w:p>
    <w:p>
      <w:pPr>
        <w:adjustRightInd w:val="0"/>
        <w:snapToGrid w:val="0"/>
        <w:spacing w:line="353" w:lineRule="auto"/>
        <w:ind w:firstLine="640"/>
        <w:rPr>
          <w:color w:val="000000" w:themeColor="text1"/>
          <w:sz w:val="32"/>
          <w:szCs w:val="32"/>
        </w:rPr>
      </w:pPr>
      <w:r>
        <w:rPr>
          <w:color w:val="000000" w:themeColor="text1"/>
          <w:sz w:val="32"/>
          <w:szCs w:val="32"/>
        </w:rPr>
        <w:t>提高服务业绿色发展水平。推进绿色物流设施建设，构建绿色高效运输结构。加强绿色物流组织管理，推进钢铁行业生产、销售、采购等核心管理系统信息化平台构建，实现运输作业智能、自动、绿色化。加快信息服务绿色升级，做好城市智慧大数据中心、网络机房绿色建设改造，建立绿色运营维护体系。加快金融企业平台搭建，推动金融服务行业“互联网+”平台建设，强化金融服务企业向科技金融服务、技术服务拓展延伸。</w:t>
      </w:r>
    </w:p>
    <w:p>
      <w:pPr>
        <w:pStyle w:val="2"/>
        <w:adjustRightInd w:val="0"/>
        <w:snapToGrid w:val="0"/>
        <w:spacing w:line="353" w:lineRule="auto"/>
        <w:ind w:firstLine="640"/>
        <w:rPr>
          <w:color w:val="000000" w:themeColor="text1"/>
          <w:sz w:val="28"/>
          <w:szCs w:val="28"/>
        </w:rPr>
      </w:pPr>
      <w:r>
        <w:rPr>
          <w:color w:val="000000" w:themeColor="text1"/>
          <w:kern w:val="0"/>
          <w:sz w:val="32"/>
          <w:szCs w:val="32"/>
        </w:rPr>
        <w:t>壮大节能环保产业。</w:t>
      </w:r>
      <w:r>
        <w:rPr>
          <w:color w:val="000000" w:themeColor="text1"/>
          <w:sz w:val="32"/>
          <w:szCs w:val="32"/>
        </w:rPr>
        <w:t>加快培育集研发、制造、安装、工程服务为一体的大型环保设备企业，积极开发“三废”污染防治综合治理设备，重点发展高效除尘等环保设备。充分发挥攀钢结构钢及工程技术优势，利用丰富的固废资源，发展新型装配建筑材料，提升攀钢及有关核心企业的绿色环保型装配式系列产品的生产能力。鼓励发展低污染、无污染、节水和资源综合利用的项目，推广应用余热余压回收利用等高效节能工艺技术和装备，改造提升传统产业能源效率。</w:t>
      </w:r>
    </w:p>
    <w:p>
      <w:pPr>
        <w:pStyle w:val="79"/>
        <w:adjustRightInd w:val="0"/>
        <w:snapToGrid w:val="0"/>
        <w:spacing w:line="353" w:lineRule="auto"/>
        <w:ind w:firstLine="640" w:firstLineChars="200"/>
        <w:rPr>
          <w:rFonts w:ascii="Times New Roman" w:eastAsia="楷体_GB2312"/>
          <w:b w:val="0"/>
          <w:bCs/>
          <w:color w:val="000000" w:themeColor="text1"/>
          <w:kern w:val="44"/>
          <w:sz w:val="32"/>
          <w:szCs w:val="32"/>
        </w:rPr>
      </w:pPr>
      <w:bookmarkStart w:id="76" w:name="_Toc105669374"/>
      <w:bookmarkStart w:id="77" w:name="_Toc20307"/>
      <w:bookmarkStart w:id="78" w:name="_Toc18944"/>
      <w:bookmarkStart w:id="79" w:name="_Toc25849"/>
      <w:r>
        <w:rPr>
          <w:rFonts w:ascii="Times New Roman" w:eastAsia="楷体_GB2312"/>
          <w:b w:val="0"/>
          <w:bCs/>
          <w:color w:val="000000" w:themeColor="text1"/>
          <w:kern w:val="44"/>
          <w:sz w:val="32"/>
          <w:szCs w:val="32"/>
        </w:rPr>
        <w:t>（三）推进资源利用绿色转型</w:t>
      </w:r>
      <w:bookmarkEnd w:id="76"/>
      <w:bookmarkEnd w:id="77"/>
      <w:bookmarkEnd w:id="78"/>
      <w:bookmarkEnd w:id="79"/>
      <w:r>
        <w:rPr>
          <w:rFonts w:hint="eastAsia" w:ascii="Times New Roman" w:eastAsia="楷体_GB2312"/>
          <w:b w:val="0"/>
          <w:bCs/>
          <w:color w:val="000000" w:themeColor="text1"/>
          <w:kern w:val="44"/>
          <w:sz w:val="32"/>
          <w:szCs w:val="32"/>
        </w:rPr>
        <w:t>。</w:t>
      </w:r>
    </w:p>
    <w:p>
      <w:pPr>
        <w:adjustRightInd w:val="0"/>
        <w:snapToGrid w:val="0"/>
        <w:spacing w:line="353" w:lineRule="auto"/>
        <w:ind w:firstLine="640"/>
        <w:rPr>
          <w:color w:val="000000" w:themeColor="text1"/>
          <w:kern w:val="0"/>
          <w:sz w:val="32"/>
          <w:szCs w:val="32"/>
        </w:rPr>
      </w:pPr>
      <w:r>
        <w:rPr>
          <w:color w:val="000000" w:themeColor="text1"/>
          <w:kern w:val="0"/>
          <w:sz w:val="32"/>
          <w:szCs w:val="32"/>
        </w:rPr>
        <w:t>推进资源循环利用体系建设。科学制定区域循环经济发展规划，强化大数据、区块链等数据信息技术应用，建立区域性再生资源交易市场、废旧物资回收中心和再生资源信息系统，推广“互联网+回收”经营模式，打造一批资源综合利用率高的大宗固废综合利用骨干企业。优化园区模式结构，强化“园中园”模式引导，促进企业循环式生产、园区循环式发展、产业循环式组合，以马家湾片区工矿企业为重点，</w:t>
      </w:r>
      <w:r>
        <w:rPr>
          <w:color w:val="000000" w:themeColor="text1"/>
          <w:sz w:val="32"/>
          <w:szCs w:val="32"/>
        </w:rPr>
        <w:t>深入开展循环经济示范工程，全面推行循环型生产方式</w:t>
      </w:r>
      <w:r>
        <w:rPr>
          <w:color w:val="000000" w:themeColor="text1"/>
          <w:kern w:val="0"/>
          <w:sz w:val="32"/>
          <w:szCs w:val="32"/>
        </w:rPr>
        <w:t>。</w:t>
      </w:r>
      <w:r>
        <w:rPr>
          <w:color w:val="000000" w:themeColor="text1"/>
          <w:sz w:val="32"/>
          <w:szCs w:val="32"/>
        </w:rPr>
        <w:t>至2025年，资源循环</w:t>
      </w:r>
      <w:r>
        <w:rPr>
          <w:rFonts w:hint="eastAsia"/>
          <w:color w:val="000000" w:themeColor="text1"/>
          <w:sz w:val="32"/>
          <w:szCs w:val="32"/>
        </w:rPr>
        <w:t>利用</w:t>
      </w:r>
      <w:r>
        <w:rPr>
          <w:color w:val="000000" w:themeColor="text1"/>
          <w:sz w:val="32"/>
          <w:szCs w:val="32"/>
        </w:rPr>
        <w:t>体系初步形成</w:t>
      </w:r>
      <w:r>
        <w:rPr>
          <w:color w:val="000000" w:themeColor="text1"/>
          <w:kern w:val="0"/>
          <w:sz w:val="32"/>
          <w:szCs w:val="32"/>
        </w:rPr>
        <w:t>。</w:t>
      </w:r>
    </w:p>
    <w:p>
      <w:pPr>
        <w:pStyle w:val="2"/>
        <w:adjustRightInd w:val="0"/>
        <w:snapToGrid w:val="0"/>
        <w:spacing w:line="353" w:lineRule="auto"/>
        <w:ind w:firstLine="640"/>
        <w:rPr>
          <w:color w:val="000000" w:themeColor="text1"/>
          <w:kern w:val="0"/>
          <w:sz w:val="32"/>
          <w:szCs w:val="32"/>
        </w:rPr>
      </w:pPr>
      <w:r>
        <w:rPr>
          <w:color w:val="000000" w:themeColor="text1"/>
          <w:kern w:val="0"/>
          <w:sz w:val="32"/>
          <w:szCs w:val="32"/>
        </w:rPr>
        <w:t>强化工矿资源综合利用能力。聚焦钒钛资源高效、高质、低成本利用，以朱矿、兰尖矿为核心，推动工业固体废弃物资源综合利用基地建立，打通园区资源综合利用自循环“关节”。加快企业优势互补，推进高梁坪园区选矿企业搬迁整合，建设百万吨级大型选矿集团平台。加强行业企业消纳能力，推进废石尾矿、冶金残渣、建筑垃圾等资源综合利用生产线建设，实施废石综合利用、尾矿及提炼综合利用、提钒尾渣综合利用等系列示范工程</w:t>
      </w:r>
      <w:r>
        <w:rPr>
          <w:color w:val="000000" w:themeColor="text1"/>
          <w:sz w:val="32"/>
          <w:szCs w:val="32"/>
        </w:rPr>
        <w:t>，</w:t>
      </w:r>
      <w:r>
        <w:rPr>
          <w:color w:val="000000" w:themeColor="text1"/>
          <w:kern w:val="0"/>
          <w:sz w:val="32"/>
          <w:szCs w:val="32"/>
        </w:rPr>
        <w:t>形成一批具有行业代</w:t>
      </w:r>
      <w:r>
        <w:rPr>
          <w:color w:val="000000" w:themeColor="text1"/>
          <w:sz w:val="32"/>
          <w:szCs w:val="32"/>
        </w:rPr>
        <w:t>表性、典型适用性的资源综合利用推广模式，促进行业资源综合利用水平逐步提升。到2025年，钒钛矿中铁、钒、钛利用率分别提高到75%、55%、35%，大宗固废综合利用率提高到75%以上。</w:t>
      </w:r>
    </w:p>
    <w:p>
      <w:pPr>
        <w:adjustRightInd w:val="0"/>
        <w:snapToGrid w:val="0"/>
        <w:spacing w:line="353" w:lineRule="auto"/>
        <w:ind w:firstLine="640"/>
        <w:rPr>
          <w:color w:val="000000" w:themeColor="text1"/>
          <w:sz w:val="32"/>
          <w:szCs w:val="32"/>
        </w:rPr>
      </w:pPr>
      <w:r>
        <w:rPr>
          <w:color w:val="000000" w:themeColor="text1"/>
          <w:kern w:val="0"/>
          <w:sz w:val="32"/>
          <w:szCs w:val="32"/>
        </w:rPr>
        <w:t>提升水资源节约和重复利用水平。</w:t>
      </w:r>
      <w:r>
        <w:rPr>
          <w:color w:val="000000" w:themeColor="text1"/>
          <w:sz w:val="32"/>
          <w:szCs w:val="32"/>
        </w:rPr>
        <w:t>强化水资源管理制度约束，实施水资源消耗总量和强度双控行动，全面开展节水型社会达标建设，把节水工作贯穿于国民经济发展和生活、生产活动的全过程。推进铁矿采选、热力生产和供应、工业颜料制造等高耗水行业企业节水改造，加强企业中水回用和污水资源化利用工程建设，推广高效冷却、洗涤、循环用水、废水污水再生利用、高耗水生产工艺替代等节水工艺和技术。加大农业节水发展力度，推动大河沟水库、东区提灌站及节水灌溉建设项目全面落实，实现银江镇智慧灌溉、水肥一体化、节水灌溉面积3万亩。</w:t>
      </w:r>
    </w:p>
    <w:tbl>
      <w:tblPr>
        <w:tblStyle w:val="25"/>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8364" w:type="dxa"/>
          </w:tcPr>
          <w:p>
            <w:pPr>
              <w:spacing w:line="240" w:lineRule="auto"/>
              <w:ind w:firstLine="560"/>
              <w:jc w:val="center"/>
              <w:rPr>
                <w:rFonts w:eastAsia="黑体"/>
                <w:b/>
                <w:color w:val="000000" w:themeColor="text1"/>
                <w:spacing w:val="-6"/>
                <w:sz w:val="32"/>
                <w:szCs w:val="32"/>
              </w:rPr>
            </w:pPr>
            <w:r>
              <w:rPr>
                <w:rFonts w:eastAsia="黑体"/>
                <w:color w:val="000000" w:themeColor="text1"/>
                <w:sz w:val="28"/>
                <w:szCs w:val="32"/>
              </w:rPr>
              <w:t>专栏1 绿色发展及资源利用重点项目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364" w:type="dxa"/>
          </w:tcPr>
          <w:p>
            <w:pPr>
              <w:adjustRightInd w:val="0"/>
              <w:snapToGrid w:val="0"/>
              <w:ind w:firstLine="456"/>
              <w:rPr>
                <w:rFonts w:eastAsia="方正仿宋简体"/>
                <w:color w:val="000000" w:themeColor="text1"/>
                <w:spacing w:val="-6"/>
                <w:sz w:val="24"/>
                <w:szCs w:val="24"/>
              </w:rPr>
            </w:pPr>
            <w:r>
              <w:rPr>
                <w:rFonts w:eastAsia="方正仿宋简体"/>
                <w:b/>
                <w:bCs/>
                <w:color w:val="000000" w:themeColor="text1"/>
                <w:spacing w:val="-6"/>
                <w:sz w:val="24"/>
                <w:szCs w:val="24"/>
              </w:rPr>
              <w:t>钢铁及延伸加工业：</w:t>
            </w:r>
            <w:r>
              <w:rPr>
                <w:rFonts w:eastAsia="方正仿宋简体"/>
                <w:color w:val="000000" w:themeColor="text1"/>
                <w:spacing w:val="-6"/>
                <w:sz w:val="24"/>
                <w:szCs w:val="24"/>
              </w:rPr>
              <w:t>攀钢钒炼钢厂板坯连铸系统升级改造、攀钢钒1450热轧生产线技术改造工程、工业除尘器及水处理设备生产线、输油（气）管线用钛-钢复合板产业化技术研究。</w:t>
            </w:r>
          </w:p>
          <w:p>
            <w:pPr>
              <w:pStyle w:val="2"/>
              <w:ind w:firstLine="456"/>
              <w:rPr>
                <w:rFonts w:eastAsia="方正仿宋简体"/>
                <w:color w:val="000000" w:themeColor="text1"/>
                <w:spacing w:val="-6"/>
                <w:sz w:val="24"/>
              </w:rPr>
            </w:pPr>
            <w:r>
              <w:rPr>
                <w:rFonts w:eastAsia="方正仿宋简体"/>
                <w:b/>
                <w:bCs/>
                <w:color w:val="000000" w:themeColor="text1"/>
                <w:spacing w:val="-6"/>
                <w:sz w:val="24"/>
              </w:rPr>
              <w:t>钒产业：</w:t>
            </w:r>
            <w:r>
              <w:rPr>
                <w:rFonts w:eastAsia="方正仿宋简体"/>
                <w:color w:val="000000" w:themeColor="text1"/>
                <w:spacing w:val="-6"/>
                <w:sz w:val="24"/>
              </w:rPr>
              <w:t>高铬型钒资源高效利用、钢城集团有限公司钠化提钒、高铬型钒资源高效利用项目。</w:t>
            </w:r>
          </w:p>
          <w:p>
            <w:pPr>
              <w:pStyle w:val="2"/>
              <w:ind w:firstLine="456"/>
              <w:rPr>
                <w:rFonts w:eastAsia="方正仿宋简体"/>
                <w:color w:val="000000" w:themeColor="text1"/>
                <w:spacing w:val="-6"/>
                <w:sz w:val="24"/>
              </w:rPr>
            </w:pPr>
            <w:r>
              <w:rPr>
                <w:rFonts w:eastAsia="方正仿宋简体"/>
                <w:b/>
                <w:bCs/>
                <w:color w:val="000000" w:themeColor="text1"/>
                <w:spacing w:val="-6"/>
                <w:sz w:val="24"/>
              </w:rPr>
              <w:t>钛产业：</w:t>
            </w:r>
            <w:r>
              <w:rPr>
                <w:rFonts w:eastAsia="方正仿宋简体"/>
                <w:color w:val="000000" w:themeColor="text1"/>
                <w:spacing w:val="-6"/>
                <w:sz w:val="24"/>
              </w:rPr>
              <w:t>钛金属制造及深加工、超精细钛白粉制取设备研制、高端球形钛粉。</w:t>
            </w:r>
          </w:p>
          <w:p>
            <w:pPr>
              <w:widowControl/>
              <w:ind w:firstLine="456"/>
              <w:jc w:val="left"/>
              <w:rPr>
                <w:color w:val="000000" w:themeColor="text1"/>
                <w:spacing w:val="-6"/>
                <w:sz w:val="24"/>
                <w:szCs w:val="24"/>
              </w:rPr>
            </w:pPr>
            <w:r>
              <w:rPr>
                <w:rFonts w:eastAsia="方正仿宋简体"/>
                <w:b/>
                <w:bCs/>
                <w:color w:val="000000" w:themeColor="text1"/>
                <w:spacing w:val="-6"/>
                <w:sz w:val="24"/>
                <w:szCs w:val="24"/>
              </w:rPr>
              <w:t>二次资源综合利用：</w:t>
            </w:r>
            <w:r>
              <w:rPr>
                <w:rFonts w:eastAsia="方正仿宋简体"/>
                <w:color w:val="000000" w:themeColor="text1"/>
                <w:kern w:val="0"/>
                <w:sz w:val="24"/>
                <w:szCs w:val="24"/>
              </w:rPr>
              <w:t>攀枝花铁矿废石综合利用二期、丰源技改升级、钒钛磁铁矿表外矿综合利用、选矿尾料废石加工生产180万吨机制砂及配套预拌混凝土砂浆综合利用、西渣场渣处理线破碎工艺优化、年产200万吨废石综合利用、高钛渣复合微分生产线。</w:t>
            </w:r>
          </w:p>
        </w:tc>
      </w:tr>
    </w:tbl>
    <w:p>
      <w:pPr>
        <w:pStyle w:val="3"/>
        <w:adjustRightInd w:val="0"/>
        <w:snapToGrid w:val="0"/>
        <w:spacing w:before="0" w:after="0" w:line="353" w:lineRule="auto"/>
        <w:ind w:firstLine="640" w:firstLineChars="200"/>
        <w:jc w:val="center"/>
        <w:rPr>
          <w:rFonts w:eastAsia="黑体"/>
          <w:b w:val="0"/>
          <w:bCs/>
          <w:color w:val="000000" w:themeColor="text1"/>
          <w:sz w:val="32"/>
          <w:szCs w:val="32"/>
        </w:rPr>
      </w:pPr>
      <w:bookmarkStart w:id="80" w:name="_Toc21568"/>
      <w:bookmarkStart w:id="81" w:name="_Toc11489"/>
      <w:bookmarkStart w:id="82" w:name="_Toc3657"/>
      <w:bookmarkStart w:id="83" w:name="_Toc105669375"/>
      <w:bookmarkStart w:id="84" w:name="_Toc30071"/>
      <w:r>
        <w:rPr>
          <w:rFonts w:eastAsia="黑体"/>
          <w:b w:val="0"/>
          <w:bCs/>
          <w:color w:val="000000" w:themeColor="text1"/>
          <w:sz w:val="32"/>
          <w:szCs w:val="32"/>
        </w:rPr>
        <w:t>第三节　优化生态空间，创建生态文明示范</w:t>
      </w:r>
      <w:bookmarkEnd w:id="80"/>
      <w:r>
        <w:rPr>
          <w:rFonts w:eastAsia="黑体"/>
          <w:b w:val="0"/>
          <w:bCs/>
          <w:color w:val="000000" w:themeColor="text1"/>
          <w:sz w:val="32"/>
          <w:szCs w:val="32"/>
        </w:rPr>
        <w:t>区</w:t>
      </w:r>
      <w:bookmarkEnd w:id="81"/>
      <w:bookmarkEnd w:id="82"/>
      <w:bookmarkEnd w:id="83"/>
    </w:p>
    <w:p>
      <w:pPr>
        <w:pStyle w:val="3"/>
        <w:adjustRightInd w:val="0"/>
        <w:snapToGrid w:val="0"/>
        <w:spacing w:before="0" w:after="0" w:line="353" w:lineRule="auto"/>
        <w:ind w:firstLine="640" w:firstLineChars="200"/>
        <w:jc w:val="both"/>
        <w:rPr>
          <w:rFonts w:eastAsia="楷体_GB2312"/>
          <w:b w:val="0"/>
          <w:bCs/>
          <w:color w:val="000000" w:themeColor="text1"/>
          <w:sz w:val="32"/>
          <w:szCs w:val="32"/>
        </w:rPr>
      </w:pPr>
      <w:bookmarkStart w:id="85" w:name="_Toc24840"/>
      <w:bookmarkStart w:id="86" w:name="_Toc27370"/>
      <w:bookmarkStart w:id="87" w:name="_Toc105669376"/>
      <w:bookmarkStart w:id="88" w:name="_Toc28502"/>
      <w:r>
        <w:rPr>
          <w:rFonts w:eastAsia="楷体_GB2312"/>
          <w:b w:val="0"/>
          <w:bCs/>
          <w:color w:val="000000" w:themeColor="text1"/>
          <w:sz w:val="32"/>
          <w:szCs w:val="32"/>
        </w:rPr>
        <w:t>（一）筑牢生态安全空间格局</w:t>
      </w:r>
      <w:bookmarkEnd w:id="85"/>
      <w:bookmarkEnd w:id="86"/>
      <w:bookmarkEnd w:id="87"/>
      <w:bookmarkEnd w:id="88"/>
      <w:bookmarkStart w:id="89" w:name="_Hlk500418388"/>
      <w:r>
        <w:rPr>
          <w:rFonts w:eastAsia="楷体_GB2312"/>
          <w:b w:val="0"/>
          <w:bCs/>
          <w:color w:val="000000" w:themeColor="text1"/>
          <w:sz w:val="32"/>
          <w:szCs w:val="32"/>
        </w:rPr>
        <w:t>。</w:t>
      </w:r>
    </w:p>
    <w:p>
      <w:pPr>
        <w:pStyle w:val="82"/>
        <w:adjustRightInd w:val="0"/>
        <w:snapToGrid w:val="0"/>
        <w:spacing w:line="353" w:lineRule="auto"/>
        <w:ind w:firstLine="640"/>
        <w:rPr>
          <w:rFonts w:eastAsia="仿宋_GB2312" w:cs="Times New Roman"/>
          <w:color w:val="000000" w:themeColor="text1"/>
          <w:szCs w:val="32"/>
        </w:rPr>
      </w:pPr>
      <w:r>
        <w:rPr>
          <w:rFonts w:eastAsia="仿宋_GB2312" w:cs="Times New Roman"/>
          <w:color w:val="000000" w:themeColor="text1"/>
          <w:szCs w:val="32"/>
        </w:rPr>
        <w:t>筑牢生态安全格局。落</w:t>
      </w:r>
      <w:r>
        <w:rPr>
          <w:rFonts w:eastAsia="仿宋_GB2312" w:cs="Times New Roman"/>
          <w:color w:val="000000" w:themeColor="text1"/>
          <w:kern w:val="0"/>
          <w:szCs w:val="32"/>
        </w:rPr>
        <w:t>实生态保护红线及分区管控要求，以金沙江淡水生态系统、城市森林系统为核心功能要素，整合大黑山森林公园、保安营森林公园、花城森林公园等各类生态核心片区，提升区域生态系统连通性和完整性，</w:t>
      </w:r>
      <w:r>
        <w:rPr>
          <w:rFonts w:eastAsia="仿宋_GB2312" w:cs="Times New Roman"/>
          <w:color w:val="000000" w:themeColor="text1"/>
          <w:szCs w:val="32"/>
        </w:rPr>
        <w:t>建成23块公园绿地和2万余亩成片林地，</w:t>
      </w:r>
      <w:r>
        <w:rPr>
          <w:rFonts w:eastAsia="仿宋_GB2312" w:cs="Times New Roman"/>
          <w:color w:val="000000" w:themeColor="text1"/>
          <w:kern w:val="0"/>
          <w:szCs w:val="32"/>
        </w:rPr>
        <w:t>形成以金</w:t>
      </w:r>
      <w:r>
        <w:rPr>
          <w:rFonts w:eastAsia="仿宋_GB2312" w:cs="Times New Roman"/>
          <w:color w:val="000000" w:themeColor="text1"/>
          <w:szCs w:val="32"/>
        </w:rPr>
        <w:t>沙江沿江滨岸为核心，银江镇、弄弄坪、瓜子坪、东华、炳草岗、大渡口为纵横的“一线带六地，一网覆全区”生态安全格局。</w:t>
      </w:r>
    </w:p>
    <w:p>
      <w:pPr>
        <w:pStyle w:val="82"/>
        <w:adjustRightInd w:val="0"/>
        <w:snapToGrid w:val="0"/>
        <w:spacing w:line="353" w:lineRule="auto"/>
        <w:ind w:firstLine="640"/>
        <w:rPr>
          <w:rFonts w:eastAsia="仿宋_GB2312" w:cs="Times New Roman"/>
          <w:color w:val="000000" w:themeColor="text1"/>
        </w:rPr>
      </w:pPr>
      <w:r>
        <w:rPr>
          <w:rFonts w:eastAsia="仿宋_GB2312" w:cs="Times New Roman"/>
          <w:color w:val="000000" w:themeColor="text1"/>
          <w:szCs w:val="32"/>
        </w:rPr>
        <w:t>加强自然保护地建设和管理。推进自然保护地体系建设，强化对生态保护区</w:t>
      </w:r>
      <w:r>
        <w:rPr>
          <w:rFonts w:hint="eastAsia" w:eastAsia="仿宋_GB2312" w:cs="Times New Roman"/>
          <w:color w:val="000000" w:themeColor="text1"/>
          <w:szCs w:val="32"/>
        </w:rPr>
        <w:t>的</w:t>
      </w:r>
      <w:r>
        <w:rPr>
          <w:rFonts w:eastAsia="仿宋_GB2312" w:cs="Times New Roman"/>
          <w:color w:val="000000" w:themeColor="text1"/>
          <w:szCs w:val="32"/>
        </w:rPr>
        <w:t>监督与管控，实行自然保护地统一管理、分区管控。大力推进镇（村）自然保护地融合发展，打造智慧自然公园，创新自然保护地生态价值实现机制，多方位促进自然保护地融合发展。强化阿署达景区周边山体及大黑山区域保护，开展监督检查专项行动，推进水系生态绿化及道路绿化建设，</w:t>
      </w:r>
      <w:r>
        <w:rPr>
          <w:rFonts w:hint="eastAsia" w:eastAsia="仿宋_GB2312" w:cs="Times New Roman"/>
          <w:color w:val="000000" w:themeColor="text1"/>
        </w:rPr>
        <w:t>保障城区生态与山区生态的有机融合。</w:t>
      </w:r>
    </w:p>
    <w:p>
      <w:pPr>
        <w:pStyle w:val="76"/>
        <w:keepNext w:val="0"/>
        <w:keepLines w:val="0"/>
        <w:adjustRightInd w:val="0"/>
        <w:snapToGrid w:val="0"/>
        <w:spacing w:beforeLines="0" w:afterLines="0" w:line="353" w:lineRule="auto"/>
        <w:ind w:firstLine="640" w:firstLineChars="200"/>
        <w:jc w:val="both"/>
        <w:rPr>
          <w:rFonts w:eastAsia="楷体_GB2312"/>
          <w:b w:val="0"/>
          <w:bCs/>
          <w:color w:val="000000" w:themeColor="text1"/>
          <w:sz w:val="32"/>
          <w:szCs w:val="32"/>
        </w:rPr>
      </w:pPr>
      <w:bookmarkStart w:id="90" w:name="_Toc105669377"/>
      <w:bookmarkStart w:id="91" w:name="_Toc9099"/>
      <w:bookmarkStart w:id="92" w:name="_Toc125"/>
      <w:bookmarkStart w:id="93" w:name="_Toc21604"/>
      <w:r>
        <w:rPr>
          <w:rFonts w:eastAsia="楷体_GB2312"/>
          <w:b w:val="0"/>
          <w:bCs/>
          <w:color w:val="000000" w:themeColor="text1"/>
          <w:sz w:val="32"/>
          <w:szCs w:val="32"/>
        </w:rPr>
        <w:t>（二）强化区域生态系统保护修复</w:t>
      </w:r>
      <w:bookmarkEnd w:id="90"/>
      <w:bookmarkEnd w:id="91"/>
      <w:bookmarkEnd w:id="92"/>
      <w:bookmarkEnd w:id="93"/>
      <w:r>
        <w:rPr>
          <w:rFonts w:hint="eastAsia" w:eastAsia="楷体_GB2312"/>
          <w:b w:val="0"/>
          <w:bCs/>
          <w:color w:val="000000" w:themeColor="text1"/>
          <w:sz w:val="32"/>
          <w:szCs w:val="32"/>
        </w:rPr>
        <w:t>。</w:t>
      </w:r>
    </w:p>
    <w:bookmarkEnd w:id="89"/>
    <w:p>
      <w:pPr>
        <w:pStyle w:val="76"/>
        <w:keepNext w:val="0"/>
        <w:keepLines w:val="0"/>
        <w:adjustRightInd w:val="0"/>
        <w:snapToGrid w:val="0"/>
        <w:spacing w:beforeLines="0" w:afterLines="0" w:line="353" w:lineRule="auto"/>
        <w:ind w:firstLine="640" w:firstLineChars="200"/>
        <w:jc w:val="both"/>
        <w:rPr>
          <w:rFonts w:eastAsia="仿宋_GB2312"/>
          <w:b w:val="0"/>
          <w:color w:val="000000" w:themeColor="text1"/>
          <w:sz w:val="32"/>
          <w:szCs w:val="32"/>
        </w:rPr>
      </w:pPr>
      <w:r>
        <w:rPr>
          <w:rFonts w:eastAsia="仿宋_GB2312"/>
          <w:b w:val="0"/>
          <w:color w:val="000000" w:themeColor="text1"/>
          <w:sz w:val="32"/>
          <w:szCs w:val="32"/>
        </w:rPr>
        <w:t>加强生物多样性保护。</w:t>
      </w:r>
      <w:r>
        <w:rPr>
          <w:rFonts w:eastAsia="仿宋_GB2312"/>
          <w:b w:val="0"/>
          <w:bCs/>
          <w:color w:val="000000" w:themeColor="text1"/>
          <w:sz w:val="32"/>
          <w:szCs w:val="32"/>
        </w:rPr>
        <w:t>开展区域生物多样性调查，推进外来</w:t>
      </w:r>
      <w:r>
        <w:rPr>
          <w:rFonts w:eastAsia="仿宋_GB2312"/>
          <w:b w:val="0"/>
          <w:color w:val="000000" w:themeColor="text1"/>
          <w:sz w:val="32"/>
          <w:szCs w:val="32"/>
        </w:rPr>
        <w:t>物种现状调查和评估。强化生物多样性恢复重建与绿化建设应用并举，推进保护与迁地保护结合，构建植物群落与本土典型植被，增加城区乡土物种。加强生物入侵物种防治，联合开展入侵生物定期定点监测，及时掌握入侵生物发展危害及控制状况，研究相应的防治技术方法、措施，控制局部区域的入侵生物发展危害，维护区域生态安全和生物安全。加强珍稀濒危野生动植物保护，强化野生动植物及其制品利用监管。</w:t>
      </w:r>
    </w:p>
    <w:p>
      <w:pPr>
        <w:pStyle w:val="2"/>
        <w:adjustRightInd w:val="0"/>
        <w:snapToGrid w:val="0"/>
        <w:spacing w:line="353" w:lineRule="auto"/>
        <w:ind w:firstLine="640"/>
        <w:rPr>
          <w:color w:val="000000" w:themeColor="text1"/>
          <w:sz w:val="32"/>
          <w:szCs w:val="32"/>
        </w:rPr>
      </w:pPr>
      <w:r>
        <w:rPr>
          <w:color w:val="000000" w:themeColor="text1"/>
          <w:sz w:val="32"/>
          <w:szCs w:val="32"/>
        </w:rPr>
        <w:t>强化重要生态系统保护修复。推进森林生态系统保护，坚持集约节约、合理高效利用森林资源。针对生态功能退化森林，按照近自然森林经营理念，在严格保护的前提下，开展中幼林抚育，进一步调整和优化树种结构，改善林相景观，提高林分质量和林地生产力，充分发挥森林整体生态服务功能以及自我修复和可持续发展能力。加强湿地生态系统保护，科学确定湿地管控目标，确保湿地总量稳定。严格湿地用途监管，增强湿地生态功能，维护湿地生物多样性。坚持自然恢复与人工修复相结合的方式，通过生态补水等措施，恢复原有湿地。</w:t>
      </w:r>
    </w:p>
    <w:p>
      <w:pPr>
        <w:pStyle w:val="60"/>
        <w:widowControl w:val="0"/>
        <w:adjustRightInd w:val="0"/>
        <w:snapToGrid w:val="0"/>
        <w:spacing w:line="353" w:lineRule="auto"/>
        <w:ind w:firstLine="640" w:firstLineChars="200"/>
        <w:rPr>
          <w:rFonts w:ascii="Times New Roman" w:hAnsi="Times New Roman" w:eastAsia="仿宋_GB2312" w:cs="Times New Roman"/>
          <w:color w:val="000000" w:themeColor="text1"/>
          <w:sz w:val="32"/>
          <w:szCs w:val="24"/>
        </w:rPr>
      </w:pPr>
      <w:r>
        <w:rPr>
          <w:rFonts w:ascii="Times New Roman" w:hAnsi="Times New Roman" w:eastAsia="仿宋_GB2312" w:cs="Times New Roman"/>
          <w:color w:val="000000" w:themeColor="text1"/>
          <w:sz w:val="32"/>
          <w:szCs w:val="32"/>
        </w:rPr>
        <w:t>加强重点区域生态治理修复。强化金沙江流域生态修复，以江北马坎片区、江南沙坝片区生态修复为重点，有序推进区域植被覆绿。加强小流域生态环境治理，推进硫磺沟、弄弄沟、马家田沟、五道河沟等重点区域水土保持工作，积极争取山水林湖田生态保护修复试点。加强矿山生态治理恢复，制定生态环境保护与修复方案，开展敏感地带矿山环境治理、矿山基底修复、生态复绿、尾矿库综合治理，推进攀钢朱矿、兰尖铁矿矿山及排土场进行矿山地质环境恢复治理。强化地质灾害生态</w:t>
      </w:r>
      <w:r>
        <w:rPr>
          <w:rFonts w:ascii="Times New Roman" w:hAnsi="Times New Roman" w:eastAsia="仿宋_GB2312" w:cs="Times New Roman"/>
          <w:color w:val="000000" w:themeColor="text1"/>
          <w:sz w:val="32"/>
          <w:szCs w:val="24"/>
        </w:rPr>
        <w:t>工程治理，实施</w:t>
      </w:r>
      <w:r>
        <w:rPr>
          <w:rFonts w:hint="eastAsia" w:ascii="Times New Roman" w:hAnsi="Times New Roman" w:eastAsia="仿宋_GB2312" w:cs="Times New Roman"/>
          <w:color w:val="000000" w:themeColor="text1"/>
          <w:sz w:val="32"/>
          <w:szCs w:val="24"/>
        </w:rPr>
        <w:t>道路、水电、建筑等工程创面植被恢复。</w:t>
      </w:r>
    </w:p>
    <w:p>
      <w:pPr>
        <w:pStyle w:val="76"/>
        <w:adjustRightInd w:val="0"/>
        <w:snapToGrid w:val="0"/>
        <w:spacing w:beforeLines="0" w:afterLines="0" w:line="353" w:lineRule="auto"/>
        <w:ind w:firstLine="640" w:firstLineChars="200"/>
        <w:jc w:val="both"/>
        <w:rPr>
          <w:rFonts w:eastAsia="楷体_GB2312"/>
          <w:b w:val="0"/>
          <w:bCs/>
          <w:color w:val="000000" w:themeColor="text1"/>
          <w:sz w:val="32"/>
          <w:szCs w:val="32"/>
        </w:rPr>
      </w:pPr>
      <w:bookmarkStart w:id="94" w:name="_Toc30845"/>
      <w:bookmarkStart w:id="95" w:name="_Toc28426"/>
      <w:bookmarkStart w:id="96" w:name="_Toc105669378"/>
      <w:bookmarkStart w:id="97" w:name="_Toc11978"/>
      <w:bookmarkStart w:id="98" w:name="_Toc61860286"/>
      <w:r>
        <w:rPr>
          <w:rFonts w:eastAsia="楷体_GB2312"/>
          <w:b w:val="0"/>
          <w:bCs/>
          <w:color w:val="000000" w:themeColor="text1"/>
          <w:sz w:val="32"/>
          <w:szCs w:val="32"/>
        </w:rPr>
        <w:t>（三）创建国家级生态文明示范区</w:t>
      </w:r>
      <w:bookmarkEnd w:id="94"/>
      <w:bookmarkEnd w:id="95"/>
      <w:bookmarkEnd w:id="96"/>
      <w:bookmarkEnd w:id="97"/>
      <w:bookmarkEnd w:id="98"/>
      <w:r>
        <w:rPr>
          <w:rFonts w:eastAsia="楷体_GB2312"/>
          <w:b w:val="0"/>
          <w:bCs/>
          <w:color w:val="000000" w:themeColor="text1"/>
          <w:sz w:val="32"/>
          <w:szCs w:val="32"/>
        </w:rPr>
        <w:t>。</w:t>
      </w:r>
    </w:p>
    <w:p>
      <w:pPr>
        <w:adjustRightInd w:val="0"/>
        <w:snapToGrid w:val="0"/>
        <w:spacing w:line="353" w:lineRule="auto"/>
        <w:ind w:firstLine="640"/>
        <w:rPr>
          <w:color w:val="000000" w:themeColor="text1"/>
          <w:sz w:val="32"/>
          <w:szCs w:val="32"/>
        </w:rPr>
      </w:pPr>
      <w:r>
        <w:rPr>
          <w:color w:val="000000" w:themeColor="text1"/>
          <w:sz w:val="32"/>
          <w:szCs w:val="32"/>
        </w:rPr>
        <w:t>积极构建“友好生态环境”区域氛围。加强生态文化公共服务体系建设，发挥图书馆、博物馆、文化馆、网络视频、广播电视等生态文化传播平台作用。推进中小学环境教育社会实践基地建设，加强生态文化的思想教育。开展绿色学校、绿色社区创建活动，开展生态环境知识进社区、进学校活动。增强新闻舆论引导主动性，深化环境政策与重大新闻宣传，积极向公众阐释政策，扩大共识。强化社会宣传，营造</w:t>
      </w:r>
      <w:r>
        <w:rPr>
          <w:rFonts w:hint="eastAsia"/>
          <w:color w:val="000000" w:themeColor="text1"/>
          <w:sz w:val="32"/>
          <w:szCs w:val="32"/>
        </w:rPr>
        <w:t>“</w:t>
      </w:r>
      <w:r>
        <w:rPr>
          <w:color w:val="000000" w:themeColor="text1"/>
          <w:sz w:val="32"/>
          <w:szCs w:val="32"/>
        </w:rPr>
        <w:t>友好环境</w:t>
      </w:r>
      <w:r>
        <w:rPr>
          <w:rFonts w:hint="eastAsia"/>
          <w:color w:val="000000" w:themeColor="text1"/>
          <w:sz w:val="32"/>
          <w:szCs w:val="32"/>
        </w:rPr>
        <w:t>”</w:t>
      </w:r>
      <w:r>
        <w:rPr>
          <w:color w:val="000000" w:themeColor="text1"/>
          <w:sz w:val="32"/>
          <w:szCs w:val="32"/>
        </w:rPr>
        <w:t>的社会氛围，抓好党政领导干部、企业负责人、居民公众等各级培训与宣传教育。努力构建生态人居、生态文化体系，助力人与自然和谐共生的现代化东区。</w:t>
      </w:r>
    </w:p>
    <w:p>
      <w:pPr>
        <w:adjustRightInd w:val="0"/>
        <w:snapToGrid w:val="0"/>
        <w:spacing w:line="353" w:lineRule="auto"/>
        <w:ind w:firstLine="640"/>
        <w:rPr>
          <w:color w:val="000000" w:themeColor="text1"/>
          <w:sz w:val="32"/>
          <w:szCs w:val="32"/>
        </w:rPr>
      </w:pPr>
      <w:r>
        <w:rPr>
          <w:color w:val="000000" w:themeColor="text1"/>
          <w:sz w:val="32"/>
          <w:szCs w:val="32"/>
        </w:rPr>
        <w:t>推进国家级生态文明建设示范区创建。统筹协调东区国家级生态文明示范区创建工作，全力推动生态环境保护与经济社会高质量发展齐头并进。紧密围绕国家级生态文明示范区创建目标要求，加强示范创建成果转化。</w:t>
      </w:r>
      <w:r>
        <w:rPr>
          <w:rFonts w:hint="eastAsia"/>
          <w:color w:val="000000" w:themeColor="text1"/>
          <w:sz w:val="32"/>
          <w:szCs w:val="32"/>
        </w:rPr>
        <w:t>争取</w:t>
      </w:r>
      <w:r>
        <w:rPr>
          <w:color w:val="000000" w:themeColor="text1"/>
          <w:sz w:val="32"/>
          <w:szCs w:val="32"/>
        </w:rPr>
        <w:t>2022年</w:t>
      </w:r>
      <w:r>
        <w:rPr>
          <w:rFonts w:hint="eastAsia"/>
          <w:color w:val="000000" w:themeColor="text1"/>
          <w:sz w:val="32"/>
          <w:szCs w:val="32"/>
        </w:rPr>
        <w:t>底</w:t>
      </w:r>
      <w:r>
        <w:rPr>
          <w:color w:val="000000" w:themeColor="text1"/>
          <w:sz w:val="32"/>
          <w:szCs w:val="32"/>
        </w:rPr>
        <w:t>，从生态空间、生态经济、生态安全、生态生活、生态制度、生态文化六个方面达到国家标准，力争2023年获得国家生态文明建设示范区授牌。</w:t>
      </w:r>
    </w:p>
    <w:tbl>
      <w:tblPr>
        <w:tblStyle w:val="25"/>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8364" w:type="dxa"/>
          </w:tcPr>
          <w:p>
            <w:pPr>
              <w:spacing w:line="240" w:lineRule="auto"/>
              <w:ind w:firstLine="560"/>
              <w:jc w:val="center"/>
              <w:rPr>
                <w:rFonts w:eastAsia="黑体"/>
                <w:b/>
                <w:color w:val="000000" w:themeColor="text1"/>
                <w:spacing w:val="-6"/>
                <w:sz w:val="32"/>
                <w:szCs w:val="32"/>
              </w:rPr>
            </w:pPr>
            <w:bookmarkStart w:id="99" w:name="_Toc23132"/>
            <w:bookmarkStart w:id="100" w:name="_Toc1446"/>
            <w:r>
              <w:rPr>
                <w:rFonts w:eastAsia="黑体"/>
                <w:color w:val="000000" w:themeColor="text1"/>
                <w:sz w:val="28"/>
                <w:szCs w:val="32"/>
              </w:rPr>
              <w:t>专栏2 生态文明创建重点项目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364" w:type="dxa"/>
          </w:tcPr>
          <w:p>
            <w:pPr>
              <w:adjustRightInd w:val="0"/>
              <w:snapToGrid w:val="0"/>
              <w:ind w:firstLine="480"/>
              <w:rPr>
                <w:rFonts w:eastAsia="方正仿宋简体"/>
                <w:b/>
                <w:color w:val="000000" w:themeColor="text1"/>
                <w:sz w:val="24"/>
                <w:szCs w:val="24"/>
              </w:rPr>
            </w:pPr>
            <w:r>
              <w:rPr>
                <w:rFonts w:eastAsia="方正仿宋简体"/>
                <w:b/>
                <w:color w:val="000000" w:themeColor="text1"/>
                <w:sz w:val="24"/>
                <w:szCs w:val="24"/>
              </w:rPr>
              <w:t>生态系统现状调查：</w:t>
            </w:r>
            <w:r>
              <w:rPr>
                <w:rFonts w:eastAsia="方正仿宋简体"/>
                <w:color w:val="000000" w:themeColor="text1"/>
                <w:sz w:val="24"/>
                <w:szCs w:val="24"/>
              </w:rPr>
              <w:t>开展生态环境状况指数调查工作。</w:t>
            </w:r>
          </w:p>
          <w:p>
            <w:pPr>
              <w:adjustRightInd w:val="0"/>
              <w:snapToGrid w:val="0"/>
              <w:ind w:firstLine="480"/>
              <w:rPr>
                <w:rFonts w:eastAsia="方正仿宋简体"/>
                <w:color w:val="000000" w:themeColor="text1"/>
                <w:sz w:val="24"/>
                <w:szCs w:val="24"/>
              </w:rPr>
            </w:pPr>
            <w:r>
              <w:rPr>
                <w:rFonts w:eastAsia="方正仿宋简体"/>
                <w:b/>
                <w:color w:val="000000" w:themeColor="text1"/>
                <w:sz w:val="24"/>
                <w:szCs w:val="24"/>
              </w:rPr>
              <w:t>生态保护与修复：</w:t>
            </w:r>
            <w:r>
              <w:rPr>
                <w:rFonts w:eastAsia="方正仿宋简体"/>
                <w:color w:val="000000" w:themeColor="text1"/>
                <w:sz w:val="24"/>
                <w:szCs w:val="24"/>
              </w:rPr>
              <w:t>攀枝花市东区金沙江北岸弄密村生态修复项目；攀枝花市东区干旱河谷生态脆弱区生态综合治理项目；攀西科技城炳四区陈家垭口生态修复工程；攀枝花市东区银江镇废弃矿山生态修复；攀钢马家田尾矿库闭库工程项目及生态价值打造。</w:t>
            </w:r>
          </w:p>
          <w:p>
            <w:pPr>
              <w:adjustRightInd w:val="0"/>
              <w:snapToGrid w:val="0"/>
              <w:ind w:firstLine="480"/>
              <w:rPr>
                <w:rFonts w:eastAsia="方正仿宋简体"/>
                <w:color w:val="000000" w:themeColor="text1"/>
                <w:sz w:val="24"/>
                <w:szCs w:val="24"/>
              </w:rPr>
            </w:pPr>
            <w:r>
              <w:rPr>
                <w:rFonts w:eastAsia="方正仿宋简体"/>
                <w:b/>
                <w:color w:val="000000" w:themeColor="text1"/>
                <w:sz w:val="24"/>
                <w:szCs w:val="24"/>
              </w:rPr>
              <w:t>“友好环境”社会氛围：</w:t>
            </w:r>
            <w:r>
              <w:rPr>
                <w:rFonts w:eastAsia="方正仿宋简体"/>
                <w:color w:val="000000" w:themeColor="text1"/>
                <w:sz w:val="24"/>
                <w:szCs w:val="24"/>
              </w:rPr>
              <w:t>炳草岗生活垃圾分类及收运体系建设。</w:t>
            </w:r>
          </w:p>
          <w:p>
            <w:pPr>
              <w:adjustRightInd w:val="0"/>
              <w:snapToGrid w:val="0"/>
              <w:ind w:firstLine="480"/>
              <w:rPr>
                <w:color w:val="000000" w:themeColor="text1"/>
                <w:sz w:val="24"/>
                <w:szCs w:val="24"/>
              </w:rPr>
            </w:pPr>
            <w:r>
              <w:rPr>
                <w:rFonts w:eastAsia="方正仿宋简体"/>
                <w:b/>
                <w:color w:val="000000" w:themeColor="text1"/>
                <w:sz w:val="24"/>
                <w:szCs w:val="24"/>
              </w:rPr>
              <w:t>防范外来物种入侵：</w:t>
            </w:r>
            <w:r>
              <w:rPr>
                <w:rFonts w:eastAsia="方正仿宋简体"/>
                <w:color w:val="000000" w:themeColor="text1"/>
                <w:sz w:val="24"/>
                <w:szCs w:val="24"/>
              </w:rPr>
              <w:t>红火蚁防控专业化技术项目。</w:t>
            </w:r>
          </w:p>
        </w:tc>
      </w:tr>
    </w:tbl>
    <w:p>
      <w:pPr>
        <w:pStyle w:val="3"/>
        <w:adjustRightInd w:val="0"/>
        <w:snapToGrid w:val="0"/>
        <w:spacing w:before="0" w:after="0" w:line="353" w:lineRule="auto"/>
        <w:ind w:firstLine="640" w:firstLineChars="200"/>
        <w:jc w:val="center"/>
        <w:rPr>
          <w:rFonts w:eastAsia="黑体"/>
          <w:b w:val="0"/>
          <w:bCs/>
          <w:color w:val="000000" w:themeColor="text1"/>
          <w:sz w:val="32"/>
          <w:szCs w:val="32"/>
        </w:rPr>
      </w:pPr>
      <w:bookmarkStart w:id="101" w:name="_Toc105669379"/>
      <w:r>
        <w:rPr>
          <w:rFonts w:eastAsia="黑体"/>
          <w:b w:val="0"/>
          <w:bCs/>
          <w:color w:val="000000" w:themeColor="text1"/>
          <w:sz w:val="32"/>
          <w:szCs w:val="32"/>
        </w:rPr>
        <w:t>第四节　深化污染防治，建设</w:t>
      </w:r>
      <w:bookmarkEnd w:id="84"/>
      <w:r>
        <w:rPr>
          <w:rFonts w:eastAsia="黑体"/>
          <w:b w:val="0"/>
          <w:bCs/>
          <w:color w:val="000000" w:themeColor="text1"/>
          <w:sz w:val="32"/>
          <w:szCs w:val="32"/>
        </w:rPr>
        <w:t>天蓝水绿食安地</w:t>
      </w:r>
      <w:bookmarkEnd w:id="99"/>
      <w:bookmarkEnd w:id="100"/>
      <w:bookmarkEnd w:id="101"/>
    </w:p>
    <w:p>
      <w:pPr>
        <w:pStyle w:val="3"/>
        <w:adjustRightInd w:val="0"/>
        <w:snapToGrid w:val="0"/>
        <w:spacing w:before="0" w:after="0" w:line="353" w:lineRule="auto"/>
        <w:ind w:firstLine="640" w:firstLineChars="200"/>
        <w:jc w:val="both"/>
        <w:rPr>
          <w:rFonts w:eastAsia="楷体_GB2312"/>
          <w:b w:val="0"/>
          <w:bCs/>
          <w:color w:val="000000" w:themeColor="text1"/>
          <w:sz w:val="32"/>
          <w:szCs w:val="32"/>
        </w:rPr>
      </w:pPr>
      <w:bookmarkStart w:id="102" w:name="_Toc23687"/>
      <w:bookmarkStart w:id="103" w:name="_Toc1143"/>
      <w:bookmarkStart w:id="104" w:name="_Toc21185"/>
      <w:bookmarkStart w:id="105" w:name="_Toc105669380"/>
      <w:r>
        <w:rPr>
          <w:rFonts w:eastAsia="楷体_GB2312"/>
          <w:b w:val="0"/>
          <w:bCs/>
          <w:color w:val="000000" w:themeColor="text1"/>
          <w:sz w:val="32"/>
          <w:szCs w:val="32"/>
        </w:rPr>
        <w:t>（一）持续推进大气污染防治</w:t>
      </w:r>
      <w:bookmarkEnd w:id="102"/>
      <w:bookmarkEnd w:id="103"/>
      <w:bookmarkEnd w:id="104"/>
      <w:bookmarkEnd w:id="105"/>
      <w:r>
        <w:rPr>
          <w:rFonts w:eastAsia="楷体_GB2312"/>
          <w:b w:val="0"/>
          <w:bCs/>
          <w:color w:val="000000" w:themeColor="text1"/>
          <w:sz w:val="32"/>
          <w:szCs w:val="32"/>
        </w:rPr>
        <w:t>。</w:t>
      </w:r>
    </w:p>
    <w:p>
      <w:pPr>
        <w:pStyle w:val="2"/>
        <w:adjustRightInd w:val="0"/>
        <w:snapToGrid w:val="0"/>
        <w:spacing w:line="353" w:lineRule="auto"/>
        <w:ind w:firstLine="640"/>
        <w:rPr>
          <w:color w:val="000000" w:themeColor="text1"/>
          <w:sz w:val="32"/>
          <w:szCs w:val="32"/>
        </w:rPr>
      </w:pPr>
      <w:r>
        <w:rPr>
          <w:color w:val="000000" w:themeColor="text1"/>
          <w:sz w:val="32"/>
          <w:szCs w:val="32"/>
        </w:rPr>
        <w:t>加强钢铁企业污染管控。强化攀钢、钢城集团钢铁龙头企业污染控制，严禁新增钢铁冶炼产能，严格执行产能置换实施办法。严格落实四川省推动钢铁行业超低排放改造要求，推进攀钢集团所有生产环节（含原料场、烧结、球团、炼焦、炼铁、炼钢、轧钢、自备电厂等）分段提标，加快攀钢钒5号、6号焦炉等环保改造项目实施，到2025年，攀钢集团超低排放改造初步完成。加大钢铁行业环保技术研发投入，推进攀研院钒钛资源综合利用、典型废气源头减量及资源化工艺研究，实现烟气脱硫、脱硝工艺、装备开发方面科研技术对企业环保的指导作用。加强污染排放监测监控，落实钢铁企业污染排放自动监控设施建设，按照钢铁工业及炼焦化学工业自行监测技术指南要求，完善自行监测方案，开展自行监测，按时纳入监管联网系统。</w:t>
      </w:r>
    </w:p>
    <w:p>
      <w:pPr>
        <w:pStyle w:val="2"/>
        <w:adjustRightInd w:val="0"/>
        <w:snapToGrid w:val="0"/>
        <w:spacing w:line="353" w:lineRule="auto"/>
        <w:ind w:firstLine="640"/>
        <w:rPr>
          <w:color w:val="000000" w:themeColor="text1"/>
          <w:sz w:val="32"/>
          <w:szCs w:val="32"/>
        </w:rPr>
      </w:pPr>
      <w:r>
        <w:rPr>
          <w:color w:val="000000" w:themeColor="text1"/>
          <w:sz w:val="32"/>
          <w:szCs w:val="32"/>
        </w:rPr>
        <w:t>推进非钢行业深度治理。强化热力生产和供应、耐火陶瓷制品及其他耐火材料制造、有色金属合金制造、工业颜料制造、无机碱制造、铅锌冶炼等非钢行业深度治理，加强物料储存、输送及生产工艺过程封闭管理，推进工业企业除尘器等设备技术升级，实现非钢行业减排控污。深化科研院所技术研究和成果转化，推进以钒钛合金为主体的航空航天、输油（气）管线、高韧材料系列产品环保技术研究，发挥好以攀研院为代表的系列机构对非钢行业的技术支撑。加强攀钢集团攀枝花钢钒有限公司能源动力分公司、攀钢冶金材料有限责任公司、攀枝花鼎星钛业有限公司等重点排污单位环境监管力度，推进非钢涉气企业集中整治，落实重点大气污染物排放总量控制要求。</w:t>
      </w:r>
    </w:p>
    <w:p>
      <w:pPr>
        <w:widowControl/>
        <w:adjustRightInd w:val="0"/>
        <w:snapToGrid w:val="0"/>
        <w:spacing w:line="353" w:lineRule="auto"/>
        <w:ind w:firstLine="640"/>
        <w:rPr>
          <w:color w:val="000000" w:themeColor="text1"/>
          <w:sz w:val="32"/>
          <w:szCs w:val="32"/>
        </w:rPr>
      </w:pPr>
      <w:r>
        <w:rPr>
          <w:color w:val="000000" w:themeColor="text1"/>
          <w:sz w:val="32"/>
          <w:szCs w:val="32"/>
        </w:rPr>
        <w:t>加快移动源污染防治。促进大宗货物运输“公转铁、公转水、公转皮、公转管”，强化攀钢钒铁路运输管控一体化系统、循环经济产业园皮带运输系统等皮、管系统建设，逐步减少重载柴油货车在大宗散货运输中的比重。</w:t>
      </w:r>
      <w:r>
        <w:rPr>
          <w:rFonts w:hint="eastAsia"/>
          <w:color w:val="000000" w:themeColor="text1"/>
          <w:sz w:val="32"/>
          <w:szCs w:val="32"/>
        </w:rPr>
        <w:t>加强</w:t>
      </w:r>
      <w:r>
        <w:rPr>
          <w:color w:val="000000" w:themeColor="text1"/>
          <w:sz w:val="32"/>
          <w:szCs w:val="32"/>
        </w:rPr>
        <w:t>机动车环保管理，加大现有机动车排气污染治理力度，新注册和异地转入车辆严格执行国家标准。严格监管执法，综合运用现场抽检和遥感监测等手段强化机动车排气路检，以重型柴油货车为重点，加大机动车集中排放地、维修地尾气排放监督抽检力度。加强非道路移动机械整治</w:t>
      </w:r>
      <w:bookmarkStart w:id="106" w:name="_Hlk59395674"/>
      <w:r>
        <w:rPr>
          <w:color w:val="000000" w:themeColor="text1"/>
          <w:sz w:val="32"/>
          <w:szCs w:val="32"/>
        </w:rPr>
        <w:t>，推动园区、机场、货场、工矿企业非道路移动机械电动化，强化工程机械精准定位系统和实时排放监控装置安装，实施非道路移动机械定期排放检验制度。优化调整禁止使用高排放非道路移动机械范围。</w:t>
      </w:r>
      <w:bookmarkEnd w:id="106"/>
    </w:p>
    <w:p>
      <w:pPr>
        <w:pStyle w:val="2"/>
        <w:adjustRightInd w:val="0"/>
        <w:snapToGrid w:val="0"/>
        <w:spacing w:line="353" w:lineRule="auto"/>
        <w:ind w:firstLine="640"/>
        <w:rPr>
          <w:color w:val="000000" w:themeColor="text1"/>
          <w:sz w:val="32"/>
          <w:szCs w:val="32"/>
        </w:rPr>
      </w:pPr>
      <w:bookmarkStart w:id="107" w:name="_Toc475629309"/>
      <w:bookmarkStart w:id="108" w:name="_Toc446954241"/>
      <w:bookmarkStart w:id="109" w:name="_Toc469304947"/>
      <w:r>
        <w:rPr>
          <w:color w:val="000000" w:themeColor="text1"/>
          <w:sz w:val="32"/>
          <w:szCs w:val="32"/>
        </w:rPr>
        <w:t>强化面源污染治理</w:t>
      </w:r>
      <w:bookmarkEnd w:id="107"/>
      <w:bookmarkEnd w:id="108"/>
      <w:bookmarkEnd w:id="109"/>
      <w:r>
        <w:rPr>
          <w:color w:val="000000" w:themeColor="text1"/>
          <w:sz w:val="32"/>
          <w:szCs w:val="32"/>
        </w:rPr>
        <w:t>。强化城市面源扬尘治理，加强施工场地及煤场、渣场扬尘区域密闭管理。加强运输渣土、石料、水泥、煤炭等物料车辆的</w:t>
      </w:r>
      <w:r>
        <w:rPr>
          <w:rFonts w:hint="eastAsia"/>
          <w:color w:val="000000" w:themeColor="text1"/>
          <w:sz w:val="32"/>
          <w:szCs w:val="32"/>
        </w:rPr>
        <w:t>篷</w:t>
      </w:r>
      <w:r>
        <w:rPr>
          <w:color w:val="000000" w:themeColor="text1"/>
          <w:sz w:val="32"/>
          <w:szCs w:val="32"/>
        </w:rPr>
        <w:t>盖、密闭等措施管理，提高城市道路清扫保洁和洒水抑尘机械化作业水平，到2025年，实现建成区主要车行道机扫率达到85%以上。强化餐饮行业油烟管控，优化城市餐饮产业发展及空间规划布局。持续强化“散乱污”企业监管，严防散乱污企业向农村及城镇周边转移，完善“散乱污”企业管理台账，确保“散乱污”企业动态清零。全面禁止农业作物及城市废弃物露天焚烧，强化秸秆农作物、城市清扫废物、园林废物、建筑废弃物、工业垃圾等焚烧监管，建立全覆盖网格化监管体系。</w:t>
      </w:r>
    </w:p>
    <w:p>
      <w:pPr>
        <w:adjustRightInd w:val="0"/>
        <w:snapToGrid w:val="0"/>
        <w:spacing w:line="353" w:lineRule="auto"/>
        <w:ind w:firstLine="640"/>
        <w:rPr>
          <w:color w:val="000000" w:themeColor="text1"/>
          <w:sz w:val="32"/>
          <w:szCs w:val="32"/>
        </w:rPr>
      </w:pPr>
      <w:r>
        <w:rPr>
          <w:color w:val="000000" w:themeColor="text1"/>
          <w:sz w:val="32"/>
          <w:szCs w:val="32"/>
        </w:rPr>
        <w:t>推进VOCs综合防治。实施工业源挥发性有机物总量控制和行业控制，强化石油化工、工业涂装、机械制造行业企业管控力度，建立健全VOCs重点污染企业名单。强化VOCs源头减量，以重点行业企业设备升级为主线，推动石油化工重点行业及攀枝花盘江煤焦化有限公司等重点企业实施污染治理工艺、设施升级改造，实现VOCs污染物减量减排。强化低（无）VOCs 含量原辅材料替代，推广低（无）挥发性的建筑涂料、木器涂料、水性涂料、胶粘剂等产品使用，实现溶剂型涂料逐步淘汰。加强油品储运销VOCs综合治理，推进加油站、油罐车、储油库以及油气治理回收，建立健全油气企业日查、自检、年检和维保制度，引导中国石油天然气股份有限公司四川攀枝花销售分公司、中国石化攀枝花分公司等国有企业开展加油站夜间加油降价促销活动。</w:t>
      </w:r>
    </w:p>
    <w:p>
      <w:pPr>
        <w:adjustRightInd w:val="0"/>
        <w:snapToGrid w:val="0"/>
        <w:spacing w:line="353" w:lineRule="auto"/>
        <w:ind w:firstLine="640"/>
        <w:rPr>
          <w:color w:val="000000" w:themeColor="text1"/>
          <w:sz w:val="32"/>
          <w:szCs w:val="32"/>
        </w:rPr>
      </w:pPr>
      <w:r>
        <w:rPr>
          <w:color w:val="000000" w:themeColor="text1"/>
          <w:sz w:val="32"/>
          <w:szCs w:val="32"/>
        </w:rPr>
        <w:t>强化PM</w:t>
      </w:r>
      <w:r>
        <w:rPr>
          <w:color w:val="000000" w:themeColor="text1"/>
          <w:sz w:val="32"/>
          <w:szCs w:val="32"/>
          <w:vertAlign w:val="subscript"/>
        </w:rPr>
        <w:t>2.5</w:t>
      </w:r>
      <w:r>
        <w:rPr>
          <w:color w:val="000000" w:themeColor="text1"/>
          <w:sz w:val="32"/>
          <w:szCs w:val="32"/>
        </w:rPr>
        <w:t>和O</w:t>
      </w:r>
      <w:r>
        <w:rPr>
          <w:color w:val="000000" w:themeColor="text1"/>
          <w:sz w:val="32"/>
          <w:szCs w:val="32"/>
          <w:vertAlign w:val="subscript"/>
        </w:rPr>
        <w:t>3</w:t>
      </w:r>
      <w:r>
        <w:rPr>
          <w:color w:val="000000" w:themeColor="text1"/>
          <w:sz w:val="32"/>
          <w:szCs w:val="32"/>
        </w:rPr>
        <w:t>协同控制。落实攀枝花市轻微污染天气应对办法，加强空气质量预测和会商研判，合理划定轻微污染天气管控区域，建立预防性污染天气应对管控清单，完善东区重污染天气应急减排清单。加强PM</w:t>
      </w:r>
      <w:r>
        <w:rPr>
          <w:color w:val="000000" w:themeColor="text1"/>
          <w:sz w:val="32"/>
          <w:szCs w:val="32"/>
          <w:vertAlign w:val="subscript"/>
        </w:rPr>
        <w:t>2.5</w:t>
      </w:r>
      <w:r>
        <w:rPr>
          <w:color w:val="000000" w:themeColor="text1"/>
          <w:sz w:val="32"/>
          <w:szCs w:val="32"/>
        </w:rPr>
        <w:t>和O</w:t>
      </w:r>
      <w:r>
        <w:rPr>
          <w:color w:val="000000" w:themeColor="text1"/>
          <w:sz w:val="32"/>
          <w:szCs w:val="32"/>
          <w:vertAlign w:val="subscript"/>
        </w:rPr>
        <w:t>3</w:t>
      </w:r>
      <w:r>
        <w:rPr>
          <w:color w:val="000000" w:themeColor="text1"/>
          <w:sz w:val="32"/>
          <w:szCs w:val="32"/>
        </w:rPr>
        <w:t>协同控制，实施夏季O</w:t>
      </w:r>
      <w:r>
        <w:rPr>
          <w:color w:val="000000" w:themeColor="text1"/>
          <w:sz w:val="32"/>
          <w:szCs w:val="32"/>
          <w:vertAlign w:val="subscript"/>
        </w:rPr>
        <w:t>3</w:t>
      </w:r>
      <w:r>
        <w:rPr>
          <w:color w:val="000000" w:themeColor="text1"/>
          <w:sz w:val="32"/>
          <w:szCs w:val="32"/>
        </w:rPr>
        <w:t>污染和冬季PM</w:t>
      </w:r>
      <w:r>
        <w:rPr>
          <w:color w:val="000000" w:themeColor="text1"/>
          <w:sz w:val="32"/>
          <w:szCs w:val="32"/>
          <w:vertAlign w:val="subscript"/>
        </w:rPr>
        <w:t>2.5</w:t>
      </w:r>
      <w:r>
        <w:rPr>
          <w:color w:val="000000" w:themeColor="text1"/>
          <w:sz w:val="32"/>
          <w:szCs w:val="32"/>
        </w:rPr>
        <w:t>污染管控专项行动，加强采矿、建材、化工行业除尘设施安装使用。进一步强化大气污染防治联防联治，加强空气质量联合监测、联合会商、联合执法，探索建立跨区域治理新模式。</w:t>
      </w:r>
    </w:p>
    <w:p>
      <w:pPr>
        <w:pStyle w:val="76"/>
        <w:keepNext w:val="0"/>
        <w:keepLines w:val="0"/>
        <w:adjustRightInd w:val="0"/>
        <w:snapToGrid w:val="0"/>
        <w:spacing w:beforeLines="0" w:afterLines="0" w:line="353" w:lineRule="auto"/>
        <w:ind w:firstLine="640" w:firstLineChars="200"/>
        <w:jc w:val="both"/>
        <w:rPr>
          <w:rFonts w:eastAsia="楷体_GB2312"/>
          <w:b w:val="0"/>
          <w:bCs/>
          <w:color w:val="000000" w:themeColor="text1"/>
          <w:sz w:val="32"/>
          <w:szCs w:val="32"/>
        </w:rPr>
      </w:pPr>
      <w:bookmarkStart w:id="110" w:name="_Toc19463"/>
      <w:bookmarkStart w:id="111" w:name="_Toc105669381"/>
      <w:bookmarkStart w:id="112" w:name="_Toc26576"/>
      <w:bookmarkStart w:id="113" w:name="_Toc30281"/>
      <w:r>
        <w:rPr>
          <w:rFonts w:eastAsia="楷体_GB2312"/>
          <w:b w:val="0"/>
          <w:bCs/>
          <w:color w:val="000000" w:themeColor="text1"/>
          <w:sz w:val="32"/>
          <w:szCs w:val="32"/>
        </w:rPr>
        <w:t>（二）全面开展水生态环境保护</w:t>
      </w:r>
      <w:bookmarkEnd w:id="110"/>
      <w:bookmarkEnd w:id="111"/>
      <w:bookmarkEnd w:id="112"/>
      <w:bookmarkEnd w:id="113"/>
      <w:r>
        <w:rPr>
          <w:rFonts w:hint="eastAsia" w:eastAsia="楷体_GB2312"/>
          <w:b w:val="0"/>
          <w:bCs/>
          <w:color w:val="000000" w:themeColor="text1"/>
          <w:sz w:val="32"/>
          <w:szCs w:val="32"/>
        </w:rPr>
        <w:t>。</w:t>
      </w:r>
    </w:p>
    <w:p>
      <w:pPr>
        <w:adjustRightInd w:val="0"/>
        <w:snapToGrid w:val="0"/>
        <w:spacing w:line="353" w:lineRule="auto"/>
        <w:ind w:firstLine="640"/>
        <w:rPr>
          <w:color w:val="000000" w:themeColor="text1"/>
          <w:sz w:val="32"/>
          <w:szCs w:val="32"/>
        </w:rPr>
      </w:pPr>
      <w:r>
        <w:rPr>
          <w:color w:val="000000" w:themeColor="text1"/>
          <w:sz w:val="32"/>
          <w:szCs w:val="32"/>
        </w:rPr>
        <w:t>加强工业废水污染防治。强化工业污染源源头防控，推动攀枝花新钢钒股份有限公司热轧板厂、攀枝花钢钒有限公司能源动力中心、攀枝花新钢钒股份有限公司炼铁厂等重点用水排污企业优化生产工艺，提升深度处理水平，提高废水循环利用率，实现工业废水源头控污减量。加强工业聚集区污水治理，以弄弄坪片区、攀密片区、高梁坪片区、马鹿箐区域为重点，聚焦企业生产过程</w:t>
      </w:r>
      <w:r>
        <w:rPr>
          <w:rFonts w:hint="eastAsia"/>
          <w:color w:val="000000" w:themeColor="text1"/>
          <w:sz w:val="32"/>
          <w:szCs w:val="32"/>
        </w:rPr>
        <w:t>的</w:t>
      </w:r>
      <w:r>
        <w:rPr>
          <w:color w:val="000000" w:themeColor="text1"/>
          <w:sz w:val="32"/>
          <w:szCs w:val="32"/>
        </w:rPr>
        <w:t>钛、钒废水，完善园区及企业雨污分流系统，加快攀枝花钒制品厂废水蒸发浓缩系统2#线升级工程项目实施，</w:t>
      </w:r>
      <w:r>
        <w:rPr>
          <w:color w:val="000000" w:themeColor="text1"/>
          <w:kern w:val="0"/>
          <w:sz w:val="32"/>
          <w:szCs w:val="32"/>
        </w:rPr>
        <w:t>提高工业园区污水消纳能力水平</w:t>
      </w:r>
      <w:r>
        <w:rPr>
          <w:color w:val="000000" w:themeColor="text1"/>
          <w:sz w:val="32"/>
          <w:szCs w:val="32"/>
        </w:rPr>
        <w:t>。</w:t>
      </w:r>
    </w:p>
    <w:p>
      <w:pPr>
        <w:pStyle w:val="64"/>
        <w:adjustRightInd w:val="0"/>
        <w:snapToGrid w:val="0"/>
        <w:spacing w:line="353" w:lineRule="auto"/>
        <w:ind w:firstLine="640"/>
        <w:rPr>
          <w:color w:val="000000" w:themeColor="text1"/>
          <w:sz w:val="32"/>
          <w:szCs w:val="32"/>
        </w:rPr>
      </w:pPr>
      <w:r>
        <w:rPr>
          <w:color w:val="000000" w:themeColor="text1"/>
          <w:sz w:val="32"/>
          <w:szCs w:val="32"/>
        </w:rPr>
        <w:t>完善城乡污水治理设施建设。强化城乡污水收集能力，完善五十四、华山、渡口桥，阿署达、弄弄坪等重点区域雨污管网设施更新，补齐污水管网收集短板。提高城镇污水运维水平，炳草岗、大渡口、小沙坝、马坎污水处理厂等城镇污水处理厂强化设施管理，保障运维资金，加强管理人员技术培训，确保污水处理厂（站）设施设备正常运行。补齐农村生活污水治理短板，继续推进银江镇千村示范工程建设，强化农村生活污水设施维护，实现农村生活污水有效治理率稳步提高。到2025年，东区城市生活污水处理率达到98%，农村生活污水得到有效治理的行政村比例达到100%。</w:t>
      </w:r>
    </w:p>
    <w:p>
      <w:pPr>
        <w:pStyle w:val="2"/>
        <w:adjustRightInd w:val="0"/>
        <w:snapToGrid w:val="0"/>
        <w:spacing w:line="353" w:lineRule="auto"/>
        <w:ind w:firstLine="640"/>
        <w:rPr>
          <w:b/>
          <w:bCs/>
          <w:color w:val="000000" w:themeColor="text1"/>
          <w:sz w:val="32"/>
          <w:szCs w:val="32"/>
        </w:rPr>
      </w:pPr>
      <w:r>
        <w:rPr>
          <w:color w:val="000000" w:themeColor="text1"/>
          <w:kern w:val="0"/>
          <w:sz w:val="32"/>
          <w:szCs w:val="32"/>
        </w:rPr>
        <w:t>强化水资源合理配置。持续</w:t>
      </w:r>
      <w:r>
        <w:rPr>
          <w:color w:val="000000" w:themeColor="text1"/>
          <w:sz w:val="32"/>
          <w:szCs w:val="32"/>
        </w:rPr>
        <w:t>实行最严格的水资源管理制度，开展水资源消耗总量和强度双控行动。严格落实东区水资源总量、用水效率和水功能区限制纳污“三条红线”管控，统筹生活、生产、生态环境等用水需求。强化生产用水资源调度，实现攀枝花干热河谷地区水资源合理配置。加强生活用水设施建设，推进江北片区、江南片区、银江镇双龙滩、弄弄沟等区域供水管网设施建设，优先满足城乡生活用水。加强金沙江、大河流域生态流量保障，建立河道生态流量监督管理制度及水资源调度长效机制。强化成库后银江水电生态下泄流量监管，强化水利工程对水资源的动态调度，以河道生态需水为控制目标，保障枯水期下泄流量。</w:t>
      </w:r>
    </w:p>
    <w:p>
      <w:pPr>
        <w:pStyle w:val="2"/>
        <w:adjustRightInd w:val="0"/>
        <w:snapToGrid w:val="0"/>
        <w:spacing w:line="353" w:lineRule="auto"/>
        <w:ind w:firstLine="640"/>
        <w:rPr>
          <w:color w:val="000000" w:themeColor="text1"/>
          <w:sz w:val="32"/>
          <w:szCs w:val="32"/>
        </w:rPr>
      </w:pPr>
      <w:r>
        <w:rPr>
          <w:color w:val="000000" w:themeColor="text1"/>
          <w:sz w:val="32"/>
          <w:szCs w:val="32"/>
        </w:rPr>
        <w:t>加强水生态保护。强化流域生态缓冲带、生态敏感脆弱区保护力度，推进金沙江、雅砻江生态廊道保护工程建设，实现近水护岸水土稳固。加快沿河滨岸水生态修复工作，推进金沙江及主要支流沿江近岸河道疏浚、固水近岸植物种植、良好生态景观打造及配套设施建设，实现河道生态稳固提升。推进金沙江、雅砻江流域鱼类资源、浮游动物、浮游植物等生态基础数据调查研究，加强区域水生态环境调查评价，开展银江</w:t>
      </w:r>
      <w:r>
        <w:rPr>
          <w:rFonts w:hint="eastAsia"/>
          <w:color w:val="000000" w:themeColor="text1"/>
          <w:sz w:val="32"/>
          <w:szCs w:val="32"/>
        </w:rPr>
        <w:t>水</w:t>
      </w:r>
      <w:r>
        <w:rPr>
          <w:color w:val="000000" w:themeColor="text1"/>
          <w:sz w:val="32"/>
          <w:szCs w:val="32"/>
        </w:rPr>
        <w:t>电站成库后水生态环境跟踪研究，分析区域水环境容量及水生物多样性变化趋势，确保水生态环境安全。</w:t>
      </w:r>
    </w:p>
    <w:p>
      <w:pPr>
        <w:pStyle w:val="2"/>
        <w:adjustRightInd w:val="0"/>
        <w:snapToGrid w:val="0"/>
        <w:spacing w:line="353" w:lineRule="auto"/>
        <w:ind w:firstLine="640"/>
        <w:rPr>
          <w:color w:val="000000" w:themeColor="text1"/>
          <w:sz w:val="32"/>
          <w:szCs w:val="32"/>
        </w:rPr>
      </w:pPr>
      <w:r>
        <w:rPr>
          <w:color w:val="000000" w:themeColor="text1"/>
          <w:sz w:val="32"/>
          <w:szCs w:val="32"/>
        </w:rPr>
        <w:t>加强饮用水源保护。加强饮用水水源保护区交通污染、生活污染、畜禽养殖污染、农作物种植污染等环境隐患排查，做好金沙江高梁坪水源地环境问题整改回头看工作，巩固集中式水源地保护工作成效，维护水源地良性生态系统。强化饮用水水源保护区日常监管和应急管理，科学编制饮用水水源地应急预案，定期组织开展演练和评估。优化饮用水水源供水模式，积极推进高梁坪水厂新建水源工程，实现观音岩饮用水水源地集中供给，并取消高梁坪饮用水水源地。加强水源水到龙头水全过程监管，构建“水源达标、应急备用、深度处理、预警检测”的供水安全保障体系，城乡集中式饮用水水源地水质达标率保持100%。</w:t>
      </w:r>
    </w:p>
    <w:p>
      <w:pPr>
        <w:pStyle w:val="82"/>
        <w:adjustRightInd w:val="0"/>
        <w:snapToGrid w:val="0"/>
        <w:spacing w:line="353" w:lineRule="auto"/>
        <w:ind w:firstLine="640"/>
        <w:rPr>
          <w:rFonts w:cs="Times New Roman"/>
          <w:color w:val="000000" w:themeColor="text1"/>
          <w:sz w:val="28"/>
          <w:szCs w:val="28"/>
        </w:rPr>
      </w:pPr>
      <w:r>
        <w:rPr>
          <w:rFonts w:eastAsia="仿宋_GB2312" w:cs="Times New Roman"/>
          <w:color w:val="000000" w:themeColor="text1"/>
          <w:szCs w:val="32"/>
        </w:rPr>
        <w:t>加快入河排污口整治。落实入河排污口排查工作，全面排查东区入河排污口数量及分布情况，建立健全东区入河排污口信息台账。加快推进入河排污口整治工作，按照“取缔一批、合并一批、规范一批”原则要求，科学制定入河排污口“一口一策”，整治布局不合理、设置不合法、水质不达标、管理主体不明确、手续不齐全等问题入河排污口，到2023年，实现全区规模以上入河排污口达标排放及规范化建设。加强入河排污口日常检查和监督性监测，综合运用卫星遥感、人工智能等手段实施智能化监管，逐步实现入河排污口全覆盖、全时段监测，到2025年，完成所有入河排污口规范化整治，</w:t>
      </w:r>
      <w:r>
        <w:rPr>
          <w:rFonts w:hint="eastAsia" w:eastAsia="仿宋_GB2312" w:cs="Times New Roman"/>
          <w:color w:val="000000" w:themeColor="text1"/>
        </w:rPr>
        <w:t>形成管理体系比较完备</w:t>
      </w:r>
      <w:r>
        <w:rPr>
          <w:rFonts w:eastAsia="仿宋_GB2312" w:cs="Times New Roman"/>
          <w:color w:val="000000" w:themeColor="text1"/>
          <w:szCs w:val="32"/>
        </w:rPr>
        <w:t>、技术体系较为科学的入河排污口设置及监督管理体系。</w:t>
      </w:r>
    </w:p>
    <w:p>
      <w:pPr>
        <w:pStyle w:val="76"/>
        <w:keepNext w:val="0"/>
        <w:keepLines w:val="0"/>
        <w:adjustRightInd w:val="0"/>
        <w:snapToGrid w:val="0"/>
        <w:spacing w:beforeLines="0" w:afterLines="0" w:line="353" w:lineRule="auto"/>
        <w:ind w:firstLine="640" w:firstLineChars="200"/>
        <w:jc w:val="both"/>
        <w:rPr>
          <w:rFonts w:eastAsia="楷体_GB2312"/>
          <w:b w:val="0"/>
          <w:bCs/>
          <w:color w:val="000000" w:themeColor="text1"/>
          <w:sz w:val="32"/>
          <w:szCs w:val="32"/>
        </w:rPr>
      </w:pPr>
      <w:bookmarkStart w:id="114" w:name="_Toc105669382"/>
      <w:bookmarkStart w:id="115" w:name="_Toc11440"/>
      <w:bookmarkStart w:id="116" w:name="_Toc23606"/>
      <w:bookmarkStart w:id="117" w:name="_Toc13830"/>
      <w:r>
        <w:rPr>
          <w:rFonts w:eastAsia="楷体_GB2312"/>
          <w:b w:val="0"/>
          <w:bCs/>
          <w:color w:val="000000" w:themeColor="text1"/>
          <w:sz w:val="32"/>
          <w:szCs w:val="32"/>
        </w:rPr>
        <w:t>（三）切实加强土壤环境治理</w:t>
      </w:r>
      <w:bookmarkEnd w:id="114"/>
      <w:bookmarkEnd w:id="115"/>
      <w:bookmarkEnd w:id="116"/>
      <w:bookmarkEnd w:id="117"/>
      <w:r>
        <w:rPr>
          <w:rFonts w:hint="eastAsia" w:eastAsia="楷体_GB2312"/>
          <w:b w:val="0"/>
          <w:bCs/>
          <w:color w:val="000000" w:themeColor="text1"/>
          <w:sz w:val="32"/>
          <w:szCs w:val="32"/>
        </w:rPr>
        <w:t>。</w:t>
      </w:r>
    </w:p>
    <w:p>
      <w:pPr>
        <w:pStyle w:val="2"/>
        <w:adjustRightInd w:val="0"/>
        <w:snapToGrid w:val="0"/>
        <w:spacing w:line="353" w:lineRule="auto"/>
        <w:ind w:firstLine="640"/>
        <w:rPr>
          <w:color w:val="000000" w:themeColor="text1"/>
          <w:sz w:val="32"/>
          <w:szCs w:val="32"/>
        </w:rPr>
      </w:pPr>
      <w:r>
        <w:rPr>
          <w:color w:val="000000" w:themeColor="text1"/>
          <w:sz w:val="32"/>
          <w:szCs w:val="32"/>
        </w:rPr>
        <w:t>加强土壤污染源头防控。坚持</w:t>
      </w:r>
      <w:r>
        <w:rPr>
          <w:rFonts w:hint="eastAsia"/>
          <w:color w:val="000000" w:themeColor="text1"/>
          <w:sz w:val="32"/>
          <w:szCs w:val="32"/>
        </w:rPr>
        <w:t>“</w:t>
      </w:r>
      <w:r>
        <w:rPr>
          <w:color w:val="000000" w:themeColor="text1"/>
          <w:sz w:val="32"/>
          <w:szCs w:val="32"/>
        </w:rPr>
        <w:t>腾笼换</w:t>
      </w:r>
      <w:r>
        <w:rPr>
          <w:rFonts w:hint="eastAsia"/>
          <w:color w:val="000000" w:themeColor="text1"/>
          <w:sz w:val="32"/>
          <w:szCs w:val="32"/>
        </w:rPr>
        <w:t>鸟”“</w:t>
      </w:r>
      <w:r>
        <w:rPr>
          <w:color w:val="000000" w:themeColor="text1"/>
          <w:sz w:val="32"/>
          <w:szCs w:val="32"/>
        </w:rPr>
        <w:t>高进低退</w:t>
      </w:r>
      <w:r>
        <w:rPr>
          <w:rFonts w:hint="eastAsia"/>
          <w:color w:val="000000" w:themeColor="text1"/>
          <w:sz w:val="32"/>
          <w:szCs w:val="32"/>
        </w:rPr>
        <w:t>”</w:t>
      </w:r>
      <w:r>
        <w:rPr>
          <w:color w:val="000000" w:themeColor="text1"/>
          <w:sz w:val="32"/>
          <w:szCs w:val="32"/>
        </w:rPr>
        <w:t>发展思路，推动提高土地节约集约利用水平，减少土壤污染，逐步实现钒钛钢铁制造向弄弄坪片区集中、钒钛磁铁矿开采和洗选加工向攀密片区集中、新材料及钒钛钢铁深加工向高梁坪-五道河片区集中。严格执行重金属污染物排放标准并落实有关总量控制指标，推进重金属重点行业整治和落后产能退出。</w:t>
      </w:r>
      <w:bookmarkStart w:id="118" w:name="_Toc36666316"/>
      <w:r>
        <w:rPr>
          <w:color w:val="000000" w:themeColor="text1"/>
          <w:sz w:val="32"/>
          <w:szCs w:val="32"/>
        </w:rPr>
        <w:t>支持企业进行绿色化提标改造，鼓励土壤污染重点监管单位因地制宜实施管道化、密闭化改造，重点区域防腐防渗改造。加强农业污染源监管</w:t>
      </w:r>
      <w:bookmarkEnd w:id="118"/>
      <w:r>
        <w:rPr>
          <w:color w:val="000000" w:themeColor="text1"/>
          <w:sz w:val="32"/>
          <w:szCs w:val="32"/>
        </w:rPr>
        <w:t>，推进化肥减量增效，加大生物农药、引诱剂使用推广力度和农药包装废弃物回收处置力度，实现化肥使用量零增长目标。</w:t>
      </w:r>
    </w:p>
    <w:p>
      <w:pPr>
        <w:pStyle w:val="2"/>
        <w:adjustRightInd w:val="0"/>
        <w:snapToGrid w:val="0"/>
        <w:spacing w:line="353" w:lineRule="auto"/>
        <w:ind w:firstLine="640"/>
        <w:rPr>
          <w:color w:val="000000" w:themeColor="text1"/>
          <w:sz w:val="32"/>
          <w:szCs w:val="32"/>
        </w:rPr>
      </w:pPr>
      <w:r>
        <w:rPr>
          <w:color w:val="000000" w:themeColor="text1"/>
          <w:sz w:val="32"/>
          <w:szCs w:val="32"/>
        </w:rPr>
        <w:t>开展重点区域调查评估。开展攀枝花东区高新技术产业园区-高梁坪</w:t>
      </w:r>
      <w:r>
        <w:rPr>
          <w:rFonts w:hint="eastAsia"/>
          <w:color w:val="000000" w:themeColor="text1"/>
          <w:sz w:val="32"/>
          <w:szCs w:val="32"/>
        </w:rPr>
        <w:t>片区</w:t>
      </w:r>
      <w:r>
        <w:rPr>
          <w:color w:val="000000" w:themeColor="text1"/>
          <w:sz w:val="32"/>
          <w:szCs w:val="32"/>
        </w:rPr>
        <w:t>、攀枝花东区高新技术产业园区-攀密片区等工企聚集区</w:t>
      </w:r>
      <w:r>
        <w:rPr>
          <w:rFonts w:hint="eastAsia"/>
          <w:color w:val="000000" w:themeColor="text1"/>
          <w:sz w:val="32"/>
          <w:szCs w:val="32"/>
        </w:rPr>
        <w:t>和</w:t>
      </w:r>
      <w:r>
        <w:rPr>
          <w:color w:val="000000" w:themeColor="text1"/>
          <w:sz w:val="32"/>
          <w:szCs w:val="32"/>
        </w:rPr>
        <w:t>垃圾填埋场等土壤污染重点区域土壤调查评估，有效识别土壤环境风险。严格落实重点监管单位土壤污染隐患排查和自行监测制度，更新土壤污染重点监管单位名单，</w:t>
      </w:r>
      <w:r>
        <w:rPr>
          <w:rFonts w:hint="eastAsia"/>
          <w:color w:val="000000" w:themeColor="text1"/>
          <w:sz w:val="32"/>
          <w:szCs w:val="32"/>
        </w:rPr>
        <w:t>督促</w:t>
      </w:r>
      <w:r>
        <w:rPr>
          <w:color w:val="000000" w:themeColor="text1"/>
          <w:sz w:val="32"/>
          <w:szCs w:val="32"/>
        </w:rPr>
        <w:t>攀钢集团下属选矿企业、顺德亿锌业有限公司、柱宇钒钛有限公司等重点企业做好土壤污染源排查工作，动态更新土壤污染风险源清单。</w:t>
      </w:r>
    </w:p>
    <w:p>
      <w:pPr>
        <w:pStyle w:val="2"/>
        <w:adjustRightInd w:val="0"/>
        <w:snapToGrid w:val="0"/>
        <w:spacing w:line="353" w:lineRule="auto"/>
        <w:ind w:firstLine="640"/>
        <w:rPr>
          <w:color w:val="000000" w:themeColor="text1"/>
          <w:sz w:val="32"/>
          <w:szCs w:val="32"/>
        </w:rPr>
      </w:pPr>
      <w:r>
        <w:rPr>
          <w:color w:val="000000" w:themeColor="text1"/>
          <w:sz w:val="32"/>
          <w:szCs w:val="32"/>
        </w:rPr>
        <w:t>强化土壤污染风险管控。加强农用地风险管控，严格保护优先保护类耕地，在永久基本农田集中区域，不得新建可能造成土壤污染的建设项目。加强建设用地风险防控，开展建设用地污染调查，推进攀枝花市银杉矿业有限公司地块、攀枝花市攀密金属综合厂地块、攀枝花市迪道型钢制造有限公司地块等疑似污染地块场地详细调查和风险评估，建立并动态更新污染地块名录及其开发利用负面清单，构建污染地块空间矢量数据库，判断风险管控及污染修复需要。</w:t>
      </w:r>
    </w:p>
    <w:p>
      <w:pPr>
        <w:adjustRightInd w:val="0"/>
        <w:snapToGrid w:val="0"/>
        <w:spacing w:line="353" w:lineRule="auto"/>
        <w:ind w:firstLine="640"/>
        <w:rPr>
          <w:color w:val="000000" w:themeColor="text1"/>
          <w:sz w:val="32"/>
          <w:szCs w:val="32"/>
        </w:rPr>
      </w:pPr>
      <w:r>
        <w:rPr>
          <w:color w:val="000000" w:themeColor="text1"/>
          <w:sz w:val="32"/>
          <w:szCs w:val="32"/>
        </w:rPr>
        <w:t>加快受污染地块治理修复。对纳入建设用地土壤污染风险管控和修复名录中的地块，加快地块治理修复方案编制及前期研究工作，以中汇特钢地块为重点，</w:t>
      </w:r>
      <w:r>
        <w:rPr>
          <w:rFonts w:hint="eastAsia"/>
          <w:color w:val="000000" w:themeColor="text1"/>
          <w:sz w:val="32"/>
          <w:szCs w:val="32"/>
        </w:rPr>
        <w:t>加强土壤</w:t>
      </w:r>
      <w:r>
        <w:rPr>
          <w:color w:val="000000" w:themeColor="text1"/>
          <w:sz w:val="32"/>
          <w:szCs w:val="32"/>
        </w:rPr>
        <w:t>风险管控和治理修复。加强治理修复过程监管，防止处置治理与修复过程中产生的废水、废气和固体废弃物对周边环境造成二次污染。加强修复效果评估，工程完工后，责任单位要委托第三方机构对治理与修复效果进行评估，结果向社会公开。</w:t>
      </w:r>
    </w:p>
    <w:p>
      <w:pPr>
        <w:pStyle w:val="2"/>
        <w:adjustRightInd w:val="0"/>
        <w:snapToGrid w:val="0"/>
        <w:spacing w:line="353" w:lineRule="auto"/>
        <w:ind w:firstLine="640"/>
        <w:rPr>
          <w:color w:val="000000" w:themeColor="text1"/>
          <w:sz w:val="32"/>
          <w:szCs w:val="32"/>
        </w:rPr>
      </w:pPr>
      <w:r>
        <w:rPr>
          <w:color w:val="000000" w:themeColor="text1"/>
          <w:sz w:val="32"/>
          <w:szCs w:val="32"/>
        </w:rPr>
        <w:t>加强污染地块的规划管控。严格落实《污染地块土壤环境管理办法》，强化规划制定阶段对污染地块的分析、整治和统筹利用。严格污染地块环境准入要求，在制定各类规划时，依托生态环境部门污染地块信息系统信息，充分考虑污染地块污染程度、治理难易和区域影响，合理确定污染地块的用地性质、开发强度和开发时序等。加强涉污染地块建设项目管控，在建设项目规划许可阶段，涉及再开发利用污染地块的，严格环境保护审批。</w:t>
      </w:r>
    </w:p>
    <w:p>
      <w:pPr>
        <w:adjustRightInd w:val="0"/>
        <w:snapToGrid w:val="0"/>
        <w:spacing w:line="353" w:lineRule="auto"/>
        <w:ind w:firstLine="640"/>
        <w:rPr>
          <w:color w:val="000000" w:themeColor="text1"/>
          <w:sz w:val="32"/>
          <w:szCs w:val="32"/>
        </w:rPr>
      </w:pPr>
      <w:r>
        <w:rPr>
          <w:color w:val="000000" w:themeColor="text1"/>
          <w:sz w:val="32"/>
          <w:szCs w:val="32"/>
        </w:rPr>
        <w:t>强化未利用地环境监管。聚焦矿山等矿产资源开采活动影响区域内未利用地，加强国土资源、生态环境等多部门联合巡查，</w:t>
      </w:r>
      <w:r>
        <w:rPr>
          <w:rFonts w:hint="eastAsia"/>
          <w:color w:val="000000" w:themeColor="text1"/>
          <w:sz w:val="32"/>
          <w:szCs w:val="32"/>
        </w:rPr>
        <w:t>严查</w:t>
      </w:r>
      <w:r>
        <w:rPr>
          <w:color w:val="000000" w:themeColor="text1"/>
          <w:sz w:val="32"/>
          <w:szCs w:val="32"/>
        </w:rPr>
        <w:t>不当开发利用造成未利用地土壤污染的行为。</w:t>
      </w:r>
      <w:r>
        <w:rPr>
          <w:rFonts w:hint="eastAsia"/>
          <w:color w:val="000000" w:themeColor="text1"/>
          <w:sz w:val="32"/>
          <w:szCs w:val="32"/>
        </w:rPr>
        <w:t>严厉打击</w:t>
      </w:r>
      <w:r>
        <w:rPr>
          <w:color w:val="000000" w:themeColor="text1"/>
          <w:sz w:val="32"/>
          <w:szCs w:val="32"/>
        </w:rPr>
        <w:t>向滩涂、河道等非法排污、倾倒有毒有害物质的环境违法犯罪行为。未利用地拟开垦为耕地或建设用地的，</w:t>
      </w:r>
      <w:r>
        <w:rPr>
          <w:rFonts w:hint="eastAsia"/>
          <w:color w:val="000000" w:themeColor="text1"/>
          <w:sz w:val="32"/>
          <w:szCs w:val="32"/>
        </w:rPr>
        <w:t>应开展</w:t>
      </w:r>
      <w:r>
        <w:rPr>
          <w:color w:val="000000" w:themeColor="text1"/>
          <w:sz w:val="32"/>
          <w:szCs w:val="32"/>
        </w:rPr>
        <w:t>土壤污染状况调查，确认符合用地功能要求后开发利用。</w:t>
      </w:r>
    </w:p>
    <w:tbl>
      <w:tblPr>
        <w:tblStyle w:val="25"/>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8364" w:type="dxa"/>
          </w:tcPr>
          <w:p>
            <w:pPr>
              <w:adjustRightInd w:val="0"/>
              <w:snapToGrid w:val="0"/>
              <w:spacing w:line="353" w:lineRule="auto"/>
              <w:ind w:firstLine="560"/>
              <w:jc w:val="center"/>
              <w:rPr>
                <w:rFonts w:eastAsia="黑体"/>
                <w:b/>
                <w:color w:val="000000" w:themeColor="text1"/>
                <w:spacing w:val="-6"/>
                <w:sz w:val="32"/>
                <w:szCs w:val="32"/>
              </w:rPr>
            </w:pPr>
            <w:r>
              <w:rPr>
                <w:rFonts w:eastAsia="黑体"/>
                <w:color w:val="000000" w:themeColor="text1"/>
                <w:sz w:val="28"/>
                <w:szCs w:val="32"/>
              </w:rPr>
              <w:t>专栏3 生态环境保护重点项目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364" w:type="dxa"/>
          </w:tcPr>
          <w:p>
            <w:pPr>
              <w:adjustRightInd w:val="0"/>
              <w:snapToGrid w:val="0"/>
              <w:ind w:firstLine="480"/>
              <w:rPr>
                <w:rFonts w:eastAsia="方正仿宋简体"/>
                <w:b/>
                <w:color w:val="000000" w:themeColor="text1"/>
                <w:sz w:val="24"/>
                <w:szCs w:val="24"/>
              </w:rPr>
            </w:pPr>
            <w:r>
              <w:rPr>
                <w:rFonts w:eastAsia="方正仿宋简体"/>
                <w:b/>
                <w:color w:val="000000" w:themeColor="text1"/>
                <w:sz w:val="24"/>
                <w:szCs w:val="24"/>
              </w:rPr>
              <w:t>大气污染防治：</w:t>
            </w:r>
            <w:r>
              <w:rPr>
                <w:rFonts w:eastAsia="方正仿宋简体"/>
                <w:bCs/>
                <w:color w:val="000000" w:themeColor="text1"/>
                <w:sz w:val="24"/>
                <w:szCs w:val="24"/>
              </w:rPr>
              <w:t>加强龙头企业污染治理</w:t>
            </w:r>
            <w:r>
              <w:rPr>
                <w:rFonts w:eastAsia="方正仿宋简体"/>
                <w:color w:val="000000" w:themeColor="text1"/>
                <w:sz w:val="24"/>
                <w:szCs w:val="24"/>
              </w:rPr>
              <w:t>，落实攀钢钒新3号高炉节能环保改造、攀钢钒炼钢厂6#、7#转炉二次除尘改造、攀钢钒焦炉节能环保改造工程（二期）、攀钢钒5号、6号焦炉节能环保改造、攀钢钒公司超低排放。</w:t>
            </w:r>
          </w:p>
          <w:p>
            <w:pPr>
              <w:adjustRightInd w:val="0"/>
              <w:snapToGrid w:val="0"/>
              <w:ind w:firstLine="480"/>
              <w:rPr>
                <w:rFonts w:eastAsia="方正仿宋简体"/>
                <w:bCs/>
                <w:color w:val="000000" w:themeColor="text1"/>
                <w:sz w:val="24"/>
                <w:szCs w:val="24"/>
              </w:rPr>
            </w:pPr>
            <w:r>
              <w:rPr>
                <w:rFonts w:eastAsia="方正仿宋简体"/>
                <w:b/>
                <w:color w:val="000000" w:themeColor="text1"/>
                <w:sz w:val="24"/>
                <w:szCs w:val="24"/>
              </w:rPr>
              <w:t>碧水环境保护：</w:t>
            </w:r>
            <w:r>
              <w:rPr>
                <w:rFonts w:eastAsia="方正仿宋简体"/>
                <w:bCs/>
                <w:color w:val="000000" w:themeColor="text1"/>
                <w:sz w:val="24"/>
                <w:szCs w:val="24"/>
              </w:rPr>
              <w:t>加强城乡基础设施建设，实施攀枝花市东区生活污水设施建设三年提质增效、攀枝花铁矿朱兰片区生活废水规范化整治工程；强化工企业治污能力，推进攀钢钒公司主厂区雨污分流改造、攀枝花钒制品分公司废水蒸发浓缩系统2#线升级工程、高梁坪园区污水处理厂设施建设；加强农村污水处理设施建设，推进农村生活污水治理“千村示范工程”项目；强化水生态保护，落实大河东区段河道综合治理、东区银江镇沟道河滨岸线整治。</w:t>
            </w:r>
          </w:p>
          <w:p>
            <w:pPr>
              <w:adjustRightInd w:val="0"/>
              <w:snapToGrid w:val="0"/>
              <w:ind w:firstLine="480"/>
              <w:rPr>
                <w:color w:val="000000" w:themeColor="text1"/>
                <w:spacing w:val="-6"/>
                <w:sz w:val="24"/>
                <w:szCs w:val="24"/>
              </w:rPr>
            </w:pPr>
            <w:r>
              <w:rPr>
                <w:rFonts w:eastAsia="方正仿宋简体"/>
                <w:b/>
                <w:color w:val="000000" w:themeColor="text1"/>
                <w:sz w:val="24"/>
                <w:szCs w:val="24"/>
              </w:rPr>
              <w:t>土壤污染防治：</w:t>
            </w:r>
            <w:r>
              <w:rPr>
                <w:rFonts w:eastAsia="方正仿宋简体"/>
                <w:color w:val="000000" w:themeColor="text1"/>
                <w:sz w:val="24"/>
                <w:szCs w:val="24"/>
              </w:rPr>
              <w:t>加强土壤污染源头防控，做</w:t>
            </w:r>
            <w:r>
              <w:rPr>
                <w:rFonts w:eastAsia="方正仿宋简体"/>
                <w:bCs/>
                <w:color w:val="000000" w:themeColor="text1"/>
                <w:sz w:val="24"/>
                <w:szCs w:val="24"/>
              </w:rPr>
              <w:t>好重点行业土壤污染隐患排查和企业自行监测制度建设。推进土壤污染隐患排查，完善51</w:t>
            </w:r>
            <w:r>
              <w:rPr>
                <w:rFonts w:eastAsia="方正仿宋简体"/>
                <w:color w:val="000000" w:themeColor="text1"/>
                <w:sz w:val="24"/>
                <w:szCs w:val="24"/>
              </w:rPr>
              <w:t>块疑似污染地块土壤环境调查及后续工作，建立并动态更新污染地块名录及其开发利用负面清单。</w:t>
            </w:r>
            <w:r>
              <w:rPr>
                <w:rFonts w:eastAsia="方正仿宋简体"/>
                <w:bCs/>
                <w:color w:val="000000" w:themeColor="text1"/>
                <w:sz w:val="24"/>
                <w:szCs w:val="24"/>
              </w:rPr>
              <w:t>完成东源锌业、中汇特钢污染地块治理。</w:t>
            </w:r>
          </w:p>
        </w:tc>
      </w:tr>
    </w:tbl>
    <w:p>
      <w:pPr>
        <w:pStyle w:val="3"/>
        <w:adjustRightInd w:val="0"/>
        <w:snapToGrid w:val="0"/>
        <w:spacing w:before="0" w:after="0" w:line="353" w:lineRule="auto"/>
        <w:ind w:firstLine="640" w:firstLineChars="200"/>
        <w:jc w:val="center"/>
        <w:rPr>
          <w:rFonts w:eastAsia="黑体"/>
          <w:b w:val="0"/>
          <w:bCs/>
          <w:color w:val="000000" w:themeColor="text1"/>
          <w:sz w:val="32"/>
          <w:szCs w:val="32"/>
        </w:rPr>
      </w:pPr>
      <w:bookmarkStart w:id="119" w:name="_Toc22020"/>
      <w:bookmarkStart w:id="120" w:name="_Toc19170"/>
      <w:bookmarkStart w:id="121" w:name="_Toc105669383"/>
      <w:bookmarkStart w:id="122" w:name="_Toc8658"/>
      <w:r>
        <w:rPr>
          <w:rFonts w:eastAsia="黑体"/>
          <w:b w:val="0"/>
          <w:bCs/>
          <w:color w:val="000000" w:themeColor="text1"/>
          <w:sz w:val="32"/>
          <w:szCs w:val="32"/>
        </w:rPr>
        <w:t>第五节　严格风险防控，守好生态环境安全</w:t>
      </w:r>
      <w:bookmarkEnd w:id="119"/>
      <w:r>
        <w:rPr>
          <w:rFonts w:eastAsia="黑体"/>
          <w:b w:val="0"/>
          <w:bCs/>
          <w:color w:val="000000" w:themeColor="text1"/>
          <w:sz w:val="32"/>
          <w:szCs w:val="32"/>
        </w:rPr>
        <w:t>线</w:t>
      </w:r>
      <w:bookmarkEnd w:id="120"/>
      <w:bookmarkEnd w:id="121"/>
      <w:bookmarkEnd w:id="122"/>
    </w:p>
    <w:p>
      <w:pPr>
        <w:pStyle w:val="3"/>
        <w:adjustRightInd w:val="0"/>
        <w:snapToGrid w:val="0"/>
        <w:spacing w:before="0" w:after="0" w:line="353" w:lineRule="auto"/>
        <w:ind w:firstLine="640" w:firstLineChars="200"/>
        <w:jc w:val="both"/>
        <w:rPr>
          <w:rFonts w:eastAsia="楷体_GB2312"/>
          <w:b w:val="0"/>
          <w:bCs/>
          <w:color w:val="000000" w:themeColor="text1"/>
          <w:sz w:val="32"/>
          <w:szCs w:val="32"/>
        </w:rPr>
      </w:pPr>
      <w:bookmarkStart w:id="123" w:name="_Toc105669384"/>
      <w:bookmarkStart w:id="124" w:name="_Toc24010"/>
      <w:bookmarkStart w:id="125" w:name="_Toc1437"/>
      <w:bookmarkStart w:id="126" w:name="_Toc24256"/>
      <w:r>
        <w:rPr>
          <w:rFonts w:eastAsia="楷体_GB2312"/>
          <w:b w:val="0"/>
          <w:bCs/>
          <w:color w:val="000000" w:themeColor="text1"/>
          <w:sz w:val="32"/>
          <w:szCs w:val="32"/>
        </w:rPr>
        <w:t>（一）系统化环境风险防控体系建设</w:t>
      </w:r>
      <w:bookmarkEnd w:id="123"/>
      <w:bookmarkEnd w:id="124"/>
      <w:bookmarkEnd w:id="125"/>
      <w:bookmarkEnd w:id="126"/>
      <w:r>
        <w:rPr>
          <w:rFonts w:eastAsia="楷体_GB2312"/>
          <w:b w:val="0"/>
          <w:bCs/>
          <w:color w:val="000000" w:themeColor="text1"/>
          <w:sz w:val="32"/>
          <w:szCs w:val="32"/>
        </w:rPr>
        <w:t>。</w:t>
      </w:r>
    </w:p>
    <w:p>
      <w:pPr>
        <w:adjustRightInd w:val="0"/>
        <w:snapToGrid w:val="0"/>
        <w:spacing w:line="353" w:lineRule="auto"/>
        <w:ind w:firstLine="640"/>
        <w:rPr>
          <w:color w:val="000000" w:themeColor="text1"/>
          <w:sz w:val="32"/>
          <w:szCs w:val="32"/>
        </w:rPr>
      </w:pPr>
      <w:bookmarkStart w:id="127" w:name="_Toc375241887"/>
      <w:bookmarkStart w:id="128" w:name="_Toc387585002"/>
      <w:bookmarkStart w:id="129" w:name="_Toc387651614"/>
      <w:bookmarkStart w:id="130" w:name="_Toc388286278"/>
      <w:bookmarkStart w:id="131" w:name="_Toc297276679"/>
      <w:bookmarkStart w:id="132" w:name="_Toc390256802"/>
      <w:bookmarkStart w:id="133" w:name="_Toc387302484"/>
      <w:r>
        <w:rPr>
          <w:color w:val="000000" w:themeColor="text1"/>
          <w:sz w:val="32"/>
          <w:szCs w:val="32"/>
        </w:rPr>
        <w:t>加强环境风险防控体制建设。加强应急队伍建设，强化队伍监测业务学习培训和应急演练，提升环境应急综合协调能力、应急响应能力和监测技术能力。强化应急专家队伍建设，面向环保、水利、卫生、农业、气象、应急、公安等部门和科研院校、大型工矿企业、污染物处理处置公司等，采取专职与兼职相结合的用人机制，建立环境应急专家数据库，并实现信息共享。加强应急物资保障，进一步完善应急物资储备网络，做好专用仪器和装备、专用通讯设施、污染处置物资等的环境应急物资储备。</w:t>
      </w:r>
    </w:p>
    <w:p>
      <w:pPr>
        <w:adjustRightInd w:val="0"/>
        <w:snapToGrid w:val="0"/>
        <w:spacing w:line="353" w:lineRule="auto"/>
        <w:ind w:firstLine="640"/>
        <w:rPr>
          <w:color w:val="000000" w:themeColor="text1"/>
          <w:sz w:val="32"/>
          <w:szCs w:val="32"/>
        </w:rPr>
      </w:pPr>
      <w:r>
        <w:rPr>
          <w:color w:val="000000" w:themeColor="text1"/>
          <w:sz w:val="32"/>
          <w:szCs w:val="32"/>
        </w:rPr>
        <w:t>构建多层次环境风险管理模式。以提升风险防控基础能力为抓手，严格管控固体废物、危险化学品、辐射三大领域，强化区域、园区、企业多层次环境风险管理体系。落实企业风险防范主体责任，建立健全环境污染公共监测预警机制，强化企业环境风险管理，构建形成企业领导负责，各车间、工段协同配合的多层次环境风险防范体系，科学识别企业环境风险、安全隐患，做好预防和应对措施。</w:t>
      </w:r>
    </w:p>
    <w:p>
      <w:pPr>
        <w:adjustRightInd w:val="0"/>
        <w:snapToGrid w:val="0"/>
        <w:spacing w:line="353" w:lineRule="auto"/>
        <w:ind w:firstLine="640"/>
        <w:rPr>
          <w:color w:val="000000" w:themeColor="text1"/>
          <w:sz w:val="32"/>
          <w:szCs w:val="32"/>
        </w:rPr>
      </w:pPr>
      <w:r>
        <w:rPr>
          <w:color w:val="000000" w:themeColor="text1"/>
          <w:sz w:val="32"/>
          <w:szCs w:val="32"/>
        </w:rPr>
        <w:t>加强重点区域行业风险识别防控。强化重点区域环境风险排查防控，推进高梁坪-五道河片区新材料及钒钛钢铁深加工区、弄弄坪片区钒钛钢铁制造集中发展区、攀密片区钒钛磁铁矿开采和洗选加工资源保障区环境安全隐患排查整治，加大环境违法行为查处力度。提升重点行业环境风险识别能力，聚焦沿江化工、有色</w:t>
      </w:r>
      <w:r>
        <w:rPr>
          <w:rFonts w:hint="eastAsia"/>
          <w:color w:val="000000" w:themeColor="text1"/>
          <w:sz w:val="32"/>
          <w:szCs w:val="32"/>
        </w:rPr>
        <w:t>金属</w:t>
      </w:r>
      <w:r>
        <w:rPr>
          <w:color w:val="000000" w:themeColor="text1"/>
          <w:sz w:val="32"/>
          <w:szCs w:val="32"/>
        </w:rPr>
        <w:t>冶炼、选矿采矿企业，深入开展突发环境事件风险企业信息登记和信息公开，推进东区尾矿库、干堆场等重点部位在线监测系统、工业园区水气土协同预警平台建设，实现企业在线监测数据联网，超标排放警报预警。深化重点环境风险企业环境安全达标建设，推进重点企业敏感目标风险评估，加强涉重金属、危险废物、持久性有机污染物和生产使用危险化学品的污染企业环境风险识别管控。</w:t>
      </w:r>
    </w:p>
    <w:bookmarkEnd w:id="127"/>
    <w:bookmarkEnd w:id="128"/>
    <w:bookmarkEnd w:id="129"/>
    <w:bookmarkEnd w:id="130"/>
    <w:bookmarkEnd w:id="131"/>
    <w:bookmarkEnd w:id="132"/>
    <w:bookmarkEnd w:id="133"/>
    <w:p>
      <w:pPr>
        <w:pStyle w:val="76"/>
        <w:keepNext w:val="0"/>
        <w:keepLines w:val="0"/>
        <w:adjustRightInd w:val="0"/>
        <w:snapToGrid w:val="0"/>
        <w:spacing w:beforeLines="0" w:afterLines="0" w:line="353" w:lineRule="auto"/>
        <w:ind w:firstLine="640" w:firstLineChars="200"/>
        <w:jc w:val="both"/>
        <w:rPr>
          <w:rFonts w:eastAsia="楷体_GB2312"/>
          <w:b w:val="0"/>
          <w:bCs/>
          <w:color w:val="000000" w:themeColor="text1"/>
          <w:sz w:val="32"/>
          <w:szCs w:val="32"/>
        </w:rPr>
      </w:pPr>
      <w:bookmarkStart w:id="134" w:name="_Toc30978"/>
      <w:bookmarkStart w:id="135" w:name="_Toc11290"/>
      <w:bookmarkStart w:id="136" w:name="_Toc105669385"/>
      <w:r>
        <w:rPr>
          <w:rFonts w:eastAsia="楷体_GB2312"/>
          <w:b w:val="0"/>
          <w:bCs/>
          <w:color w:val="000000" w:themeColor="text1"/>
          <w:sz w:val="32"/>
          <w:szCs w:val="32"/>
        </w:rPr>
        <w:t>（二）精细化</w:t>
      </w:r>
      <w:bookmarkEnd w:id="134"/>
      <w:bookmarkEnd w:id="135"/>
      <w:r>
        <w:rPr>
          <w:rFonts w:eastAsia="楷体_GB2312"/>
          <w:b w:val="0"/>
          <w:bCs/>
          <w:color w:val="000000" w:themeColor="text1"/>
          <w:sz w:val="32"/>
          <w:szCs w:val="32"/>
        </w:rPr>
        <w:t>工业固废风险防控工作</w:t>
      </w:r>
      <w:bookmarkEnd w:id="136"/>
      <w:r>
        <w:rPr>
          <w:rFonts w:hint="eastAsia" w:eastAsia="楷体_GB2312"/>
          <w:b w:val="0"/>
          <w:bCs/>
          <w:color w:val="000000" w:themeColor="text1"/>
          <w:sz w:val="32"/>
          <w:szCs w:val="32"/>
        </w:rPr>
        <w:t>。</w:t>
      </w:r>
    </w:p>
    <w:p>
      <w:pPr>
        <w:pStyle w:val="2"/>
        <w:adjustRightInd w:val="0"/>
        <w:snapToGrid w:val="0"/>
        <w:spacing w:line="353" w:lineRule="auto"/>
        <w:ind w:firstLine="640"/>
        <w:rPr>
          <w:color w:val="000000" w:themeColor="text1"/>
          <w:sz w:val="32"/>
          <w:szCs w:val="32"/>
        </w:rPr>
      </w:pPr>
      <w:r>
        <w:rPr>
          <w:color w:val="000000" w:themeColor="text1"/>
          <w:sz w:val="32"/>
          <w:szCs w:val="32"/>
        </w:rPr>
        <w:t>加强矿山、尾矿库周边环境质量调查。开展矿山尾矿库及周边土壤环境质量调查，以在建矿山、生产矿山、政策性关闭矿山、遗留堆存矿渣和尾矿等为重点，坚持“矿区-尾矿库-小流域”系统调查思路，查明周边土壤污染及风险状况，建立矿山土壤环境质量档案和生态环境数据库。</w:t>
      </w:r>
    </w:p>
    <w:p>
      <w:pPr>
        <w:pStyle w:val="2"/>
        <w:adjustRightInd w:val="0"/>
        <w:snapToGrid w:val="0"/>
        <w:spacing w:line="353" w:lineRule="auto"/>
        <w:ind w:firstLine="640"/>
        <w:rPr>
          <w:color w:val="000000" w:themeColor="text1"/>
          <w:sz w:val="32"/>
          <w:szCs w:val="32"/>
        </w:rPr>
      </w:pPr>
      <w:r>
        <w:rPr>
          <w:color w:val="000000" w:themeColor="text1"/>
          <w:sz w:val="32"/>
          <w:szCs w:val="32"/>
        </w:rPr>
        <w:t>强化矿山、尾矿库综合整治。加强露天矿山、排土场生态修复，按照“谁开采、谁治理，边开采、边治理”原则，引导矿山积极创建绿色矿山，加快推进攀枝花铁矿排土场生态恢复，加快推进攀钢马家田尾矿库生态恢复治理，基本消除尾矿库环境安全隐患。强化弃土场规划选址风险分析与控制，确保弃土场建设可行性及工程稳定性。加强沿江矿山等矿产资源开采活动影响区域未利用地的环境监管，推进银江镇散乱污清理的选矿、晒矿企业遗弃的选矿尾砂和建筑垃圾进行规范清理。加强尾矿库抗风险设施建设，完善尾矿库防汛排洪设施和尾矿坝排渗设施，提升尾矿库抗击特大暴雨洪流冲击与防止漫顶溃坝能力。</w:t>
      </w:r>
    </w:p>
    <w:p>
      <w:pPr>
        <w:pStyle w:val="82"/>
        <w:adjustRightInd w:val="0"/>
        <w:snapToGrid w:val="0"/>
        <w:spacing w:line="353" w:lineRule="auto"/>
        <w:ind w:firstLine="640"/>
        <w:rPr>
          <w:rFonts w:eastAsia="仿宋_GB2312" w:cs="Times New Roman"/>
          <w:color w:val="000000" w:themeColor="text1"/>
          <w:szCs w:val="32"/>
        </w:rPr>
      </w:pPr>
      <w:r>
        <w:rPr>
          <w:rFonts w:eastAsia="仿宋_GB2312" w:cs="Times New Roman"/>
          <w:color w:val="000000" w:themeColor="text1"/>
          <w:szCs w:val="32"/>
        </w:rPr>
        <w:t>加强矿山、尾矿库监管。加强矿山开采和尾矿运营生态环境监管，做好废渣、废水和废气污染防治工作。聚焦阿署达尾矿库闭库环境影响区域，推进闭库治理和生态修复，加强尾矿库闭库设计、施工、注销、生态修复等环节的监管。加强尾矿库风险防范管理，以倮果沟、牛场坪、马家田等长江经济带及其他环境隐患风险较大重点尾矿库为重点，严格“一库一档”“一库一册”要求，强化对尾矿库环境违法行为的查处力度，持续深入开展尾矿库环境安全隐患排查与整治。完善尾矿库监测、预警和应急体系，加强尾矿库尾水排放及下游监测断面的监督性监测，将尾矿库及下游水质断面环境监测纳入区域生态环境监测网络，推进尾矿库重点部位在线监测及预警系统建设，提升尾矿库突发事件预警水平。</w:t>
      </w:r>
    </w:p>
    <w:p>
      <w:pPr>
        <w:pStyle w:val="76"/>
        <w:adjustRightInd w:val="0"/>
        <w:snapToGrid w:val="0"/>
        <w:spacing w:beforeLines="0" w:afterLines="0" w:line="353" w:lineRule="auto"/>
        <w:ind w:firstLine="640" w:firstLineChars="200"/>
        <w:jc w:val="both"/>
        <w:rPr>
          <w:rFonts w:eastAsia="楷体_GB2312"/>
          <w:b w:val="0"/>
          <w:bCs/>
          <w:color w:val="000000" w:themeColor="text1"/>
          <w:sz w:val="32"/>
          <w:szCs w:val="32"/>
        </w:rPr>
      </w:pPr>
      <w:bookmarkStart w:id="137" w:name="_Toc105669386"/>
      <w:bookmarkStart w:id="138" w:name="_Toc21146"/>
      <w:bookmarkStart w:id="139" w:name="_Toc12469"/>
      <w:bookmarkStart w:id="140" w:name="_Toc281"/>
      <w:r>
        <w:rPr>
          <w:rFonts w:eastAsia="楷体_GB2312"/>
          <w:b w:val="0"/>
          <w:bCs/>
          <w:color w:val="000000" w:themeColor="text1"/>
          <w:sz w:val="32"/>
          <w:szCs w:val="32"/>
        </w:rPr>
        <w:t>（三）常态化危废及化学品风险防范</w:t>
      </w:r>
      <w:bookmarkEnd w:id="137"/>
      <w:bookmarkEnd w:id="138"/>
      <w:bookmarkEnd w:id="139"/>
      <w:bookmarkEnd w:id="140"/>
      <w:r>
        <w:rPr>
          <w:rFonts w:eastAsia="楷体_GB2312"/>
          <w:b w:val="0"/>
          <w:bCs/>
          <w:color w:val="000000" w:themeColor="text1"/>
          <w:sz w:val="32"/>
          <w:szCs w:val="32"/>
        </w:rPr>
        <w:t>。</w:t>
      </w:r>
    </w:p>
    <w:p>
      <w:pPr>
        <w:adjustRightInd w:val="0"/>
        <w:snapToGrid w:val="0"/>
        <w:spacing w:line="353" w:lineRule="auto"/>
        <w:ind w:firstLine="640"/>
        <w:rPr>
          <w:color w:val="000000" w:themeColor="text1"/>
          <w:sz w:val="32"/>
          <w:szCs w:val="32"/>
        </w:rPr>
      </w:pPr>
      <w:r>
        <w:rPr>
          <w:color w:val="000000" w:themeColor="text1"/>
          <w:sz w:val="32"/>
          <w:szCs w:val="32"/>
        </w:rPr>
        <w:t>强化危险废物风险防范。构建危险废物统一管理途径，动态掌握区域固体废物（危险废物）产生、贮存、收集及利用处置情况，实现清单内容纳入固体废物管理信息系统的统一管理。强化危险废物日常监管，推动工业企业单位废酸、废矿物油、精蒸（馏）残渣、含酚废物、煤泥进行自行利用处置规范化管理，加强对申报登记数据质量的审核。全力推动医疗卫生机构和医疗废物集中处置单位医疗废物在线交接、数据互认，实现医疗卫生机构内医疗废物产生、收集、转运、暂存、交接的全过程信息化监管。</w:t>
      </w:r>
    </w:p>
    <w:p>
      <w:pPr>
        <w:pStyle w:val="2"/>
        <w:adjustRightInd w:val="0"/>
        <w:snapToGrid w:val="0"/>
        <w:spacing w:line="353" w:lineRule="auto"/>
        <w:ind w:firstLine="640"/>
        <w:rPr>
          <w:color w:val="000000" w:themeColor="text1"/>
          <w:sz w:val="32"/>
          <w:szCs w:val="32"/>
        </w:rPr>
      </w:pPr>
      <w:r>
        <w:rPr>
          <w:color w:val="000000" w:themeColor="text1"/>
          <w:sz w:val="32"/>
          <w:szCs w:val="32"/>
        </w:rPr>
        <w:t>强化危险化学品风险防范。推进危险化学品安全风险分级管控和隐患排查治理体系建设，建设危险化学品安全监管信息共享平台。开展危险化学品安全综合治理，实现涉危险化学品企业环境风险评估全覆盖。科学制定“优先控制化学物质”风险评估计划，对具有持久性或生物累积性，或对生态环境</w:t>
      </w:r>
      <w:r>
        <w:rPr>
          <w:rFonts w:hint="eastAsia"/>
          <w:color w:val="000000" w:themeColor="text1"/>
          <w:sz w:val="32"/>
          <w:szCs w:val="32"/>
        </w:rPr>
        <w:t>、</w:t>
      </w:r>
      <w:r>
        <w:rPr>
          <w:color w:val="000000" w:themeColor="text1"/>
          <w:sz w:val="32"/>
          <w:szCs w:val="32"/>
        </w:rPr>
        <w:t>人体健康具有较大危害的，或潜在环境暴露风险较大的化学物质优先开展风险评估。优化调整高风险化学品企业布局，逐步退出人口聚集区和环境敏感区。</w:t>
      </w:r>
    </w:p>
    <w:p>
      <w:pPr>
        <w:adjustRightInd w:val="0"/>
        <w:snapToGrid w:val="0"/>
        <w:spacing w:line="353" w:lineRule="auto"/>
        <w:ind w:firstLine="640"/>
        <w:rPr>
          <w:color w:val="000000" w:themeColor="text1"/>
          <w:sz w:val="32"/>
          <w:szCs w:val="32"/>
        </w:rPr>
      </w:pPr>
      <w:r>
        <w:rPr>
          <w:color w:val="000000" w:themeColor="text1"/>
          <w:sz w:val="32"/>
          <w:szCs w:val="32"/>
        </w:rPr>
        <w:t>严格辐射监管监测。持续开展辐射安全许可证清查工作，加大对未按规定办理许可申请、变更申请、许可证到期未延续等违法行为查处。开展放射源安全监督检查，排查安全风险隐患，建立健全辐射源风险情况名单，严防重大辐射事故发生。加强辐射环境质量日常监测，做好空气吸收剂量率、电磁辐射监测等要素的监测。加强重点辐射工作单位和重点电磁辐射源的监督性监测，适时推进重点工业企业、大型医院放射源辐射环境监测自动化。强化放射源和放射性废物处置，到2025年，放射源安全收贮率维持100%。</w:t>
      </w:r>
    </w:p>
    <w:tbl>
      <w:tblPr>
        <w:tblStyle w:val="25"/>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8364" w:type="dxa"/>
          </w:tcPr>
          <w:p>
            <w:pPr>
              <w:spacing w:line="240" w:lineRule="auto"/>
              <w:ind w:firstLine="560"/>
              <w:jc w:val="center"/>
              <w:rPr>
                <w:rFonts w:eastAsia="黑体"/>
                <w:b/>
                <w:color w:val="000000" w:themeColor="text1"/>
                <w:spacing w:val="-6"/>
                <w:sz w:val="32"/>
                <w:szCs w:val="32"/>
              </w:rPr>
            </w:pPr>
            <w:r>
              <w:rPr>
                <w:rFonts w:eastAsia="黑体"/>
                <w:color w:val="000000" w:themeColor="text1"/>
                <w:sz w:val="28"/>
                <w:szCs w:val="32"/>
              </w:rPr>
              <w:t>专栏4 重点监管风险源区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364" w:type="dxa"/>
          </w:tcPr>
          <w:p>
            <w:pPr>
              <w:adjustRightInd w:val="0"/>
              <w:snapToGrid w:val="0"/>
              <w:ind w:firstLine="480"/>
              <w:rPr>
                <w:rFonts w:eastAsia="方正仿宋简体"/>
                <w:bCs/>
                <w:color w:val="000000" w:themeColor="text1"/>
                <w:sz w:val="24"/>
                <w:szCs w:val="24"/>
              </w:rPr>
            </w:pPr>
            <w:r>
              <w:rPr>
                <w:rFonts w:eastAsia="方正仿宋简体"/>
                <w:b/>
                <w:color w:val="000000" w:themeColor="text1"/>
                <w:sz w:val="24"/>
                <w:szCs w:val="24"/>
              </w:rPr>
              <w:t>工业园区：</w:t>
            </w:r>
            <w:r>
              <w:rPr>
                <w:rFonts w:eastAsia="方正仿宋简体"/>
                <w:bCs/>
                <w:color w:val="000000" w:themeColor="text1"/>
                <w:sz w:val="24"/>
                <w:szCs w:val="24"/>
              </w:rPr>
              <w:t>攀枝花东区高新技术产业园-弄弄坪片区、攀枝花东区高新技术产业园-攀密片区、攀枝花东区高新技术产业园-高梁坪工业园区、攀枝花东区高新技术产业园-流沙坡高新园区。</w:t>
            </w:r>
          </w:p>
          <w:p>
            <w:pPr>
              <w:adjustRightInd w:val="0"/>
              <w:snapToGrid w:val="0"/>
              <w:ind w:firstLine="480"/>
              <w:rPr>
                <w:rFonts w:eastAsia="方正仿宋简体"/>
                <w:bCs/>
                <w:color w:val="000000" w:themeColor="text1"/>
                <w:sz w:val="24"/>
                <w:szCs w:val="24"/>
              </w:rPr>
            </w:pPr>
            <w:r>
              <w:rPr>
                <w:rFonts w:eastAsia="方正仿宋简体"/>
                <w:b/>
                <w:color w:val="000000" w:themeColor="text1"/>
                <w:sz w:val="24"/>
                <w:szCs w:val="24"/>
              </w:rPr>
              <w:t>工业企业：</w:t>
            </w:r>
            <w:r>
              <w:rPr>
                <w:rFonts w:eastAsia="方正仿宋简体"/>
                <w:bCs/>
                <w:color w:val="000000" w:themeColor="text1"/>
                <w:sz w:val="24"/>
                <w:szCs w:val="24"/>
              </w:rPr>
              <w:t>攀钢集团矿业有限公司选矿厂、攀枝花盘江煤焦化有限公司、攀钢集团攀枝花钢钒有限公司炼铁厂、攀钢集团攀枝花钢钒有限公司提钒炼钢厂、攀钢集团钒钛资源股份有限公司攀枝花钒制品分公司、攀枝花市锦利钒钛有限公司、攀枝花市红杉钒制品有限公司。</w:t>
            </w:r>
          </w:p>
          <w:p>
            <w:pPr>
              <w:adjustRightInd w:val="0"/>
              <w:snapToGrid w:val="0"/>
              <w:ind w:firstLine="480"/>
              <w:rPr>
                <w:color w:val="000000" w:themeColor="text1"/>
                <w:spacing w:val="-6"/>
                <w:sz w:val="24"/>
                <w:szCs w:val="24"/>
              </w:rPr>
            </w:pPr>
            <w:r>
              <w:rPr>
                <w:rFonts w:eastAsia="方正仿宋简体"/>
                <w:b/>
                <w:color w:val="000000" w:themeColor="text1"/>
                <w:sz w:val="24"/>
                <w:szCs w:val="24"/>
              </w:rPr>
              <w:t>重点尾矿库及干堆场：</w:t>
            </w:r>
            <w:r>
              <w:rPr>
                <w:rFonts w:eastAsia="方正仿宋简体"/>
                <w:bCs/>
                <w:color w:val="000000" w:themeColor="text1"/>
                <w:sz w:val="24"/>
                <w:szCs w:val="24"/>
              </w:rPr>
              <w:t>攀枝花丰源矿业有限公司牛场坪尾矿库、攀钢马加田尾矿库、攀枝花中启矿业有限公司五道河倮果沟尾矿库、攀枝花市鑫帝矿业有限公司尾矿库、攀枝花虹亦仓储服务有限公司1号尾矿库、攀枝花虹亦仓储服务有限公司2号尾矿库、攀枝花市汇杰工贸有限责任公司高梁坪尾矿干堆场。</w:t>
            </w:r>
          </w:p>
        </w:tc>
      </w:tr>
    </w:tbl>
    <w:p>
      <w:pPr>
        <w:pStyle w:val="3"/>
        <w:adjustRightInd w:val="0"/>
        <w:snapToGrid w:val="0"/>
        <w:spacing w:before="0" w:after="0" w:line="353" w:lineRule="auto"/>
        <w:ind w:firstLine="640" w:firstLineChars="200"/>
        <w:jc w:val="center"/>
        <w:rPr>
          <w:rFonts w:eastAsia="黑体"/>
          <w:b w:val="0"/>
          <w:bCs/>
          <w:color w:val="000000" w:themeColor="text1"/>
          <w:sz w:val="32"/>
          <w:szCs w:val="32"/>
        </w:rPr>
      </w:pPr>
      <w:bookmarkStart w:id="141" w:name="_Toc26966"/>
      <w:bookmarkStart w:id="142" w:name="_Toc12704"/>
      <w:bookmarkStart w:id="143" w:name="_Toc6891"/>
      <w:bookmarkStart w:id="144" w:name="_Toc105669387"/>
      <w:bookmarkStart w:id="145" w:name="_Toc16906"/>
      <w:r>
        <w:rPr>
          <w:rFonts w:eastAsia="黑体"/>
          <w:b w:val="0"/>
          <w:bCs/>
          <w:color w:val="000000" w:themeColor="text1"/>
          <w:sz w:val="32"/>
          <w:szCs w:val="32"/>
        </w:rPr>
        <w:t>第六节　促进两山转化，打造生态宜居公园城</w:t>
      </w:r>
      <w:bookmarkEnd w:id="141"/>
      <w:bookmarkEnd w:id="142"/>
      <w:bookmarkEnd w:id="143"/>
      <w:bookmarkEnd w:id="144"/>
    </w:p>
    <w:p>
      <w:pPr>
        <w:pStyle w:val="3"/>
        <w:adjustRightInd w:val="0"/>
        <w:snapToGrid w:val="0"/>
        <w:spacing w:before="0" w:after="0" w:line="353" w:lineRule="auto"/>
        <w:ind w:firstLine="640" w:firstLineChars="200"/>
        <w:jc w:val="both"/>
        <w:rPr>
          <w:rFonts w:eastAsia="楷体_GB2312"/>
          <w:b w:val="0"/>
          <w:bCs/>
          <w:color w:val="000000" w:themeColor="text1"/>
          <w:sz w:val="32"/>
          <w:szCs w:val="32"/>
        </w:rPr>
      </w:pPr>
      <w:bookmarkStart w:id="146" w:name="_Toc105669388"/>
      <w:bookmarkStart w:id="147" w:name="_Toc24026"/>
      <w:bookmarkStart w:id="148" w:name="_Toc21282"/>
      <w:bookmarkStart w:id="149" w:name="_Toc13275"/>
      <w:r>
        <w:rPr>
          <w:rFonts w:eastAsia="楷体_GB2312"/>
          <w:b w:val="0"/>
          <w:bCs/>
          <w:color w:val="000000" w:themeColor="text1"/>
          <w:sz w:val="32"/>
          <w:szCs w:val="32"/>
        </w:rPr>
        <w:t>（一）积极构建山水融合格局</w:t>
      </w:r>
      <w:bookmarkEnd w:id="146"/>
      <w:bookmarkEnd w:id="147"/>
      <w:bookmarkEnd w:id="148"/>
      <w:bookmarkEnd w:id="149"/>
      <w:r>
        <w:rPr>
          <w:rFonts w:eastAsia="楷体_GB2312"/>
          <w:b w:val="0"/>
          <w:bCs/>
          <w:color w:val="000000" w:themeColor="text1"/>
          <w:sz w:val="32"/>
          <w:szCs w:val="32"/>
        </w:rPr>
        <w:t>。</w:t>
      </w:r>
    </w:p>
    <w:p>
      <w:pPr>
        <w:adjustRightInd w:val="0"/>
        <w:snapToGrid w:val="0"/>
        <w:spacing w:line="353" w:lineRule="auto"/>
        <w:ind w:firstLine="640"/>
        <w:rPr>
          <w:color w:val="000000" w:themeColor="text1"/>
          <w:sz w:val="32"/>
          <w:szCs w:val="32"/>
        </w:rPr>
      </w:pPr>
      <w:r>
        <w:rPr>
          <w:color w:val="000000" w:themeColor="text1"/>
          <w:sz w:val="32"/>
          <w:szCs w:val="32"/>
        </w:rPr>
        <w:t>以山地为特色推动生态公园建设。加强城市视野区山体保护，以城区近郊炳草岗、华山村、沙坝村和弄密村为重点，推进金沙江流域城市视野区森林植被修复，实现城区近郊生态有机链接。强化城区公园系列建设，推进凤凰花、蓝花楹等生态主题公园建设，加快东华山、攀枝花、枣子坪凤凰花、弄弄沟、马坎系列城市森林公园打造，优化城区绿地植被空间，助力东区“绿肺”构建。推进珠帘景秀绿道完善，加快竹湖园二小至竹湖公园等绿地通道建设，雕琢城市微景观，实现城区步道“微循环”。</w:t>
      </w:r>
    </w:p>
    <w:p>
      <w:pPr>
        <w:pStyle w:val="82"/>
        <w:adjustRightInd w:val="0"/>
        <w:snapToGrid w:val="0"/>
        <w:spacing w:line="353" w:lineRule="auto"/>
        <w:ind w:firstLine="640"/>
        <w:rPr>
          <w:rFonts w:eastAsia="仿宋_GB2312" w:cs="Times New Roman"/>
          <w:color w:val="000000" w:themeColor="text1"/>
          <w:szCs w:val="32"/>
        </w:rPr>
      </w:pPr>
      <w:r>
        <w:rPr>
          <w:rFonts w:eastAsia="仿宋_GB2312" w:cs="Times New Roman"/>
          <w:color w:val="000000" w:themeColor="text1"/>
          <w:szCs w:val="32"/>
        </w:rPr>
        <w:t>以流域为重点加快“两江观景”建设。积极推动金沙江东区段沿江绿廊生态打造，优化近水岸线亲民布局，推进长江经济带干流绿色生态廊道质量逐步提升，“金沙若水山水画廊”美丽构建。打造和谐宜人湿地空间，依托银江水电站成库后沿江生态变化，推进金沙江沿江生态湿地宜人建设，打造生态化、园林化亲民湿地，助力攀枝花“两江观景、两河亲水、六湖连珠、青山环绕、山水融城、花开满城”格局实现。</w:t>
      </w:r>
    </w:p>
    <w:p>
      <w:pPr>
        <w:pStyle w:val="3"/>
        <w:adjustRightInd w:val="0"/>
        <w:snapToGrid w:val="0"/>
        <w:spacing w:before="0" w:after="0" w:line="353" w:lineRule="auto"/>
        <w:ind w:firstLine="640" w:firstLineChars="200"/>
        <w:rPr>
          <w:rFonts w:eastAsia="楷体_GB2312"/>
          <w:b w:val="0"/>
          <w:bCs/>
          <w:color w:val="000000" w:themeColor="text1"/>
          <w:sz w:val="32"/>
          <w:szCs w:val="32"/>
        </w:rPr>
      </w:pPr>
      <w:bookmarkStart w:id="150" w:name="_Toc105669389"/>
      <w:bookmarkStart w:id="151" w:name="_Toc1445"/>
      <w:bookmarkStart w:id="152" w:name="_Toc31409"/>
      <w:bookmarkStart w:id="153" w:name="_Toc15818"/>
      <w:r>
        <w:rPr>
          <w:rFonts w:eastAsia="楷体_GB2312"/>
          <w:b w:val="0"/>
          <w:bCs/>
          <w:color w:val="000000" w:themeColor="text1"/>
          <w:sz w:val="32"/>
          <w:szCs w:val="32"/>
        </w:rPr>
        <w:t>（二）加快宜居城市宜人建设</w:t>
      </w:r>
      <w:bookmarkEnd w:id="150"/>
      <w:bookmarkEnd w:id="151"/>
      <w:bookmarkEnd w:id="152"/>
      <w:bookmarkEnd w:id="153"/>
      <w:r>
        <w:rPr>
          <w:rFonts w:eastAsia="楷体_GB2312"/>
          <w:b w:val="0"/>
          <w:bCs/>
          <w:color w:val="000000" w:themeColor="text1"/>
          <w:sz w:val="32"/>
          <w:szCs w:val="32"/>
        </w:rPr>
        <w:t>。</w:t>
      </w:r>
    </w:p>
    <w:p>
      <w:pPr>
        <w:pStyle w:val="66"/>
        <w:snapToGrid w:val="0"/>
        <w:spacing w:line="353" w:lineRule="auto"/>
        <w:ind w:firstLine="640"/>
        <w:jc w:val="both"/>
        <w:rPr>
          <w:rFonts w:cs="Times New Roman"/>
          <w:b/>
          <w:bCs/>
          <w:color w:val="000000" w:themeColor="text1"/>
          <w:sz w:val="32"/>
          <w:szCs w:val="32"/>
        </w:rPr>
      </w:pPr>
      <w:r>
        <w:rPr>
          <w:rFonts w:cs="Times New Roman"/>
          <w:color w:val="000000" w:themeColor="text1"/>
          <w:sz w:val="32"/>
          <w:szCs w:val="32"/>
        </w:rPr>
        <w:t>调整优化城市空间布局。</w:t>
      </w:r>
      <w:r>
        <w:rPr>
          <w:rFonts w:cs="Times New Roman"/>
          <w:color w:val="000000" w:themeColor="text1"/>
          <w:kern w:val="2"/>
          <w:sz w:val="32"/>
          <w:szCs w:val="32"/>
        </w:rPr>
        <w:t>充分发挥中心城区比较优势，科学处理保护与开发的关系，按照“东稳、西提、北转、南拓、中优”发展导向，统筹布局生态、生产、生活等功能空间，推动江北钒钛战略资源创新开发主战场和江南阳光康养产业发展核心区两翼协同发展，努力打造生态环境优、生活质量高、服务全区、辐射周边的“产强城优人民幸福的现代化区域中心城区”。</w:t>
      </w:r>
    </w:p>
    <w:p>
      <w:pPr>
        <w:pStyle w:val="2"/>
        <w:adjustRightInd w:val="0"/>
        <w:snapToGrid w:val="0"/>
        <w:spacing w:line="353" w:lineRule="auto"/>
        <w:ind w:firstLine="640"/>
        <w:rPr>
          <w:color w:val="000000" w:themeColor="text1"/>
          <w:sz w:val="32"/>
          <w:szCs w:val="32"/>
        </w:rPr>
      </w:pPr>
      <w:r>
        <w:rPr>
          <w:color w:val="000000" w:themeColor="text1"/>
          <w:sz w:val="32"/>
          <w:szCs w:val="32"/>
        </w:rPr>
        <w:t>强化宜居城乡设施建设。加强城市管理数字化平台建设和功能整合，提升城市管理水平和服务质量，提高城镇信息化、数字化、智能化水平，建设智慧城区。强化小微社区休闲功能，积极利用社区、单位零星地块和闲散土地，结合公共服务中心和社区公共活动空间，建设富有特色文化符号和生活情趣的休闲设施及健身公园，突出宜居康养城市特色。加强城镇道路、公园、路灯、管网、垃圾站房等公共空间建设维护，不断提升城市风貌。推进村容村貌提升工程建设，全面清理整治村庄环境，推进河沟渠塘疏浚清淤、房前屋后环境整治、公共区域照明亮化系列工作，实现农村人居环境持续改善。</w:t>
      </w:r>
    </w:p>
    <w:p>
      <w:pPr>
        <w:pStyle w:val="82"/>
        <w:adjustRightInd w:val="0"/>
        <w:snapToGrid w:val="0"/>
        <w:spacing w:line="353" w:lineRule="auto"/>
        <w:ind w:firstLine="640"/>
        <w:rPr>
          <w:rFonts w:eastAsia="仿宋_GB2312" w:cs="Times New Roman"/>
          <w:color w:val="000000" w:themeColor="text1"/>
          <w:szCs w:val="32"/>
        </w:rPr>
      </w:pPr>
      <w:r>
        <w:rPr>
          <w:rFonts w:eastAsia="仿宋_GB2312" w:cs="Times New Roman"/>
          <w:color w:val="000000" w:themeColor="text1"/>
          <w:szCs w:val="32"/>
        </w:rPr>
        <w:t>打造宁静清新城区氛围。持续改善花城声环境质量，统筹现状与长期规划发展，开展有关区域声环境功能区划调整，合理控制道路、铁路线路两侧与周边敏感建筑物防护距离，推进密地选矿厂等矿业公司噪声深度治理，实现噪声源头控制。开展花城美丽街区建设，大力推进街区道路、街角生态品质提升，打造绿色靓丽城市街区景观，形成“以点穿线，连线成面”的城区生态。加强美丽节点建设，结合城区系列公园建设，持续完善公园文化长廊、文化景观墙、滨水游步道等美丽惠民设施。突出美丽庭院建设，以家庭“小美”聚城市“大美”，打造“特色突出、庭院别致、秀丽灵动”的家庭庭院。</w:t>
      </w:r>
    </w:p>
    <w:p>
      <w:pPr>
        <w:pStyle w:val="82"/>
        <w:adjustRightInd w:val="0"/>
        <w:snapToGrid w:val="0"/>
        <w:spacing w:line="353" w:lineRule="auto"/>
        <w:ind w:firstLine="640"/>
        <w:rPr>
          <w:rFonts w:eastAsia="楷体_GB2312" w:cs="Times New Roman"/>
          <w:color w:val="000000" w:themeColor="text1"/>
          <w:szCs w:val="32"/>
        </w:rPr>
      </w:pPr>
      <w:bookmarkStart w:id="154" w:name="_Toc26101"/>
      <w:bookmarkStart w:id="155" w:name="_Toc22548"/>
      <w:bookmarkStart w:id="156" w:name="_Toc105669390"/>
      <w:bookmarkStart w:id="157" w:name="_Toc29770"/>
      <w:r>
        <w:rPr>
          <w:rFonts w:eastAsia="楷体_GB2312" w:cs="Times New Roman"/>
          <w:color w:val="000000" w:themeColor="text1"/>
          <w:szCs w:val="32"/>
        </w:rPr>
        <w:t>（三）促进生态价值高效转化</w:t>
      </w:r>
      <w:bookmarkEnd w:id="154"/>
      <w:bookmarkEnd w:id="155"/>
      <w:bookmarkEnd w:id="156"/>
      <w:bookmarkEnd w:id="157"/>
      <w:r>
        <w:rPr>
          <w:rFonts w:eastAsia="楷体_GB2312" w:cs="Times New Roman"/>
          <w:color w:val="000000" w:themeColor="text1"/>
          <w:szCs w:val="32"/>
        </w:rPr>
        <w:t>。</w:t>
      </w:r>
    </w:p>
    <w:p>
      <w:pPr>
        <w:pStyle w:val="2"/>
        <w:adjustRightInd w:val="0"/>
        <w:snapToGrid w:val="0"/>
        <w:spacing w:line="353" w:lineRule="auto"/>
        <w:ind w:firstLine="640"/>
        <w:rPr>
          <w:b/>
          <w:bCs/>
          <w:color w:val="000000" w:themeColor="text1"/>
          <w:kern w:val="0"/>
          <w:sz w:val="32"/>
          <w:szCs w:val="32"/>
        </w:rPr>
      </w:pPr>
      <w:r>
        <w:rPr>
          <w:color w:val="000000" w:themeColor="text1"/>
          <w:sz w:val="32"/>
          <w:szCs w:val="32"/>
        </w:rPr>
        <w:t>建设阳光康养产业发展核心区。充分发挥自然资源及中心城区比较优势，立足“一核”定位，构建阳光康养产业生态圈，坚持生态为底、医疗为核、文化为魂、项目为本，以发展“医养结合、文旅融合、康养社区”为主要发力点和切入点，高标准打造医养结合特色大健康产业发展功能区、三线文旅体验区、阳光康养运动休闲区、居家康养产业发展示范区、康养数字经济发展先行区、发展康养制造等六大重点任务，实现区域生态价值高效转化，推动“1+3+N”康养产业体系构建，满足人民群众多层次、多元化的康养生活需求，为建设产强城优人民幸福的现代化区域中心城区提供产业支撑。</w:t>
      </w:r>
    </w:p>
    <w:p>
      <w:pPr>
        <w:pStyle w:val="2"/>
        <w:adjustRightInd w:val="0"/>
        <w:snapToGrid w:val="0"/>
        <w:spacing w:line="353" w:lineRule="auto"/>
        <w:ind w:firstLine="640"/>
        <w:rPr>
          <w:color w:val="000000" w:themeColor="text1"/>
        </w:rPr>
      </w:pPr>
      <w:r>
        <w:rPr>
          <w:rFonts w:hint="eastAsia" w:ascii="仿宋_GB2312" w:hAnsi="仿宋_GB2312" w:cs="仿宋_GB2312"/>
          <w:color w:val="000000" w:themeColor="text1"/>
          <w:sz w:val="32"/>
          <w:szCs w:val="32"/>
        </w:rPr>
        <w:t>促进“旅游+”产业融合发展。</w:t>
      </w:r>
      <w:r>
        <w:rPr>
          <w:color w:val="000000" w:themeColor="text1"/>
          <w:sz w:val="32"/>
          <w:szCs w:val="32"/>
        </w:rPr>
        <w:t>突出生态优势区旅游休闲功能，加快银江水电站库区生态文旅项目建设，推动双江码头公园、“两江帆影”邮轮码头、金沙江生态湿地旅游区（御湖花都）宜人建设，打造生态休闲为主的滨水特色慢行带，繁荣“康养文化”。强化城市产业特色的旅游优势，发扬工矿特色旅游文化，打造大渡口三线特色文化街区、兰尖“三线”文化街区，积极开展尖山国家级地质公园前期工作，塑造东区文化地标。深化阿署达、沙坪坝村自然资源禀赋优势，突出田园文化、民族文化，打造一批田园农家、河畔美居、民族新村，构建美丽乡村建设精品示范区和精品景观带，推动“美丽乡村精品示范村”建设。</w:t>
      </w:r>
    </w:p>
    <w:tbl>
      <w:tblPr>
        <w:tblStyle w:val="25"/>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364" w:type="dxa"/>
          </w:tcPr>
          <w:p>
            <w:pPr>
              <w:spacing w:line="240" w:lineRule="auto"/>
              <w:ind w:firstLine="560"/>
              <w:jc w:val="center"/>
              <w:rPr>
                <w:rFonts w:eastAsia="黑体"/>
                <w:b/>
                <w:color w:val="000000" w:themeColor="text1"/>
                <w:spacing w:val="-6"/>
                <w:sz w:val="32"/>
                <w:szCs w:val="32"/>
              </w:rPr>
            </w:pPr>
            <w:r>
              <w:rPr>
                <w:rFonts w:eastAsia="黑体"/>
                <w:color w:val="000000" w:themeColor="text1"/>
                <w:sz w:val="28"/>
                <w:szCs w:val="32"/>
              </w:rPr>
              <w:t>专栏5 生态宜居公园城重点项目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364" w:type="dxa"/>
          </w:tcPr>
          <w:p>
            <w:pPr>
              <w:adjustRightInd w:val="0"/>
              <w:snapToGrid w:val="0"/>
              <w:ind w:firstLine="456"/>
              <w:rPr>
                <w:rFonts w:eastAsia="方正仿宋简体"/>
                <w:color w:val="000000" w:themeColor="text1"/>
                <w:spacing w:val="-6"/>
                <w:sz w:val="24"/>
                <w:szCs w:val="24"/>
              </w:rPr>
            </w:pPr>
            <w:r>
              <w:rPr>
                <w:rFonts w:eastAsia="方正仿宋简体"/>
                <w:b/>
                <w:bCs/>
                <w:color w:val="000000" w:themeColor="text1"/>
                <w:spacing w:val="-6"/>
                <w:sz w:val="24"/>
                <w:szCs w:val="24"/>
              </w:rPr>
              <w:t>宜居公园城：</w:t>
            </w:r>
            <w:r>
              <w:rPr>
                <w:rFonts w:eastAsia="方正仿宋简体"/>
                <w:color w:val="000000" w:themeColor="text1"/>
                <w:spacing w:val="-6"/>
                <w:sz w:val="24"/>
                <w:szCs w:val="24"/>
              </w:rPr>
              <w:t>新建银江湖公园、东华山山地体育公园；建设一批社区微型公园，建设马家沟沿江滨水休闲空间和湿地。</w:t>
            </w:r>
          </w:p>
          <w:p>
            <w:pPr>
              <w:adjustRightInd w:val="0"/>
              <w:snapToGrid w:val="0"/>
              <w:ind w:firstLine="456"/>
              <w:rPr>
                <w:color w:val="000000" w:themeColor="text1"/>
                <w:spacing w:val="-6"/>
                <w:sz w:val="24"/>
                <w:szCs w:val="24"/>
              </w:rPr>
            </w:pPr>
            <w:r>
              <w:rPr>
                <w:rFonts w:eastAsia="方正仿宋简体"/>
                <w:b/>
                <w:bCs/>
                <w:color w:val="000000" w:themeColor="text1"/>
                <w:spacing w:val="-6"/>
                <w:sz w:val="24"/>
                <w:szCs w:val="24"/>
              </w:rPr>
              <w:t>康养目的地：</w:t>
            </w:r>
            <w:r>
              <w:rPr>
                <w:rFonts w:eastAsia="方正仿宋简体"/>
                <w:color w:val="000000" w:themeColor="text1"/>
                <w:spacing w:val="-6"/>
                <w:sz w:val="24"/>
                <w:szCs w:val="24"/>
              </w:rPr>
              <w:t>阿署达旅游度假区、大渡口三线特色文化街区、金沙江生态湿地旅游区（御湖花都）、银江库区游轮码头康养旅游。</w:t>
            </w:r>
          </w:p>
        </w:tc>
      </w:tr>
    </w:tbl>
    <w:p>
      <w:pPr>
        <w:pStyle w:val="3"/>
        <w:adjustRightInd w:val="0"/>
        <w:snapToGrid w:val="0"/>
        <w:spacing w:before="0" w:after="0" w:line="353" w:lineRule="auto"/>
        <w:ind w:firstLine="640" w:firstLineChars="200"/>
        <w:jc w:val="center"/>
        <w:rPr>
          <w:rFonts w:eastAsia="黑体"/>
          <w:b w:val="0"/>
          <w:bCs/>
          <w:color w:val="000000" w:themeColor="text1"/>
          <w:sz w:val="32"/>
          <w:szCs w:val="32"/>
        </w:rPr>
      </w:pPr>
      <w:bookmarkStart w:id="158" w:name="_Toc105669391"/>
      <w:bookmarkStart w:id="159" w:name="_Toc14609"/>
      <w:bookmarkStart w:id="160" w:name="_Toc28816"/>
      <w:r>
        <w:rPr>
          <w:rFonts w:eastAsia="黑体"/>
          <w:b w:val="0"/>
          <w:bCs/>
          <w:color w:val="000000" w:themeColor="text1"/>
          <w:sz w:val="32"/>
          <w:szCs w:val="32"/>
        </w:rPr>
        <w:t>第七节　完善体系建设，统筹共建“大环保”格局</w:t>
      </w:r>
      <w:bookmarkEnd w:id="145"/>
      <w:bookmarkEnd w:id="158"/>
      <w:bookmarkEnd w:id="159"/>
      <w:bookmarkEnd w:id="160"/>
    </w:p>
    <w:p>
      <w:pPr>
        <w:pStyle w:val="3"/>
        <w:adjustRightInd w:val="0"/>
        <w:snapToGrid w:val="0"/>
        <w:spacing w:before="0" w:after="0" w:line="353" w:lineRule="auto"/>
        <w:ind w:firstLine="640" w:firstLineChars="200"/>
        <w:jc w:val="both"/>
        <w:rPr>
          <w:rFonts w:eastAsia="楷体_GB2312"/>
          <w:b w:val="0"/>
          <w:bCs/>
          <w:color w:val="000000" w:themeColor="text1"/>
          <w:sz w:val="32"/>
          <w:szCs w:val="32"/>
        </w:rPr>
      </w:pPr>
      <w:bookmarkStart w:id="161" w:name="_Toc105669392"/>
      <w:bookmarkStart w:id="162" w:name="_Toc149"/>
      <w:bookmarkStart w:id="163" w:name="_Toc12346"/>
      <w:bookmarkStart w:id="164" w:name="_Toc20145"/>
      <w:r>
        <w:rPr>
          <w:rFonts w:eastAsia="楷体_GB2312"/>
          <w:b w:val="0"/>
          <w:bCs/>
          <w:color w:val="000000" w:themeColor="text1"/>
          <w:sz w:val="32"/>
          <w:szCs w:val="32"/>
        </w:rPr>
        <w:t>（一）持续完善环境保护管理</w:t>
      </w:r>
      <w:bookmarkEnd w:id="161"/>
      <w:r>
        <w:rPr>
          <w:rFonts w:eastAsia="楷体_GB2312"/>
          <w:b w:val="0"/>
          <w:bCs/>
          <w:color w:val="000000" w:themeColor="text1"/>
          <w:sz w:val="32"/>
          <w:szCs w:val="32"/>
        </w:rPr>
        <w:t>。</w:t>
      </w:r>
    </w:p>
    <w:p>
      <w:pPr>
        <w:adjustRightInd w:val="0"/>
        <w:snapToGrid w:val="0"/>
        <w:spacing w:line="353" w:lineRule="auto"/>
        <w:ind w:firstLine="640"/>
        <w:rPr>
          <w:color w:val="000000" w:themeColor="text1"/>
          <w:sz w:val="32"/>
          <w:szCs w:val="32"/>
        </w:rPr>
      </w:pPr>
      <w:r>
        <w:rPr>
          <w:bCs/>
          <w:color w:val="000000" w:themeColor="text1"/>
          <w:sz w:val="32"/>
          <w:szCs w:val="32"/>
        </w:rPr>
        <w:t>压实党政生态环保责任。</w:t>
      </w:r>
      <w:r>
        <w:rPr>
          <w:color w:val="000000" w:themeColor="text1"/>
          <w:sz w:val="32"/>
          <w:szCs w:val="32"/>
        </w:rPr>
        <w:t>健全东区生态环境保护委员会工作机制，统筹协调生态环境保护重大问题。制定实施东区生态环境保护责任清单，细化明确生态环境保护工作责任。完善生态文明建设目标评价考核体系，组织开展污染防治攻坚战成效考核。强化考核结果应用，建立生态环境保护考核评价结果部门衔接机制。建立环保督察反馈问题整改督导机制，落实生态环境保护督察问题整改。</w:t>
      </w:r>
    </w:p>
    <w:p>
      <w:pPr>
        <w:adjustRightInd w:val="0"/>
        <w:snapToGrid w:val="0"/>
        <w:spacing w:line="353" w:lineRule="auto"/>
        <w:ind w:firstLine="640"/>
        <w:rPr>
          <w:color w:val="000000" w:themeColor="text1"/>
          <w:sz w:val="32"/>
          <w:szCs w:val="32"/>
        </w:rPr>
      </w:pPr>
      <w:r>
        <w:rPr>
          <w:bCs/>
          <w:color w:val="000000" w:themeColor="text1"/>
          <w:sz w:val="32"/>
          <w:szCs w:val="32"/>
        </w:rPr>
        <w:t>发挥企业环境治理主体作用。</w:t>
      </w:r>
      <w:r>
        <w:rPr>
          <w:color w:val="000000" w:themeColor="text1"/>
          <w:sz w:val="32"/>
          <w:szCs w:val="32"/>
        </w:rPr>
        <w:t>严格落实排污许可制度，推动排污单位持证排污、按证排污，实现固定污染源排污许可全覆盖，强化排污许可事中事后管理。加大清洁生产推行力度，持续推进强制性清洁生产审核。强化企业环保自律，指导企业建立环保内控制度，推动重点排污企业安装使用监测设备并确保正常运行。规范企业环境信息公开工作制度，推动企业公开环境治理信息并接受社会监督。</w:t>
      </w:r>
    </w:p>
    <w:p>
      <w:pPr>
        <w:pStyle w:val="82"/>
        <w:adjustRightInd w:val="0"/>
        <w:snapToGrid w:val="0"/>
        <w:spacing w:line="353" w:lineRule="auto"/>
        <w:ind w:firstLine="640"/>
        <w:rPr>
          <w:rFonts w:eastAsia="仿宋_GB2312" w:cs="Times New Roman"/>
          <w:color w:val="000000" w:themeColor="text1"/>
          <w:szCs w:val="32"/>
        </w:rPr>
      </w:pPr>
      <w:r>
        <w:rPr>
          <w:rFonts w:eastAsia="仿宋_GB2312" w:cs="Times New Roman"/>
          <w:color w:val="000000" w:themeColor="text1"/>
          <w:szCs w:val="32"/>
        </w:rPr>
        <w:t>推动生态环境全民共建共治。落实生态环境领域政务信息公开，提高群众生态环境工作知晓度。完善公众监督和举报反馈机制，鼓励公众举报生态环境违法行为，多元化投诉举报平台渠道，探索运用大数据平台及时掌握群众对生态环境问题的反映投诉。健全环保重大决策及重大项目公众参与机制，积极探索环保设施线上“云开放”。支持鼓励社会组织在文化宣教、公众参与、调研实践等方面开展</w:t>
      </w:r>
      <w:r>
        <w:rPr>
          <w:rFonts w:hint="eastAsia" w:eastAsia="仿宋_GB2312" w:cs="Times New Roman"/>
          <w:color w:val="000000" w:themeColor="text1"/>
          <w:szCs w:val="32"/>
        </w:rPr>
        <w:t>环保</w:t>
      </w:r>
      <w:r>
        <w:rPr>
          <w:rFonts w:eastAsia="仿宋_GB2312" w:cs="Times New Roman"/>
          <w:color w:val="000000" w:themeColor="text1"/>
          <w:szCs w:val="32"/>
        </w:rPr>
        <w:t>公益活动。</w:t>
      </w:r>
    </w:p>
    <w:p>
      <w:pPr>
        <w:pStyle w:val="3"/>
        <w:adjustRightInd w:val="0"/>
        <w:snapToGrid w:val="0"/>
        <w:spacing w:before="0" w:after="0" w:line="353" w:lineRule="auto"/>
        <w:ind w:firstLine="640" w:firstLineChars="200"/>
        <w:rPr>
          <w:rFonts w:eastAsia="楷体_GB2312"/>
          <w:b w:val="0"/>
          <w:bCs/>
          <w:color w:val="000000" w:themeColor="text1"/>
          <w:sz w:val="32"/>
          <w:szCs w:val="32"/>
        </w:rPr>
      </w:pPr>
      <w:bookmarkStart w:id="165" w:name="_Toc105669393"/>
      <w:r>
        <w:rPr>
          <w:rFonts w:eastAsia="楷体_GB2312"/>
          <w:b w:val="0"/>
          <w:bCs/>
          <w:color w:val="000000" w:themeColor="text1"/>
          <w:sz w:val="32"/>
          <w:szCs w:val="32"/>
        </w:rPr>
        <w:t>（二）加快健全环境保护体系</w:t>
      </w:r>
      <w:bookmarkEnd w:id="162"/>
      <w:bookmarkEnd w:id="163"/>
      <w:bookmarkEnd w:id="164"/>
      <w:bookmarkEnd w:id="165"/>
      <w:r>
        <w:rPr>
          <w:rFonts w:eastAsia="楷体_GB2312"/>
          <w:b w:val="0"/>
          <w:bCs/>
          <w:color w:val="000000" w:themeColor="text1"/>
          <w:sz w:val="32"/>
          <w:szCs w:val="32"/>
        </w:rPr>
        <w:t>。</w:t>
      </w:r>
    </w:p>
    <w:p>
      <w:pPr>
        <w:pStyle w:val="2"/>
        <w:adjustRightInd w:val="0"/>
        <w:snapToGrid w:val="0"/>
        <w:spacing w:line="353" w:lineRule="auto"/>
        <w:ind w:firstLine="640"/>
        <w:rPr>
          <w:b/>
          <w:bCs/>
          <w:color w:val="000000" w:themeColor="text1"/>
          <w:sz w:val="32"/>
          <w:szCs w:val="32"/>
        </w:rPr>
      </w:pPr>
      <w:r>
        <w:rPr>
          <w:color w:val="000000" w:themeColor="text1"/>
          <w:sz w:val="32"/>
          <w:szCs w:val="32"/>
        </w:rPr>
        <w:t>健全生态环境监管体系。扎实推进生态环境保护综合行政执法，健全</w:t>
      </w:r>
      <w:r>
        <w:rPr>
          <w:rFonts w:hint="eastAsia"/>
          <w:color w:val="000000" w:themeColor="text1"/>
          <w:sz w:val="32"/>
          <w:szCs w:val="32"/>
        </w:rPr>
        <w:t>街道（镇）</w:t>
      </w:r>
      <w:r>
        <w:rPr>
          <w:color w:val="000000" w:themeColor="text1"/>
          <w:sz w:val="32"/>
          <w:szCs w:val="32"/>
        </w:rPr>
        <w:t>生态环境网格化监管体系，全面推行“双随机、一公开”环境监管模式。严格执行排污许可制度，落实环评“放管服”改革措施，简化环评审批程序，优化小微企业项目、编制报告表项目的环评管理。强化事中事后监管。提升监管执法水平，推动“互联网+监管”的应用。强化基层一线生态环境监管执法水平，推进执法重心和人员配置向</w:t>
      </w:r>
      <w:r>
        <w:rPr>
          <w:rFonts w:hint="eastAsia"/>
          <w:color w:val="000000" w:themeColor="text1"/>
          <w:sz w:val="32"/>
          <w:szCs w:val="32"/>
        </w:rPr>
        <w:t>街道（镇）</w:t>
      </w:r>
      <w:r>
        <w:rPr>
          <w:color w:val="000000" w:themeColor="text1"/>
          <w:sz w:val="32"/>
          <w:szCs w:val="32"/>
        </w:rPr>
        <w:t>下沉。</w:t>
      </w:r>
    </w:p>
    <w:p>
      <w:pPr>
        <w:pStyle w:val="2"/>
        <w:adjustRightInd w:val="0"/>
        <w:snapToGrid w:val="0"/>
        <w:spacing w:line="353" w:lineRule="auto"/>
        <w:ind w:firstLine="640"/>
        <w:rPr>
          <w:color w:val="000000" w:themeColor="text1"/>
          <w:sz w:val="32"/>
          <w:szCs w:val="32"/>
        </w:rPr>
      </w:pPr>
      <w:r>
        <w:rPr>
          <w:color w:val="000000" w:themeColor="text1"/>
          <w:sz w:val="32"/>
          <w:szCs w:val="32"/>
        </w:rPr>
        <w:t>加强环境监测能力。加强环境监管平台建设，推进东区网格化环境监管信息系统搭建，整合环保信息管理、应急管理、专业管理平台，实现环境信息化综合管理。优化环境监测预警机制，建立环境质量、污染源、生态状况全覆盖的监测业务网络，</w:t>
      </w:r>
      <w:r>
        <w:rPr>
          <w:rFonts w:hint="eastAsia"/>
          <w:color w:val="000000" w:themeColor="text1"/>
          <w:sz w:val="32"/>
          <w:szCs w:val="32"/>
        </w:rPr>
        <w:t>推广</w:t>
      </w:r>
      <w:r>
        <w:rPr>
          <w:color w:val="000000" w:themeColor="text1"/>
          <w:sz w:val="32"/>
          <w:szCs w:val="32"/>
        </w:rPr>
        <w:t>自动化、智能化、天地一体化的监测预警装备</w:t>
      </w:r>
      <w:r>
        <w:rPr>
          <w:rFonts w:hint="eastAsia"/>
          <w:color w:val="000000" w:themeColor="text1"/>
          <w:sz w:val="32"/>
          <w:szCs w:val="32"/>
        </w:rPr>
        <w:t>应用</w:t>
      </w:r>
      <w:r>
        <w:rPr>
          <w:color w:val="000000" w:themeColor="text1"/>
          <w:sz w:val="32"/>
          <w:szCs w:val="32"/>
        </w:rPr>
        <w:t>，实现生态环境监测数据的共享和联合运用。强化环境自动监测能力，推进东区微型国标空气自动监测站设施建设，逐步提高自动化监测水平。优化网格员巡查与公众有奖举报机制，提升指挥中心智能分析与快速响应能力，实现智慧监管线上线下立体融合。</w:t>
      </w:r>
    </w:p>
    <w:p>
      <w:pPr>
        <w:adjustRightInd w:val="0"/>
        <w:snapToGrid w:val="0"/>
        <w:spacing w:line="353" w:lineRule="auto"/>
        <w:ind w:firstLine="640"/>
        <w:rPr>
          <w:color w:val="000000" w:themeColor="text1"/>
          <w:sz w:val="32"/>
          <w:szCs w:val="32"/>
        </w:rPr>
      </w:pPr>
      <w:r>
        <w:rPr>
          <w:color w:val="000000" w:themeColor="text1"/>
          <w:sz w:val="32"/>
          <w:szCs w:val="32"/>
        </w:rPr>
        <w:t>提升环境执法能力。健全环保执法机制，建立统一规范的生态环境综合执法体系，加快综合行政执法改革落地，推进跨区域、跨流域的环境联合执法。提高环境执法配置，确保一线监测、执法用车与生态环境保护任务相匹配。完善执法监管机制，推进联合执法、区域执法、交叉执法、强化执法和责任追究。加大环境执法力度，全面推行“双随机</w:t>
      </w:r>
      <w:r>
        <w:rPr>
          <w:rFonts w:hint="eastAsia"/>
          <w:color w:val="000000" w:themeColor="text1"/>
          <w:sz w:val="32"/>
          <w:szCs w:val="32"/>
        </w:rPr>
        <w:t>、一公开</w:t>
      </w:r>
      <w:r>
        <w:rPr>
          <w:color w:val="000000" w:themeColor="text1"/>
          <w:sz w:val="32"/>
          <w:szCs w:val="32"/>
        </w:rPr>
        <w:t>”制度，对企业的日常执法监管，采取随机抽取检查对象、随机选派执法检查人员方式开展。</w:t>
      </w:r>
    </w:p>
    <w:p>
      <w:pPr>
        <w:adjustRightInd w:val="0"/>
        <w:snapToGrid w:val="0"/>
        <w:spacing w:line="353" w:lineRule="auto"/>
        <w:ind w:firstLine="640"/>
        <w:rPr>
          <w:color w:val="000000" w:themeColor="text1"/>
          <w:sz w:val="32"/>
          <w:szCs w:val="32"/>
        </w:rPr>
      </w:pPr>
      <w:r>
        <w:rPr>
          <w:color w:val="000000" w:themeColor="text1"/>
          <w:sz w:val="32"/>
          <w:szCs w:val="32"/>
        </w:rPr>
        <w:t>规范完善环境治理市场。完善资源产权制度，推进资源性产品价格改革，建立反映市场供求关系、资源稀缺程度的资源性产品价格形成机制及有利于促进资源节约和环境保护的资源价格体系。明确“谁污染、谁治理”</w:t>
      </w:r>
      <w:r>
        <w:rPr>
          <w:rFonts w:hint="eastAsia"/>
          <w:color w:val="000000" w:themeColor="text1"/>
          <w:sz w:val="32"/>
          <w:szCs w:val="32"/>
        </w:rPr>
        <w:t>原则</w:t>
      </w:r>
      <w:r>
        <w:rPr>
          <w:color w:val="000000" w:themeColor="text1"/>
          <w:sz w:val="32"/>
          <w:szCs w:val="32"/>
        </w:rPr>
        <w:t>，推行以单位生产总值能耗为基础的用能权交易制度，积极推进环境污染责任保险发展。深入推进“放管服”改革，规范市场秩序，推动形成公开透明、规范有序的环境治理市场。推进节能环保民营企业健康发展，引导民营企业参与生态环保工程建设。创新环境治理模式，推行环境污染第三方治理，开展园区污染防治第三方治理示范。</w:t>
      </w:r>
    </w:p>
    <w:p>
      <w:pPr>
        <w:pStyle w:val="76"/>
        <w:keepNext w:val="0"/>
        <w:keepLines w:val="0"/>
        <w:adjustRightInd w:val="0"/>
        <w:snapToGrid w:val="0"/>
        <w:spacing w:beforeLines="0" w:afterLines="0" w:line="353" w:lineRule="auto"/>
        <w:ind w:firstLine="640" w:firstLineChars="200"/>
        <w:jc w:val="both"/>
        <w:rPr>
          <w:rFonts w:eastAsia="楷体_GB2312"/>
          <w:b w:val="0"/>
          <w:bCs/>
          <w:color w:val="000000" w:themeColor="text1"/>
          <w:sz w:val="32"/>
          <w:szCs w:val="32"/>
        </w:rPr>
      </w:pPr>
      <w:bookmarkStart w:id="166" w:name="_Toc16912"/>
      <w:bookmarkStart w:id="167" w:name="_Toc27547"/>
      <w:bookmarkStart w:id="168" w:name="_Toc15285"/>
      <w:bookmarkStart w:id="169" w:name="_Toc105669394"/>
      <w:r>
        <w:rPr>
          <w:rFonts w:eastAsia="楷体_GB2312"/>
          <w:b w:val="0"/>
          <w:bCs/>
          <w:color w:val="000000" w:themeColor="text1"/>
          <w:sz w:val="32"/>
          <w:szCs w:val="32"/>
        </w:rPr>
        <w:t>（三）有序推进绿色智慧治理</w:t>
      </w:r>
      <w:bookmarkEnd w:id="166"/>
      <w:bookmarkEnd w:id="167"/>
      <w:bookmarkEnd w:id="168"/>
      <w:bookmarkEnd w:id="169"/>
      <w:r>
        <w:rPr>
          <w:rFonts w:hint="eastAsia" w:eastAsia="楷体_GB2312"/>
          <w:b w:val="0"/>
          <w:bCs/>
          <w:color w:val="000000" w:themeColor="text1"/>
          <w:sz w:val="32"/>
          <w:szCs w:val="32"/>
        </w:rPr>
        <w:t>。</w:t>
      </w:r>
    </w:p>
    <w:p>
      <w:pPr>
        <w:adjustRightInd w:val="0"/>
        <w:snapToGrid w:val="0"/>
        <w:spacing w:line="353" w:lineRule="auto"/>
        <w:ind w:firstLine="640"/>
        <w:rPr>
          <w:color w:val="000000" w:themeColor="text1"/>
          <w:sz w:val="32"/>
          <w:szCs w:val="32"/>
        </w:rPr>
      </w:pPr>
      <w:r>
        <w:rPr>
          <w:color w:val="000000" w:themeColor="text1"/>
          <w:sz w:val="32"/>
          <w:szCs w:val="32"/>
        </w:rPr>
        <w:t>强化“智慧”环保专家作用。落实“攀枝花人才新政七条”，激发人才创新活力，培育和引进高水平环保专家，发挥行业专家的头部作用，推动企业与行业协会</w:t>
      </w:r>
      <w:r>
        <w:rPr>
          <w:rFonts w:hint="eastAsia"/>
          <w:color w:val="000000" w:themeColor="text1"/>
          <w:sz w:val="32"/>
          <w:szCs w:val="32"/>
        </w:rPr>
        <w:t>进行</w:t>
      </w:r>
      <w:r>
        <w:rPr>
          <w:color w:val="000000" w:themeColor="text1"/>
          <w:sz w:val="32"/>
          <w:szCs w:val="32"/>
        </w:rPr>
        <w:t>生态环境保护领域专业人才梯队建设，提升行业整体专业水平。发挥行业协会、科研机构、环保专家、技术团队等的作用，提高专业人士在生态环境保护战略、政策、技术标准制定和实施方面的参与度。</w:t>
      </w:r>
    </w:p>
    <w:p>
      <w:pPr>
        <w:adjustRightInd w:val="0"/>
        <w:snapToGrid w:val="0"/>
        <w:spacing w:line="353" w:lineRule="auto"/>
        <w:ind w:firstLine="640"/>
        <w:rPr>
          <w:color w:val="000000" w:themeColor="text1"/>
          <w:sz w:val="32"/>
          <w:szCs w:val="32"/>
        </w:rPr>
      </w:pPr>
      <w:r>
        <w:rPr>
          <w:color w:val="000000" w:themeColor="text1"/>
          <w:sz w:val="32"/>
          <w:szCs w:val="32"/>
        </w:rPr>
        <w:t>加大人才培养力度。完善人才流动机制，健全人才向基层流动、在一线创业的引导机制，促进人才资源有效配置。加强环保系统行政管理、监察执法和专业技术人才队伍建设，完善选拔、培训、考核等机制，积极加强人才引进和培养，壮大环境队伍，加快培养环保领域科技领军人才与高层次人才，提高队伍业务素质和管理水平，为环保事业发展提供坚实的人才保障和智力支撑。</w:t>
      </w:r>
    </w:p>
    <w:p>
      <w:pPr>
        <w:pStyle w:val="2"/>
        <w:adjustRightInd w:val="0"/>
        <w:snapToGrid w:val="0"/>
        <w:spacing w:line="353" w:lineRule="auto"/>
        <w:ind w:firstLine="640"/>
        <w:rPr>
          <w:color w:val="000000" w:themeColor="text1"/>
          <w:sz w:val="32"/>
          <w:szCs w:val="32"/>
        </w:rPr>
      </w:pPr>
      <w:r>
        <w:rPr>
          <w:color w:val="000000" w:themeColor="text1"/>
          <w:sz w:val="32"/>
          <w:szCs w:val="32"/>
        </w:rPr>
        <w:t>强化科技创新的环保支撑。强化环境基础科研能力，深化科研团队对污染物来源解析研究，推动污染防治科学化。提高精准治污能力，运用无人机、走航车、卫星遥感等科技手段开展非现场执法检查。开展生态环境治理信息化建设，加快物联网、人工智能、云计算、大数据、5G、云计算等新一代信息化、数字化、智能化技术在污染防治、执法监管、环境监测领域的应用，提高环境污染智能分析研判能力。</w:t>
      </w:r>
    </w:p>
    <w:p>
      <w:pPr>
        <w:pStyle w:val="76"/>
        <w:adjustRightInd w:val="0"/>
        <w:snapToGrid w:val="0"/>
        <w:spacing w:beforeLines="0" w:afterLines="0" w:line="353" w:lineRule="auto"/>
        <w:ind w:firstLine="560" w:firstLineChars="200"/>
        <w:jc w:val="both"/>
        <w:rPr>
          <w:b w:val="0"/>
          <w:color w:val="000000" w:themeColor="text1"/>
          <w:sz w:val="44"/>
          <w:szCs w:val="44"/>
        </w:rPr>
      </w:pPr>
      <w:bookmarkStart w:id="170" w:name="_Toc14518"/>
      <w:bookmarkStart w:id="171" w:name="_Toc9362"/>
      <w:bookmarkStart w:id="172" w:name="_Toc11463"/>
      <w:r>
        <w:rPr>
          <w:rFonts w:eastAsia="仿宋_GB2312"/>
          <w:color w:val="000000" w:themeColor="text1"/>
          <w:kern w:val="2"/>
          <w:sz w:val="28"/>
          <w:szCs w:val="21"/>
        </w:rPr>
        <w:br w:type="page"/>
      </w:r>
      <w:bookmarkStart w:id="173" w:name="_Toc105669395"/>
      <w:r>
        <w:rPr>
          <w:b w:val="0"/>
          <w:color w:val="000000" w:themeColor="text1"/>
          <w:sz w:val="44"/>
          <w:szCs w:val="44"/>
        </w:rPr>
        <w:t>第四章　保障措施</w:t>
      </w:r>
      <w:bookmarkEnd w:id="170"/>
      <w:bookmarkEnd w:id="171"/>
      <w:bookmarkEnd w:id="172"/>
      <w:bookmarkEnd w:id="173"/>
    </w:p>
    <w:p>
      <w:pPr>
        <w:pStyle w:val="31"/>
        <w:adjustRightInd w:val="0"/>
        <w:snapToGrid w:val="0"/>
        <w:spacing w:beforeLines="0" w:afterLines="0" w:line="353" w:lineRule="auto"/>
        <w:ind w:firstLine="2880" w:firstLineChars="900"/>
        <w:jc w:val="both"/>
        <w:rPr>
          <w:rFonts w:eastAsia="黑体"/>
          <w:color w:val="000000" w:themeColor="text1"/>
        </w:rPr>
      </w:pPr>
      <w:bookmarkStart w:id="174" w:name="_Toc59716974"/>
      <w:bookmarkStart w:id="175" w:name="_Toc27524"/>
      <w:bookmarkStart w:id="176" w:name="_Toc105669396"/>
      <w:bookmarkStart w:id="177" w:name="_Toc23420"/>
      <w:bookmarkStart w:id="178" w:name="_Toc27893"/>
      <w:r>
        <w:rPr>
          <w:rFonts w:eastAsia="黑体"/>
          <w:color w:val="000000" w:themeColor="text1"/>
        </w:rPr>
        <w:t>第一节　加强组织保障</w:t>
      </w:r>
      <w:bookmarkEnd w:id="174"/>
      <w:bookmarkEnd w:id="175"/>
      <w:bookmarkEnd w:id="176"/>
      <w:bookmarkEnd w:id="177"/>
      <w:bookmarkEnd w:id="178"/>
    </w:p>
    <w:p>
      <w:pPr>
        <w:autoSpaceDE w:val="0"/>
        <w:autoSpaceDN w:val="0"/>
        <w:adjustRightInd w:val="0"/>
        <w:snapToGrid w:val="0"/>
        <w:spacing w:line="353" w:lineRule="auto"/>
        <w:ind w:firstLine="640"/>
        <w:rPr>
          <w:color w:val="000000" w:themeColor="text1"/>
          <w:sz w:val="32"/>
          <w:szCs w:val="32"/>
        </w:rPr>
      </w:pPr>
      <w:bookmarkStart w:id="179" w:name="_Toc59716975"/>
      <w:r>
        <w:rPr>
          <w:color w:val="000000" w:themeColor="text1"/>
          <w:sz w:val="32"/>
          <w:szCs w:val="32"/>
        </w:rPr>
        <w:t>加强</w:t>
      </w:r>
      <w:r>
        <w:rPr>
          <w:rFonts w:hint="eastAsia"/>
          <w:color w:val="000000" w:themeColor="text1"/>
          <w:sz w:val="32"/>
          <w:szCs w:val="32"/>
        </w:rPr>
        <w:t>各</w:t>
      </w:r>
      <w:r>
        <w:rPr>
          <w:color w:val="000000" w:themeColor="text1"/>
          <w:sz w:val="32"/>
          <w:szCs w:val="32"/>
        </w:rPr>
        <w:t>部门协调联动。强化党委和政府对环境保护的组织领导，推进部门协调联动，生态环境部门负责规划协调、环境监管与规范，</w:t>
      </w:r>
      <w:r>
        <w:rPr>
          <w:rFonts w:hint="eastAsia"/>
          <w:color w:val="000000" w:themeColor="text1"/>
          <w:sz w:val="32"/>
          <w:szCs w:val="32"/>
        </w:rPr>
        <w:t>指导</w:t>
      </w:r>
      <w:r>
        <w:rPr>
          <w:color w:val="000000" w:themeColor="text1"/>
          <w:sz w:val="32"/>
          <w:szCs w:val="32"/>
        </w:rPr>
        <w:t>其他部门按照职能分工落实有关环境保护工作。</w:t>
      </w:r>
    </w:p>
    <w:p>
      <w:pPr>
        <w:autoSpaceDE w:val="0"/>
        <w:autoSpaceDN w:val="0"/>
        <w:adjustRightInd w:val="0"/>
        <w:snapToGrid w:val="0"/>
        <w:spacing w:line="353" w:lineRule="auto"/>
        <w:ind w:firstLine="640"/>
        <w:rPr>
          <w:color w:val="000000" w:themeColor="text1"/>
          <w:sz w:val="32"/>
          <w:szCs w:val="32"/>
        </w:rPr>
      </w:pPr>
      <w:r>
        <w:rPr>
          <w:color w:val="000000" w:themeColor="text1"/>
          <w:sz w:val="32"/>
          <w:szCs w:val="32"/>
        </w:rPr>
        <w:t>落实环境保护目标责任制。逐级落实环境保护任期目标责任制，由</w:t>
      </w:r>
      <w:r>
        <w:rPr>
          <w:rFonts w:hint="eastAsia"/>
          <w:color w:val="000000" w:themeColor="text1"/>
          <w:sz w:val="32"/>
          <w:szCs w:val="32"/>
        </w:rPr>
        <w:t>区</w:t>
      </w:r>
      <w:r>
        <w:rPr>
          <w:color w:val="000000" w:themeColor="text1"/>
          <w:sz w:val="32"/>
          <w:szCs w:val="32"/>
        </w:rPr>
        <w:t>政府与有关责任单位签订目标责任书，明确目标任务，定期检查落实。强化领导班子和领导干部环保政绩考核，将环境质量、资源消耗、生态效益等情况作为考核评价的重要内容。</w:t>
      </w:r>
    </w:p>
    <w:p>
      <w:pPr>
        <w:pStyle w:val="31"/>
        <w:adjustRightInd w:val="0"/>
        <w:snapToGrid w:val="0"/>
        <w:spacing w:beforeLines="0" w:afterLines="0" w:line="353" w:lineRule="auto"/>
        <w:ind w:firstLine="2880" w:firstLineChars="900"/>
        <w:jc w:val="both"/>
        <w:rPr>
          <w:rFonts w:eastAsia="黑体"/>
          <w:color w:val="000000" w:themeColor="text1"/>
        </w:rPr>
      </w:pPr>
      <w:bookmarkStart w:id="180" w:name="_Toc2991"/>
      <w:bookmarkStart w:id="181" w:name="_Toc13096"/>
      <w:bookmarkStart w:id="182" w:name="_Toc18832"/>
      <w:bookmarkStart w:id="183" w:name="_Toc105669397"/>
      <w:r>
        <w:rPr>
          <w:rFonts w:eastAsia="黑体"/>
          <w:color w:val="000000" w:themeColor="text1"/>
        </w:rPr>
        <w:t>第二节　加大资金投入</w:t>
      </w:r>
      <w:bookmarkEnd w:id="179"/>
      <w:bookmarkEnd w:id="180"/>
      <w:bookmarkEnd w:id="181"/>
      <w:bookmarkEnd w:id="182"/>
      <w:bookmarkEnd w:id="183"/>
    </w:p>
    <w:p>
      <w:pPr>
        <w:autoSpaceDE w:val="0"/>
        <w:autoSpaceDN w:val="0"/>
        <w:adjustRightInd w:val="0"/>
        <w:snapToGrid w:val="0"/>
        <w:spacing w:line="353" w:lineRule="auto"/>
        <w:ind w:firstLine="640"/>
        <w:rPr>
          <w:color w:val="000000" w:themeColor="text1"/>
          <w:sz w:val="32"/>
          <w:szCs w:val="32"/>
        </w:rPr>
      </w:pPr>
      <w:bookmarkStart w:id="184" w:name="_Toc59716976"/>
      <w:r>
        <w:rPr>
          <w:color w:val="000000" w:themeColor="text1"/>
          <w:sz w:val="32"/>
          <w:szCs w:val="32"/>
        </w:rPr>
        <w:t>加强政府公共财政投入。强化环境保护资金的预算管理，将环保投入作为政府财政支出的重点内容之一，建立环境保护投资稳定增长机制，加强环保监察、监测、宣教、应急等能力建设和污水处理厂、分散式污水处理设施等环保基础设施运营管理。</w:t>
      </w:r>
    </w:p>
    <w:p>
      <w:pPr>
        <w:autoSpaceDE w:val="0"/>
        <w:autoSpaceDN w:val="0"/>
        <w:adjustRightInd w:val="0"/>
        <w:snapToGrid w:val="0"/>
        <w:spacing w:line="353" w:lineRule="auto"/>
        <w:ind w:firstLine="640"/>
        <w:rPr>
          <w:color w:val="000000" w:themeColor="text1"/>
          <w:sz w:val="32"/>
          <w:szCs w:val="32"/>
        </w:rPr>
      </w:pPr>
      <w:r>
        <w:rPr>
          <w:color w:val="000000" w:themeColor="text1"/>
          <w:sz w:val="32"/>
          <w:szCs w:val="32"/>
        </w:rPr>
        <w:t>积极向上争取资金支持。积极争取国家、省生态环境保护专项补助资金，落实地方配套资金。加强对专项资金使用的监督，做好资金使用绩效评价和项目后续管理，努力提高财政性环保资金的投资效益。</w:t>
      </w:r>
    </w:p>
    <w:p>
      <w:pPr>
        <w:autoSpaceDE w:val="0"/>
        <w:autoSpaceDN w:val="0"/>
        <w:adjustRightInd w:val="0"/>
        <w:snapToGrid w:val="0"/>
        <w:spacing w:line="353" w:lineRule="auto"/>
        <w:ind w:firstLine="640"/>
        <w:rPr>
          <w:color w:val="000000" w:themeColor="text1"/>
          <w:sz w:val="32"/>
          <w:szCs w:val="32"/>
        </w:rPr>
      </w:pPr>
      <w:r>
        <w:rPr>
          <w:color w:val="000000" w:themeColor="text1"/>
          <w:sz w:val="32"/>
          <w:szCs w:val="32"/>
        </w:rPr>
        <w:t>推广政府和社会资本合作。充分发挥财政资金的集聚作用，多渠道吸引社会资金，</w:t>
      </w:r>
      <w:r>
        <w:rPr>
          <w:rFonts w:hint="eastAsia"/>
          <w:color w:val="000000" w:themeColor="text1"/>
          <w:sz w:val="32"/>
          <w:szCs w:val="32"/>
        </w:rPr>
        <w:t>针对</w:t>
      </w:r>
      <w:r>
        <w:rPr>
          <w:color w:val="000000" w:themeColor="text1"/>
          <w:sz w:val="32"/>
          <w:szCs w:val="32"/>
        </w:rPr>
        <w:t>“十四五”期间重点实施的工程项目，建立与社会资本风险分担、收益共享的合作机制，采取明晰经营性收益权、政府购买服务、财政补贴等多种形式，鼓励社会资本参与。</w:t>
      </w:r>
      <w:r>
        <w:rPr>
          <w:rFonts w:hint="eastAsia"/>
          <w:color w:val="000000" w:themeColor="text1"/>
          <w:sz w:val="32"/>
          <w:szCs w:val="32"/>
        </w:rPr>
        <w:t>同时</w:t>
      </w:r>
      <w:r>
        <w:rPr>
          <w:color w:val="000000" w:themeColor="text1"/>
          <w:sz w:val="32"/>
          <w:szCs w:val="32"/>
        </w:rPr>
        <w:t>，强化合同管理，严格绩效考核</w:t>
      </w:r>
      <w:r>
        <w:rPr>
          <w:rFonts w:hint="eastAsia"/>
          <w:color w:val="000000" w:themeColor="text1"/>
          <w:sz w:val="32"/>
          <w:szCs w:val="32"/>
        </w:rPr>
        <w:t>，</w:t>
      </w:r>
      <w:r>
        <w:rPr>
          <w:color w:val="000000" w:themeColor="text1"/>
          <w:sz w:val="32"/>
          <w:szCs w:val="32"/>
        </w:rPr>
        <w:t>按效付费。</w:t>
      </w:r>
    </w:p>
    <w:p>
      <w:pPr>
        <w:pStyle w:val="31"/>
        <w:adjustRightInd w:val="0"/>
        <w:snapToGrid w:val="0"/>
        <w:spacing w:beforeLines="0" w:afterLines="0" w:line="353" w:lineRule="auto"/>
        <w:ind w:firstLine="2764" w:firstLineChars="864"/>
        <w:jc w:val="both"/>
        <w:rPr>
          <w:rFonts w:eastAsia="黑体"/>
          <w:color w:val="000000" w:themeColor="text1"/>
        </w:rPr>
      </w:pPr>
      <w:bookmarkStart w:id="185" w:name="_Toc105669398"/>
      <w:bookmarkStart w:id="186" w:name="_Toc30924"/>
      <w:bookmarkStart w:id="187" w:name="_Toc29599"/>
      <w:bookmarkStart w:id="188" w:name="_Toc25698"/>
      <w:bookmarkStart w:id="189" w:name="_Toc18016"/>
      <w:bookmarkStart w:id="190" w:name="_Toc3791"/>
      <w:bookmarkStart w:id="191" w:name="_Toc18368"/>
      <w:r>
        <w:rPr>
          <w:rFonts w:eastAsia="黑体"/>
          <w:color w:val="000000" w:themeColor="text1"/>
        </w:rPr>
        <w:t>第三节　深化公众参与</w:t>
      </w:r>
      <w:bookmarkEnd w:id="185"/>
      <w:bookmarkEnd w:id="186"/>
      <w:bookmarkEnd w:id="187"/>
      <w:bookmarkEnd w:id="188"/>
    </w:p>
    <w:p>
      <w:pPr>
        <w:pStyle w:val="2"/>
        <w:adjustRightInd w:val="0"/>
        <w:snapToGrid w:val="0"/>
        <w:spacing w:line="353" w:lineRule="auto"/>
        <w:ind w:firstLine="640"/>
        <w:rPr>
          <w:color w:val="000000" w:themeColor="text1"/>
          <w:sz w:val="32"/>
          <w:szCs w:val="32"/>
        </w:rPr>
      </w:pPr>
      <w:r>
        <w:rPr>
          <w:color w:val="000000" w:themeColor="text1"/>
          <w:sz w:val="32"/>
          <w:szCs w:val="32"/>
        </w:rPr>
        <w:t>积极营造良好氛围。利用多种方式引导公众参与，完善公众参与和民主监督机制。引导公众积极、理性、有序参与环境保护，强化社会监督，认真研究广大人民群众和社会各界的建言献策，解决好人民群众关心的突出环境问题，营造良好氛围，形成全社会关心、支持</w:t>
      </w:r>
      <w:r>
        <w:rPr>
          <w:rFonts w:hint="eastAsia"/>
          <w:color w:val="000000" w:themeColor="text1"/>
          <w:sz w:val="32"/>
          <w:szCs w:val="32"/>
        </w:rPr>
        <w:t>、</w:t>
      </w:r>
      <w:r>
        <w:rPr>
          <w:color w:val="000000" w:themeColor="text1"/>
          <w:sz w:val="32"/>
          <w:szCs w:val="32"/>
        </w:rPr>
        <w:t>参与生态环境保护</w:t>
      </w:r>
      <w:r>
        <w:rPr>
          <w:rFonts w:hint="eastAsia"/>
          <w:color w:val="000000" w:themeColor="text1"/>
          <w:sz w:val="32"/>
          <w:szCs w:val="32"/>
        </w:rPr>
        <w:t>工作的</w:t>
      </w:r>
      <w:r>
        <w:rPr>
          <w:color w:val="000000" w:themeColor="text1"/>
          <w:sz w:val="32"/>
          <w:szCs w:val="32"/>
        </w:rPr>
        <w:t>良好局面。</w:t>
      </w:r>
    </w:p>
    <w:p>
      <w:pPr>
        <w:pStyle w:val="2"/>
        <w:adjustRightInd w:val="0"/>
        <w:snapToGrid w:val="0"/>
        <w:spacing w:line="353" w:lineRule="auto"/>
        <w:ind w:firstLine="640"/>
        <w:rPr>
          <w:color w:val="000000" w:themeColor="text1"/>
          <w:sz w:val="32"/>
          <w:szCs w:val="32"/>
        </w:rPr>
      </w:pPr>
      <w:r>
        <w:rPr>
          <w:color w:val="000000" w:themeColor="text1"/>
          <w:sz w:val="32"/>
          <w:szCs w:val="32"/>
        </w:rPr>
        <w:t>加强规划宣传。加强规划实施信息公开，健全政府与企业、社会的沟通和交流机制，创新和丰富宣传形式，动员、激励、激发市场主体、社会力量和人民群众积极参与推进规划实施，营造规划实施的良好氛围。</w:t>
      </w:r>
    </w:p>
    <w:p>
      <w:pPr>
        <w:pStyle w:val="31"/>
        <w:adjustRightInd w:val="0"/>
        <w:snapToGrid w:val="0"/>
        <w:spacing w:beforeLines="0" w:afterLines="0" w:line="353" w:lineRule="auto"/>
        <w:ind w:firstLine="2880" w:firstLineChars="900"/>
        <w:jc w:val="both"/>
        <w:rPr>
          <w:rFonts w:eastAsia="黑体"/>
          <w:color w:val="000000" w:themeColor="text1"/>
        </w:rPr>
      </w:pPr>
      <w:bookmarkStart w:id="192" w:name="_Toc105669399"/>
      <w:r>
        <w:rPr>
          <w:rFonts w:eastAsia="黑体"/>
          <w:color w:val="000000" w:themeColor="text1"/>
        </w:rPr>
        <w:t>第四节　严格目标考核</w:t>
      </w:r>
      <w:bookmarkEnd w:id="192"/>
    </w:p>
    <w:p>
      <w:pPr>
        <w:autoSpaceDE w:val="0"/>
        <w:autoSpaceDN w:val="0"/>
        <w:adjustRightInd w:val="0"/>
        <w:snapToGrid w:val="0"/>
        <w:spacing w:line="353" w:lineRule="auto"/>
        <w:ind w:firstLine="640"/>
        <w:rPr>
          <w:color w:val="000000" w:themeColor="text1"/>
          <w:kern w:val="0"/>
          <w:sz w:val="32"/>
          <w:szCs w:val="32"/>
        </w:rPr>
      </w:pPr>
      <w:r>
        <w:rPr>
          <w:color w:val="000000" w:themeColor="text1"/>
          <w:kern w:val="0"/>
          <w:sz w:val="32"/>
          <w:szCs w:val="32"/>
        </w:rPr>
        <w:t>严格明确责任主体。要坚持“一把手”亲自抓、负总责的生态环境保护目标责任制，有关部门要加大工作调度和监督检查力度，推动各项任务分工落实到位。强化地方政府环保目标责任考核，建立环境保护责任追究制度，对因决策失误、未正确履行职责、监管工作不到位等问题，造成人民群众利益受到侵害、生态破坏严重、环境质量明显恶化等严重后果的，依法追究责任。</w:t>
      </w:r>
    </w:p>
    <w:p>
      <w:pPr>
        <w:autoSpaceDE w:val="0"/>
        <w:autoSpaceDN w:val="0"/>
        <w:adjustRightInd w:val="0"/>
        <w:snapToGrid w:val="0"/>
        <w:spacing w:line="353" w:lineRule="auto"/>
        <w:ind w:firstLine="640"/>
        <w:rPr>
          <w:color w:val="000000" w:themeColor="text1"/>
          <w:sz w:val="28"/>
        </w:rPr>
      </w:pPr>
      <w:r>
        <w:rPr>
          <w:color w:val="000000" w:themeColor="text1"/>
          <w:sz w:val="32"/>
          <w:szCs w:val="32"/>
        </w:rPr>
        <w:t>实施规划考核评估。把规划实施</w:t>
      </w:r>
      <w:r>
        <w:rPr>
          <w:rFonts w:hint="eastAsia"/>
          <w:color w:val="000000" w:themeColor="text1"/>
          <w:sz w:val="32"/>
          <w:szCs w:val="32"/>
        </w:rPr>
        <w:t>情况</w:t>
      </w:r>
      <w:r>
        <w:rPr>
          <w:color w:val="000000" w:themeColor="text1"/>
          <w:sz w:val="32"/>
          <w:szCs w:val="32"/>
        </w:rPr>
        <w:t>作为各单位</w:t>
      </w:r>
      <w:r>
        <w:rPr>
          <w:rFonts w:hint="eastAsia"/>
          <w:color w:val="000000" w:themeColor="text1"/>
          <w:sz w:val="32"/>
          <w:szCs w:val="32"/>
        </w:rPr>
        <w:t>主要负责同志</w:t>
      </w:r>
      <w:r>
        <w:rPr>
          <w:color w:val="000000" w:themeColor="text1"/>
          <w:sz w:val="32"/>
          <w:szCs w:val="32"/>
        </w:rPr>
        <w:t>实绩考核的重要内容</w:t>
      </w:r>
      <w:r>
        <w:rPr>
          <w:rFonts w:hint="eastAsia"/>
          <w:color w:val="000000" w:themeColor="text1"/>
          <w:sz w:val="32"/>
          <w:szCs w:val="32"/>
        </w:rPr>
        <w:t>，完善规划实施监督机制，依法向区人大常委会报告规划实施情况，接受人大监督。</w:t>
      </w:r>
      <w:r>
        <w:rPr>
          <w:color w:val="000000" w:themeColor="text1"/>
          <w:sz w:val="32"/>
          <w:szCs w:val="32"/>
        </w:rPr>
        <w:t>在2023年底和2025年底，分别对本规划执行情况开展中期评估及终期考核。</w:t>
      </w:r>
    </w:p>
    <w:p>
      <w:pPr>
        <w:ind w:firstLine="600"/>
        <w:rPr>
          <w:color w:val="000000" w:themeColor="text1"/>
        </w:rPr>
      </w:pPr>
    </w:p>
    <w:p>
      <w:pPr>
        <w:pStyle w:val="2"/>
        <w:ind w:firstLine="600"/>
        <w:rPr>
          <w:color w:val="000000" w:themeColor="text1"/>
        </w:rPr>
      </w:pPr>
    </w:p>
    <w:p>
      <w:pPr>
        <w:ind w:firstLine="600"/>
        <w:rPr>
          <w:color w:val="000000" w:themeColor="text1"/>
        </w:rPr>
      </w:pPr>
    </w:p>
    <w:p>
      <w:pPr>
        <w:ind w:firstLine="600"/>
        <w:rPr>
          <w:color w:val="000000" w:themeColor="text1"/>
        </w:rPr>
        <w:sectPr>
          <w:footerReference r:id="rId12" w:type="default"/>
          <w:pgSz w:w="11906" w:h="16838"/>
          <w:pgMar w:top="2098" w:right="1474" w:bottom="1985" w:left="1588" w:header="851" w:footer="992" w:gutter="0"/>
          <w:cols w:space="720" w:num="1"/>
          <w:docGrid w:type="linesAndChars" w:linePitch="312" w:charSpace="0"/>
        </w:sectPr>
      </w:pPr>
    </w:p>
    <w:bookmarkEnd w:id="184"/>
    <w:bookmarkEnd w:id="189"/>
    <w:bookmarkEnd w:id="190"/>
    <w:bookmarkEnd w:id="191"/>
    <w:p>
      <w:pPr>
        <w:pStyle w:val="14"/>
        <w:ind w:firstLine="640"/>
        <w:jc w:val="center"/>
        <w:outlineLvl w:val="0"/>
        <w:rPr>
          <w:rFonts w:eastAsia="黑体"/>
          <w:bCs/>
          <w:color w:val="000000" w:themeColor="text1"/>
          <w:sz w:val="32"/>
          <w:szCs w:val="32"/>
        </w:rPr>
      </w:pPr>
      <w:bookmarkStart w:id="193" w:name="_Toc105669400"/>
      <w:bookmarkStart w:id="194" w:name="_Toc26738"/>
      <w:bookmarkStart w:id="195" w:name="_Toc11808"/>
      <w:bookmarkStart w:id="196" w:name="_Toc5398"/>
      <w:bookmarkStart w:id="197" w:name="_Toc12784"/>
      <w:bookmarkStart w:id="198" w:name="_Toc59970645"/>
      <w:r>
        <w:rPr>
          <w:rFonts w:eastAsia="黑体"/>
          <w:bCs/>
          <w:color w:val="000000" w:themeColor="text1"/>
          <w:sz w:val="32"/>
          <w:szCs w:val="32"/>
        </w:rPr>
        <w:t>附表东区</w:t>
      </w:r>
      <w:r>
        <w:rPr>
          <w:rFonts w:hint="eastAsia" w:eastAsia="黑体"/>
          <w:bCs/>
          <w:color w:val="000000" w:themeColor="text1"/>
          <w:sz w:val="32"/>
          <w:szCs w:val="32"/>
        </w:rPr>
        <w:t>“</w:t>
      </w:r>
      <w:r>
        <w:rPr>
          <w:rFonts w:eastAsia="黑体"/>
          <w:bCs/>
          <w:color w:val="000000" w:themeColor="text1"/>
          <w:sz w:val="32"/>
          <w:szCs w:val="32"/>
        </w:rPr>
        <w:t>十四五</w:t>
      </w:r>
      <w:r>
        <w:rPr>
          <w:rFonts w:hint="eastAsia" w:eastAsia="黑体"/>
          <w:bCs/>
          <w:color w:val="000000" w:themeColor="text1"/>
          <w:sz w:val="32"/>
          <w:szCs w:val="32"/>
        </w:rPr>
        <w:t>”</w:t>
      </w:r>
      <w:r>
        <w:rPr>
          <w:rFonts w:eastAsia="黑体"/>
          <w:bCs/>
          <w:color w:val="000000" w:themeColor="text1"/>
          <w:sz w:val="32"/>
          <w:szCs w:val="32"/>
        </w:rPr>
        <w:t>生态环境保护规划重大项目表</w:t>
      </w:r>
      <w:bookmarkEnd w:id="193"/>
      <w:bookmarkEnd w:id="194"/>
      <w:bookmarkEnd w:id="195"/>
      <w:bookmarkEnd w:id="196"/>
      <w:bookmarkEnd w:id="197"/>
      <w:bookmarkEnd w:id="198"/>
    </w:p>
    <w:tbl>
      <w:tblPr>
        <w:tblStyle w:val="25"/>
        <w:tblW w:w="4952" w:type="pct"/>
        <w:tblInd w:w="0" w:type="dxa"/>
        <w:tblLayout w:type="fixed"/>
        <w:tblCellMar>
          <w:top w:w="0" w:type="dxa"/>
          <w:left w:w="108" w:type="dxa"/>
          <w:bottom w:w="0" w:type="dxa"/>
          <w:right w:w="108" w:type="dxa"/>
        </w:tblCellMar>
      </w:tblPr>
      <w:tblGrid>
        <w:gridCol w:w="694"/>
        <w:gridCol w:w="2135"/>
        <w:gridCol w:w="1118"/>
        <w:gridCol w:w="1140"/>
        <w:gridCol w:w="4607"/>
        <w:gridCol w:w="1112"/>
        <w:gridCol w:w="1422"/>
        <w:gridCol w:w="1630"/>
      </w:tblGrid>
      <w:tr>
        <w:tblPrEx>
          <w:tblCellMar>
            <w:top w:w="0" w:type="dxa"/>
            <w:left w:w="108" w:type="dxa"/>
            <w:bottom w:w="0" w:type="dxa"/>
            <w:right w:w="108" w:type="dxa"/>
          </w:tblCellMar>
        </w:tblPrEx>
        <w:trPr>
          <w:trHeight w:val="312" w:hRule="atLeast"/>
          <w:tblHeader/>
        </w:trPr>
        <w:tc>
          <w:tcPr>
            <w:tcW w:w="250" w:type="pct"/>
            <w:vMerge w:val="restart"/>
            <w:tcBorders>
              <w:top w:val="single" w:color="auto" w:sz="8" w:space="0"/>
              <w:left w:val="single" w:color="auto" w:sz="8" w:space="0"/>
              <w:bottom w:val="single" w:color="000000" w:sz="8" w:space="0"/>
              <w:right w:val="single" w:color="auto" w:sz="8" w:space="0"/>
            </w:tcBorders>
            <w:shd w:val="clear" w:color="000000" w:fill="D9D9D9"/>
            <w:vAlign w:val="center"/>
          </w:tcPr>
          <w:p>
            <w:pPr>
              <w:widowControl/>
              <w:spacing w:line="240" w:lineRule="auto"/>
              <w:ind w:firstLine="0" w:firstLineChars="0"/>
              <w:jc w:val="center"/>
              <w:rPr>
                <w:b/>
                <w:bCs/>
                <w:color w:val="000000" w:themeColor="text1"/>
                <w:kern w:val="0"/>
                <w:sz w:val="20"/>
                <w:szCs w:val="20"/>
              </w:rPr>
            </w:pPr>
            <w:r>
              <w:rPr>
                <w:b/>
                <w:bCs/>
                <w:color w:val="000000" w:themeColor="text1"/>
                <w:kern w:val="0"/>
                <w:sz w:val="20"/>
                <w:szCs w:val="20"/>
              </w:rPr>
              <w:t>序号</w:t>
            </w:r>
          </w:p>
        </w:tc>
        <w:tc>
          <w:tcPr>
            <w:tcW w:w="770" w:type="pct"/>
            <w:vMerge w:val="restart"/>
            <w:tcBorders>
              <w:top w:val="single" w:color="auto" w:sz="8" w:space="0"/>
              <w:left w:val="single" w:color="auto" w:sz="8" w:space="0"/>
              <w:bottom w:val="single" w:color="000000" w:sz="8" w:space="0"/>
              <w:right w:val="single" w:color="auto" w:sz="8" w:space="0"/>
            </w:tcBorders>
            <w:shd w:val="clear" w:color="000000" w:fill="D9D9D9"/>
            <w:vAlign w:val="center"/>
          </w:tcPr>
          <w:p>
            <w:pPr>
              <w:widowControl/>
              <w:spacing w:line="240" w:lineRule="auto"/>
              <w:ind w:firstLine="0" w:firstLineChars="0"/>
              <w:jc w:val="center"/>
              <w:rPr>
                <w:b/>
                <w:bCs/>
                <w:color w:val="000000" w:themeColor="text1"/>
                <w:kern w:val="0"/>
                <w:sz w:val="20"/>
                <w:szCs w:val="20"/>
              </w:rPr>
            </w:pPr>
            <w:r>
              <w:rPr>
                <w:b/>
                <w:bCs/>
                <w:color w:val="000000" w:themeColor="text1"/>
                <w:kern w:val="0"/>
                <w:sz w:val="20"/>
                <w:szCs w:val="20"/>
              </w:rPr>
              <w:t>项目名称</w:t>
            </w:r>
          </w:p>
        </w:tc>
        <w:tc>
          <w:tcPr>
            <w:tcW w:w="403" w:type="pct"/>
            <w:vMerge w:val="restart"/>
            <w:tcBorders>
              <w:top w:val="single" w:color="auto" w:sz="8" w:space="0"/>
              <w:left w:val="single" w:color="auto" w:sz="8" w:space="0"/>
              <w:bottom w:val="single" w:color="000000" w:sz="8" w:space="0"/>
              <w:right w:val="single" w:color="auto" w:sz="8" w:space="0"/>
            </w:tcBorders>
            <w:shd w:val="clear" w:color="000000" w:fill="D9D9D9"/>
            <w:vAlign w:val="center"/>
          </w:tcPr>
          <w:p>
            <w:pPr>
              <w:widowControl/>
              <w:spacing w:line="240" w:lineRule="auto"/>
              <w:ind w:firstLine="0" w:firstLineChars="0"/>
              <w:jc w:val="center"/>
              <w:rPr>
                <w:b/>
                <w:bCs/>
                <w:color w:val="000000" w:themeColor="text1"/>
                <w:kern w:val="0"/>
                <w:sz w:val="20"/>
                <w:szCs w:val="20"/>
              </w:rPr>
            </w:pPr>
            <w:r>
              <w:rPr>
                <w:b/>
                <w:bCs/>
                <w:color w:val="000000" w:themeColor="text1"/>
                <w:kern w:val="0"/>
                <w:sz w:val="20"/>
                <w:szCs w:val="20"/>
              </w:rPr>
              <w:t>建设地址</w:t>
            </w:r>
          </w:p>
        </w:tc>
        <w:tc>
          <w:tcPr>
            <w:tcW w:w="411" w:type="pct"/>
            <w:vMerge w:val="restart"/>
            <w:tcBorders>
              <w:top w:val="single" w:color="auto" w:sz="8" w:space="0"/>
              <w:left w:val="single" w:color="auto" w:sz="8" w:space="0"/>
              <w:bottom w:val="single" w:color="000000" w:sz="8" w:space="0"/>
              <w:right w:val="single" w:color="auto" w:sz="8" w:space="0"/>
            </w:tcBorders>
            <w:shd w:val="clear" w:color="000000" w:fill="D9D9D9"/>
            <w:vAlign w:val="center"/>
          </w:tcPr>
          <w:p>
            <w:pPr>
              <w:widowControl/>
              <w:spacing w:line="240" w:lineRule="auto"/>
              <w:ind w:firstLine="0" w:firstLineChars="0"/>
              <w:jc w:val="center"/>
              <w:rPr>
                <w:b/>
                <w:bCs/>
                <w:color w:val="000000" w:themeColor="text1"/>
                <w:kern w:val="0"/>
                <w:sz w:val="20"/>
                <w:szCs w:val="20"/>
              </w:rPr>
            </w:pPr>
            <w:r>
              <w:rPr>
                <w:b/>
                <w:bCs/>
                <w:color w:val="000000" w:themeColor="text1"/>
                <w:kern w:val="0"/>
                <w:sz w:val="20"/>
                <w:szCs w:val="20"/>
              </w:rPr>
              <w:t>建设性质</w:t>
            </w:r>
          </w:p>
        </w:tc>
        <w:tc>
          <w:tcPr>
            <w:tcW w:w="1661" w:type="pct"/>
            <w:vMerge w:val="restart"/>
            <w:tcBorders>
              <w:top w:val="single" w:color="auto" w:sz="8" w:space="0"/>
              <w:left w:val="single" w:color="auto" w:sz="8" w:space="0"/>
              <w:bottom w:val="single" w:color="000000" w:sz="8" w:space="0"/>
              <w:right w:val="single" w:color="auto" w:sz="8" w:space="0"/>
            </w:tcBorders>
            <w:shd w:val="clear" w:color="000000" w:fill="D9D9D9"/>
            <w:vAlign w:val="center"/>
          </w:tcPr>
          <w:p>
            <w:pPr>
              <w:widowControl/>
              <w:spacing w:line="240" w:lineRule="auto"/>
              <w:ind w:firstLine="0" w:firstLineChars="0"/>
              <w:jc w:val="center"/>
              <w:rPr>
                <w:b/>
                <w:bCs/>
                <w:color w:val="000000" w:themeColor="text1"/>
                <w:kern w:val="0"/>
                <w:sz w:val="20"/>
                <w:szCs w:val="20"/>
              </w:rPr>
            </w:pPr>
            <w:r>
              <w:rPr>
                <w:b/>
                <w:bCs/>
                <w:color w:val="000000" w:themeColor="text1"/>
                <w:kern w:val="0"/>
                <w:sz w:val="20"/>
                <w:szCs w:val="20"/>
              </w:rPr>
              <w:t>建设规模及内容</w:t>
            </w:r>
          </w:p>
        </w:tc>
        <w:tc>
          <w:tcPr>
            <w:tcW w:w="401" w:type="pct"/>
            <w:vMerge w:val="restart"/>
            <w:tcBorders>
              <w:top w:val="single" w:color="auto" w:sz="8" w:space="0"/>
              <w:left w:val="single" w:color="auto" w:sz="8" w:space="0"/>
              <w:bottom w:val="single" w:color="000000" w:sz="8" w:space="0"/>
              <w:right w:val="single" w:color="auto" w:sz="8" w:space="0"/>
            </w:tcBorders>
            <w:shd w:val="clear" w:color="000000" w:fill="D9D9D9"/>
            <w:vAlign w:val="center"/>
          </w:tcPr>
          <w:p>
            <w:pPr>
              <w:widowControl/>
              <w:spacing w:line="240" w:lineRule="auto"/>
              <w:ind w:firstLine="0" w:firstLineChars="0"/>
              <w:jc w:val="center"/>
              <w:rPr>
                <w:b/>
                <w:bCs/>
                <w:color w:val="000000" w:themeColor="text1"/>
                <w:kern w:val="0"/>
                <w:sz w:val="20"/>
                <w:szCs w:val="20"/>
              </w:rPr>
            </w:pPr>
            <w:r>
              <w:rPr>
                <w:b/>
                <w:bCs/>
                <w:color w:val="000000" w:themeColor="text1"/>
                <w:kern w:val="0"/>
                <w:sz w:val="20"/>
                <w:szCs w:val="20"/>
              </w:rPr>
              <w:t>建设年限</w:t>
            </w:r>
          </w:p>
        </w:tc>
        <w:tc>
          <w:tcPr>
            <w:tcW w:w="513" w:type="pct"/>
            <w:vMerge w:val="restart"/>
            <w:tcBorders>
              <w:top w:val="single" w:color="auto" w:sz="8" w:space="0"/>
              <w:left w:val="single" w:color="auto" w:sz="8" w:space="0"/>
              <w:bottom w:val="single" w:color="000000" w:sz="8" w:space="0"/>
              <w:right w:val="single" w:color="auto" w:sz="8" w:space="0"/>
            </w:tcBorders>
            <w:shd w:val="clear" w:color="000000" w:fill="D9D9D9"/>
            <w:vAlign w:val="center"/>
          </w:tcPr>
          <w:p>
            <w:pPr>
              <w:widowControl/>
              <w:spacing w:line="240" w:lineRule="auto"/>
              <w:ind w:firstLine="0" w:firstLineChars="0"/>
              <w:jc w:val="center"/>
              <w:rPr>
                <w:b/>
                <w:bCs/>
                <w:color w:val="000000" w:themeColor="text1"/>
                <w:kern w:val="0"/>
                <w:sz w:val="20"/>
                <w:szCs w:val="20"/>
              </w:rPr>
            </w:pPr>
            <w:r>
              <w:rPr>
                <w:b/>
                <w:bCs/>
                <w:color w:val="000000" w:themeColor="text1"/>
                <w:kern w:val="0"/>
                <w:sz w:val="20"/>
                <w:szCs w:val="20"/>
              </w:rPr>
              <w:t>项目类型</w:t>
            </w:r>
          </w:p>
        </w:tc>
        <w:tc>
          <w:tcPr>
            <w:tcW w:w="588" w:type="pct"/>
            <w:vMerge w:val="restart"/>
            <w:tcBorders>
              <w:top w:val="single" w:color="auto" w:sz="8" w:space="0"/>
              <w:left w:val="single" w:color="auto" w:sz="8" w:space="0"/>
              <w:bottom w:val="single" w:color="000000" w:sz="8" w:space="0"/>
              <w:right w:val="single" w:color="auto" w:sz="8" w:space="0"/>
            </w:tcBorders>
            <w:shd w:val="clear" w:color="000000" w:fill="D9D9D9"/>
            <w:vAlign w:val="center"/>
          </w:tcPr>
          <w:p>
            <w:pPr>
              <w:widowControl/>
              <w:spacing w:line="240" w:lineRule="auto"/>
              <w:ind w:firstLine="0" w:firstLineChars="0"/>
              <w:jc w:val="center"/>
              <w:rPr>
                <w:b/>
                <w:bCs/>
                <w:color w:val="000000" w:themeColor="text1"/>
                <w:kern w:val="0"/>
                <w:sz w:val="20"/>
                <w:szCs w:val="20"/>
              </w:rPr>
            </w:pPr>
            <w:r>
              <w:rPr>
                <w:b/>
                <w:bCs/>
                <w:color w:val="000000" w:themeColor="text1"/>
                <w:kern w:val="0"/>
                <w:sz w:val="20"/>
                <w:szCs w:val="20"/>
              </w:rPr>
              <w:t>责任单位</w:t>
            </w:r>
          </w:p>
        </w:tc>
      </w:tr>
      <w:tr>
        <w:tblPrEx>
          <w:tblCellMar>
            <w:top w:w="0" w:type="dxa"/>
            <w:left w:w="108" w:type="dxa"/>
            <w:bottom w:w="0" w:type="dxa"/>
            <w:right w:w="108" w:type="dxa"/>
          </w:tblCellMar>
        </w:tblPrEx>
        <w:trPr>
          <w:trHeight w:val="312" w:hRule="atLeast"/>
          <w:tblHeader/>
        </w:trPr>
        <w:tc>
          <w:tcPr>
            <w:tcW w:w="250" w:type="pct"/>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b/>
                <w:bCs/>
                <w:color w:val="000000" w:themeColor="text1"/>
                <w:kern w:val="0"/>
                <w:sz w:val="20"/>
                <w:szCs w:val="20"/>
              </w:rPr>
            </w:pPr>
          </w:p>
        </w:tc>
        <w:tc>
          <w:tcPr>
            <w:tcW w:w="770" w:type="pct"/>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b/>
                <w:bCs/>
                <w:color w:val="000000" w:themeColor="text1"/>
                <w:kern w:val="0"/>
                <w:sz w:val="20"/>
                <w:szCs w:val="20"/>
              </w:rPr>
            </w:pPr>
          </w:p>
        </w:tc>
        <w:tc>
          <w:tcPr>
            <w:tcW w:w="403" w:type="pct"/>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b/>
                <w:bCs/>
                <w:color w:val="000000" w:themeColor="text1"/>
                <w:kern w:val="0"/>
                <w:sz w:val="20"/>
                <w:szCs w:val="20"/>
              </w:rPr>
            </w:pPr>
          </w:p>
        </w:tc>
        <w:tc>
          <w:tcPr>
            <w:tcW w:w="411" w:type="pct"/>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b/>
                <w:bCs/>
                <w:color w:val="000000" w:themeColor="text1"/>
                <w:kern w:val="0"/>
                <w:sz w:val="20"/>
                <w:szCs w:val="20"/>
              </w:rPr>
            </w:pPr>
          </w:p>
        </w:tc>
        <w:tc>
          <w:tcPr>
            <w:tcW w:w="1661" w:type="pct"/>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rPr>
                <w:b/>
                <w:bCs/>
                <w:color w:val="000000" w:themeColor="text1"/>
                <w:kern w:val="0"/>
                <w:sz w:val="20"/>
                <w:szCs w:val="20"/>
              </w:rPr>
            </w:pPr>
          </w:p>
        </w:tc>
        <w:tc>
          <w:tcPr>
            <w:tcW w:w="401" w:type="pct"/>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b/>
                <w:bCs/>
                <w:color w:val="000000" w:themeColor="text1"/>
                <w:kern w:val="0"/>
                <w:sz w:val="20"/>
                <w:szCs w:val="20"/>
              </w:rPr>
            </w:pPr>
          </w:p>
        </w:tc>
        <w:tc>
          <w:tcPr>
            <w:tcW w:w="513" w:type="pct"/>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b/>
                <w:bCs/>
                <w:color w:val="000000" w:themeColor="text1"/>
                <w:kern w:val="0"/>
                <w:sz w:val="20"/>
                <w:szCs w:val="20"/>
              </w:rPr>
            </w:pPr>
          </w:p>
        </w:tc>
        <w:tc>
          <w:tcPr>
            <w:tcW w:w="588" w:type="pct"/>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b/>
                <w:bCs/>
                <w:color w:val="000000" w:themeColor="text1"/>
                <w:kern w:val="0"/>
                <w:sz w:val="20"/>
                <w:szCs w:val="20"/>
              </w:rPr>
            </w:pPr>
          </w:p>
        </w:tc>
      </w:tr>
      <w:tr>
        <w:tblPrEx>
          <w:tblCellMar>
            <w:top w:w="0" w:type="dxa"/>
            <w:left w:w="108" w:type="dxa"/>
            <w:bottom w:w="0" w:type="dxa"/>
            <w:right w:w="108" w:type="dxa"/>
          </w:tblCellMar>
        </w:tblPrEx>
        <w:trPr>
          <w:trHeight w:val="51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color w:val="000000" w:themeColor="text1"/>
                <w:kern w:val="0"/>
                <w:sz w:val="20"/>
                <w:szCs w:val="20"/>
              </w:rPr>
            </w:pPr>
            <w:r>
              <w:rPr>
                <w:color w:val="000000" w:themeColor="text1"/>
                <w:kern w:val="0"/>
                <w:sz w:val="20"/>
                <w:szCs w:val="20"/>
              </w:rPr>
              <w:t>1</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color w:val="000000" w:themeColor="text1"/>
                <w:kern w:val="0"/>
                <w:sz w:val="20"/>
                <w:szCs w:val="20"/>
              </w:rPr>
            </w:pPr>
            <w:r>
              <w:rPr>
                <w:color w:val="000000" w:themeColor="text1"/>
                <w:kern w:val="0"/>
                <w:sz w:val="20"/>
                <w:szCs w:val="20"/>
              </w:rPr>
              <w:t>攀钢钒炼铁厂1、2号焦炉脱硫脱硝改造</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color w:val="000000" w:themeColor="text1"/>
                <w:kern w:val="0"/>
                <w:sz w:val="20"/>
                <w:szCs w:val="20"/>
              </w:rPr>
            </w:pPr>
            <w:r>
              <w:rPr>
                <w:color w:val="000000" w:themeColor="text1"/>
                <w:kern w:val="0"/>
                <w:sz w:val="20"/>
                <w:szCs w:val="20"/>
              </w:rPr>
              <w:t>改造</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color w:val="000000" w:themeColor="text1"/>
                <w:kern w:val="0"/>
                <w:sz w:val="20"/>
                <w:szCs w:val="20"/>
              </w:rPr>
            </w:pPr>
            <w:r>
              <w:rPr>
                <w:color w:val="000000" w:themeColor="text1"/>
                <w:kern w:val="0"/>
                <w:sz w:val="20"/>
                <w:szCs w:val="20"/>
              </w:rPr>
              <w:t>对1、2号焦炉增设烟道气脱硫脱硝装置及配套设施</w:t>
            </w:r>
            <w:r>
              <w:rPr>
                <w:rFonts w:hint="eastAsia"/>
                <w:color w:val="000000" w:themeColor="text1"/>
                <w:kern w:val="0"/>
                <w:sz w:val="20"/>
                <w:szCs w:val="20"/>
              </w:rPr>
              <w:t>。</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color w:val="000000" w:themeColor="text1"/>
                <w:kern w:val="0"/>
                <w:sz w:val="20"/>
                <w:szCs w:val="20"/>
              </w:rPr>
            </w:pPr>
            <w:r>
              <w:rPr>
                <w:color w:val="000000" w:themeColor="text1"/>
                <w:kern w:val="0"/>
                <w:sz w:val="20"/>
                <w:szCs w:val="20"/>
              </w:rPr>
              <w:t>2021-2022</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color w:val="000000" w:themeColor="text1"/>
                <w:kern w:val="0"/>
                <w:sz w:val="20"/>
                <w:szCs w:val="20"/>
              </w:rPr>
            </w:pPr>
            <w:r>
              <w:rPr>
                <w:color w:val="000000" w:themeColor="text1"/>
                <w:kern w:val="0"/>
                <w:sz w:val="20"/>
                <w:szCs w:val="20"/>
              </w:rPr>
              <w:t>大气污染防治</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color w:val="000000" w:themeColor="text1"/>
                <w:kern w:val="0"/>
                <w:sz w:val="20"/>
                <w:szCs w:val="20"/>
              </w:rPr>
            </w:pPr>
            <w:r>
              <w:rPr>
                <w:color w:val="000000" w:themeColor="text1"/>
                <w:kern w:val="0"/>
                <w:sz w:val="20"/>
                <w:szCs w:val="20"/>
              </w:rPr>
              <w:t>东区生态环境局</w:t>
            </w:r>
          </w:p>
        </w:tc>
      </w:tr>
      <w:tr>
        <w:tblPrEx>
          <w:tblCellMar>
            <w:top w:w="0" w:type="dxa"/>
            <w:left w:w="108" w:type="dxa"/>
            <w:bottom w:w="0" w:type="dxa"/>
            <w:right w:w="108" w:type="dxa"/>
          </w:tblCellMar>
        </w:tblPrEx>
        <w:trPr>
          <w:trHeight w:val="51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攀钢钒炼铁厂1号烧结机烟气脱销改造</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改造</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新建一套湿式静电除尘器和一套SCR烟气脱硝装置</w:t>
            </w:r>
            <w:r>
              <w:rPr>
                <w:rFonts w:hint="eastAsia"/>
                <w:color w:val="000000" w:themeColor="text1"/>
                <w:kern w:val="0"/>
                <w:sz w:val="20"/>
                <w:szCs w:val="20"/>
              </w:rPr>
              <w:t>。</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2021-2022</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大气污染防治</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东区生态环境局</w:t>
            </w:r>
          </w:p>
        </w:tc>
      </w:tr>
      <w:tr>
        <w:tblPrEx>
          <w:tblCellMar>
            <w:top w:w="0" w:type="dxa"/>
            <w:left w:w="108" w:type="dxa"/>
            <w:bottom w:w="0" w:type="dxa"/>
            <w:right w:w="108" w:type="dxa"/>
          </w:tblCellMar>
        </w:tblPrEx>
        <w:trPr>
          <w:trHeight w:val="495"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3</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攀钢钒炼铁厂原料场区域转运站除尘升级改造</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改造</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对炼铁厂原料场区域部分转运站除尘升级改造，达到超低排放要求</w:t>
            </w:r>
            <w:r>
              <w:rPr>
                <w:rFonts w:hint="eastAsia"/>
                <w:color w:val="000000" w:themeColor="text1"/>
                <w:kern w:val="0"/>
                <w:sz w:val="20"/>
                <w:szCs w:val="20"/>
              </w:rPr>
              <w:t>。</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2021-2022</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大气污染防治</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东区生态环境局</w:t>
            </w:r>
          </w:p>
        </w:tc>
      </w:tr>
      <w:tr>
        <w:tblPrEx>
          <w:tblCellMar>
            <w:top w:w="0" w:type="dxa"/>
            <w:left w:w="108" w:type="dxa"/>
            <w:bottom w:w="0" w:type="dxa"/>
            <w:right w:w="108" w:type="dxa"/>
          </w:tblCellMar>
        </w:tblPrEx>
        <w:trPr>
          <w:trHeight w:val="765"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4</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攀钢钒炼钢厂6、7号转炉二次除尘改造</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改造</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改造6号炉现有除尘系统，同时将6号炉区域厂房除尘并入现有二次除尘；7号炉新建设一套二次除尘系统，同时将7号炉区域厂房除尘并入现有二次除尘</w:t>
            </w:r>
            <w:r>
              <w:rPr>
                <w:rFonts w:hint="eastAsia"/>
                <w:color w:val="000000" w:themeColor="text1"/>
                <w:kern w:val="0"/>
                <w:sz w:val="20"/>
                <w:szCs w:val="20"/>
              </w:rPr>
              <w:t>。</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2021-2022</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大气污染防治</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东区生态环境局</w:t>
            </w:r>
          </w:p>
        </w:tc>
      </w:tr>
      <w:tr>
        <w:tblPrEx>
          <w:tblCellMar>
            <w:top w:w="0" w:type="dxa"/>
            <w:left w:w="108" w:type="dxa"/>
            <w:bottom w:w="0" w:type="dxa"/>
            <w:right w:w="108" w:type="dxa"/>
          </w:tblCellMar>
        </w:tblPrEx>
        <w:trPr>
          <w:trHeight w:val="51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5</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攀钢钒炼钢厂6、7号转炉一次除尘改造</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改造</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对现有一次除尘设施进行升级改造，增设湿电等除尘设施</w:t>
            </w:r>
            <w:r>
              <w:rPr>
                <w:rFonts w:hint="eastAsia"/>
                <w:color w:val="000000" w:themeColor="text1"/>
                <w:kern w:val="0"/>
                <w:sz w:val="20"/>
                <w:szCs w:val="20"/>
              </w:rPr>
              <w:t>。</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2021-2022</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大气污染防治</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东区生态环境局</w:t>
            </w:r>
          </w:p>
        </w:tc>
      </w:tr>
      <w:tr>
        <w:tblPrEx>
          <w:tblCellMar>
            <w:top w:w="0" w:type="dxa"/>
            <w:left w:w="108" w:type="dxa"/>
            <w:bottom w:w="0" w:type="dxa"/>
            <w:right w:w="108" w:type="dxa"/>
          </w:tblCellMar>
        </w:tblPrEx>
        <w:trPr>
          <w:trHeight w:val="51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6</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攀钢钒炼钢厂1-3号转炉二次除尘优化改造</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改造</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将1、2、3号老转炉区域建设一套二次除尘系统，同时将炉区厂房除尘并入二次除尘</w:t>
            </w:r>
            <w:r>
              <w:rPr>
                <w:rFonts w:hint="eastAsia"/>
                <w:color w:val="000000" w:themeColor="text1"/>
                <w:kern w:val="0"/>
                <w:sz w:val="20"/>
                <w:szCs w:val="20"/>
              </w:rPr>
              <w:t>。</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2021-2023</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大气污染防治</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东区生态环境局</w:t>
            </w:r>
          </w:p>
        </w:tc>
      </w:tr>
      <w:tr>
        <w:tblPrEx>
          <w:tblCellMar>
            <w:top w:w="0" w:type="dxa"/>
            <w:left w:w="108" w:type="dxa"/>
            <w:bottom w:w="0" w:type="dxa"/>
            <w:right w:w="108" w:type="dxa"/>
          </w:tblCellMar>
        </w:tblPrEx>
        <w:trPr>
          <w:trHeight w:val="51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7</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攀钢钒炼铁厂新3号烧结机烟气脱硝改造</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改造</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新建一套湿式静电除尘器和一套SCR烟气脱硝装置</w:t>
            </w:r>
            <w:r>
              <w:rPr>
                <w:rFonts w:hint="eastAsia"/>
                <w:color w:val="000000" w:themeColor="text1"/>
                <w:kern w:val="0"/>
                <w:sz w:val="20"/>
                <w:szCs w:val="20"/>
              </w:rPr>
              <w:t>。</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2021-2023</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大气污染防治</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东区生态环境局</w:t>
            </w:r>
          </w:p>
        </w:tc>
      </w:tr>
      <w:tr>
        <w:tblPrEx>
          <w:tblCellMar>
            <w:top w:w="0" w:type="dxa"/>
            <w:left w:w="108" w:type="dxa"/>
            <w:bottom w:w="0" w:type="dxa"/>
            <w:right w:w="108" w:type="dxa"/>
          </w:tblCellMar>
        </w:tblPrEx>
        <w:trPr>
          <w:trHeight w:val="51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8</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攀钢钒炼铁厂6号烧结机烟气脱硝改造</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改造</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新建一套湿式静电除尘器和一套SCR烟气脱硝装置</w:t>
            </w:r>
            <w:r>
              <w:rPr>
                <w:rFonts w:hint="eastAsia"/>
                <w:color w:val="000000" w:themeColor="text1"/>
                <w:kern w:val="0"/>
                <w:sz w:val="20"/>
                <w:szCs w:val="20"/>
              </w:rPr>
              <w:t>。</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2021-2023</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大气污染防治</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东区生态环境局</w:t>
            </w:r>
          </w:p>
        </w:tc>
      </w:tr>
      <w:tr>
        <w:tblPrEx>
          <w:tblCellMar>
            <w:top w:w="0" w:type="dxa"/>
            <w:left w:w="108" w:type="dxa"/>
            <w:bottom w:w="0" w:type="dxa"/>
            <w:right w:w="108" w:type="dxa"/>
          </w:tblCellMar>
        </w:tblPrEx>
        <w:trPr>
          <w:trHeight w:val="99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9</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攀钢钒智慧环保</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改造</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完善固定污染源在线监测系统；易产尘点安装高清视频监控装置；主要尘点设置TSP监测仪、厂区设置环境质量空气监测站、监测微站、质量控制点；建设环保集中管控平台；完善清洁车辆运输、门禁监控系统等。</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2021-2023</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能力提升建设</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东区生态环境局</w:t>
            </w:r>
          </w:p>
        </w:tc>
      </w:tr>
      <w:tr>
        <w:tblPrEx>
          <w:tblCellMar>
            <w:top w:w="0" w:type="dxa"/>
            <w:left w:w="108" w:type="dxa"/>
            <w:bottom w:w="0" w:type="dxa"/>
            <w:right w:w="108" w:type="dxa"/>
          </w:tblCellMar>
        </w:tblPrEx>
        <w:trPr>
          <w:trHeight w:val="51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10</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攀钢钒5、6号焦炉节能环保改造工程</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改造</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建设JNS3-70-1型多段加热复热式顶装7米焦炉，配套建设出焦除尘、机侧除尘、焦炉烟气脱硫脱硝等环保设施</w:t>
            </w:r>
            <w:r>
              <w:rPr>
                <w:rFonts w:hint="eastAsia"/>
                <w:color w:val="000000" w:themeColor="text1"/>
                <w:kern w:val="0"/>
                <w:sz w:val="20"/>
                <w:szCs w:val="20"/>
              </w:rPr>
              <w:t>。</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2021-2022</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大气污染防治</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东区生态环境局</w:t>
            </w:r>
          </w:p>
        </w:tc>
      </w:tr>
      <w:tr>
        <w:tblPrEx>
          <w:tblCellMar>
            <w:top w:w="0" w:type="dxa"/>
            <w:left w:w="108" w:type="dxa"/>
            <w:bottom w:w="0" w:type="dxa"/>
            <w:right w:w="108" w:type="dxa"/>
          </w:tblCellMar>
        </w:tblPrEx>
        <w:trPr>
          <w:trHeight w:val="51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11</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攀钢钒3、4号焦炉节能环保改造工程</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改造</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建设2×50孔6米焦炉及配套设施，配套建设出焦除尘、机侧除尘、焦炉烟气脱硫脱硝等环保设施</w:t>
            </w:r>
            <w:r>
              <w:rPr>
                <w:rFonts w:hint="eastAsia"/>
                <w:color w:val="000000" w:themeColor="text1"/>
                <w:kern w:val="0"/>
                <w:sz w:val="20"/>
                <w:szCs w:val="20"/>
              </w:rPr>
              <w:t>。</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2021-2025</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大气污染防治</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东区生态环境局</w:t>
            </w:r>
          </w:p>
        </w:tc>
      </w:tr>
      <w:tr>
        <w:tblPrEx>
          <w:tblCellMar>
            <w:top w:w="0" w:type="dxa"/>
            <w:left w:w="108" w:type="dxa"/>
            <w:bottom w:w="0" w:type="dxa"/>
            <w:right w:w="108" w:type="dxa"/>
          </w:tblCellMar>
        </w:tblPrEx>
        <w:trPr>
          <w:trHeight w:val="51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12</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开展生态环境状况指数（CEI）调查工作</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委托专业机构开展东区辖区生态环境状况指数（EI）</w:t>
            </w:r>
            <w:r>
              <w:rPr>
                <w:rFonts w:hint="eastAsia"/>
                <w:color w:val="000000" w:themeColor="text1"/>
                <w:kern w:val="0"/>
                <w:sz w:val="20"/>
                <w:szCs w:val="20"/>
              </w:rPr>
              <w:t>。</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2021-2023</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自然生态保护与修复</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东区生态环境局</w:t>
            </w:r>
          </w:p>
        </w:tc>
      </w:tr>
      <w:tr>
        <w:tblPrEx>
          <w:tblCellMar>
            <w:top w:w="0" w:type="dxa"/>
            <w:left w:w="108" w:type="dxa"/>
            <w:bottom w:w="0" w:type="dxa"/>
            <w:right w:w="108" w:type="dxa"/>
          </w:tblCellMar>
        </w:tblPrEx>
        <w:trPr>
          <w:trHeight w:val="51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13</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东区微型国标空气自动监测站建设</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新建</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新增建设3个国标微站，提高东区城区范围环境空气质量精准管控能力，进一步夯实打赢蓝天保卫战基础。</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2020-2023</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能力提升建设</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东区生态环境局</w:t>
            </w:r>
          </w:p>
        </w:tc>
      </w:tr>
      <w:tr>
        <w:tblPrEx>
          <w:tblCellMar>
            <w:top w:w="0" w:type="dxa"/>
            <w:left w:w="108" w:type="dxa"/>
            <w:bottom w:w="0" w:type="dxa"/>
            <w:right w:w="108" w:type="dxa"/>
          </w:tblCellMar>
        </w:tblPrEx>
        <w:trPr>
          <w:trHeight w:val="102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14</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炳草岗生活垃圾分类及收运体系建设</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新建</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新建一座 500t /d 处理量的垃圾中转站,配套安装垃圾压缩转运、收储、破碎、渗滤。液处理系统 (日处理 50t)、除尘、除臭、系统等设施设备,购置垃圾分类体系设备,完善道路、绿化、给排水、强弱电等室外公用设施工程</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2021-2022</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绿色低碳发展</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区综合行政执法局</w:t>
            </w:r>
          </w:p>
        </w:tc>
      </w:tr>
      <w:tr>
        <w:tblPrEx>
          <w:tblCellMar>
            <w:top w:w="0" w:type="dxa"/>
            <w:left w:w="108" w:type="dxa"/>
            <w:bottom w:w="0" w:type="dxa"/>
            <w:right w:w="108" w:type="dxa"/>
          </w:tblCellMar>
        </w:tblPrEx>
        <w:trPr>
          <w:trHeight w:val="525"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15</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攀枝花市东区金沙江北岸弄密村生态修复项目</w:t>
            </w:r>
            <w:r>
              <w:rPr>
                <w:color w:val="000000" w:themeColor="text1"/>
                <w:kern w:val="0"/>
                <w:sz w:val="21"/>
                <w:szCs w:val="21"/>
              </w:rPr>
              <w:t> </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银江镇弄密村</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新建</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营造特色乡土树种生态林430.2亩（其中新建区332.23亩，补植抚育区97.97亩），配套建设水利灌溉设施。</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2020-2023</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自然生态保护与修复</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区林业局</w:t>
            </w:r>
          </w:p>
        </w:tc>
      </w:tr>
      <w:tr>
        <w:tblPrEx>
          <w:tblCellMar>
            <w:top w:w="0" w:type="dxa"/>
            <w:left w:w="108" w:type="dxa"/>
            <w:bottom w:w="0" w:type="dxa"/>
            <w:right w:w="108" w:type="dxa"/>
          </w:tblCellMar>
        </w:tblPrEx>
        <w:trPr>
          <w:trHeight w:val="34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16</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攀枝花市东区干旱河谷生态脆弱区2021年生态综合治理项目</w:t>
            </w:r>
            <w:r>
              <w:rPr>
                <w:color w:val="000000" w:themeColor="text1"/>
                <w:kern w:val="0"/>
                <w:sz w:val="21"/>
                <w:szCs w:val="21"/>
              </w:rPr>
              <w:t> </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银江镇华山村</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新建</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治理面积1000亩，采取工程措施进行人造林327.08亩，栽植凤凰木、清香木、木蝴蝶、降香黄檀、铁刀木，带上株间点播台湾相思。增设水土保持、造林灌溉设施，提高防御干旱、抵抗自然灾害的能力。</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2022-2023</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自然生态保护与修复</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区林业局</w:t>
            </w:r>
          </w:p>
        </w:tc>
      </w:tr>
      <w:tr>
        <w:tblPrEx>
          <w:tblCellMar>
            <w:top w:w="0" w:type="dxa"/>
            <w:left w:w="108" w:type="dxa"/>
            <w:bottom w:w="0" w:type="dxa"/>
            <w:right w:w="108" w:type="dxa"/>
          </w:tblCellMar>
        </w:tblPrEx>
        <w:trPr>
          <w:trHeight w:val="99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17</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攀西科技城炳四区陈家垭口生态修复工程</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续建</w:t>
            </w:r>
          </w:p>
        </w:tc>
        <w:tc>
          <w:tcPr>
            <w:tcW w:w="1661" w:type="pct"/>
            <w:tcBorders>
              <w:top w:val="nil"/>
              <w:left w:val="nil"/>
              <w:bottom w:val="single" w:color="auto" w:sz="8" w:space="0"/>
              <w:right w:val="single" w:color="auto" w:sz="8" w:space="0"/>
            </w:tcBorders>
            <w:shd w:val="clear" w:color="auto" w:fill="auto"/>
            <w:vAlign w:val="center"/>
          </w:tcPr>
          <w:p>
            <w:pPr>
              <w:widowControl/>
              <w:spacing w:line="300" w:lineRule="exact"/>
              <w:ind w:firstLine="0" w:firstLineChars="0"/>
              <w:rPr>
                <w:color w:val="000000" w:themeColor="text1"/>
                <w:kern w:val="0"/>
                <w:sz w:val="20"/>
                <w:szCs w:val="20"/>
              </w:rPr>
            </w:pPr>
            <w:r>
              <w:rPr>
                <w:color w:val="000000" w:themeColor="text1"/>
                <w:kern w:val="0"/>
                <w:sz w:val="20"/>
                <w:szCs w:val="20"/>
              </w:rPr>
              <w:t>建设面积约为1340亩。主要内容：新建扩建4.5米宽防火道路，配套建设供电、浇灌系统等设施，增设管护步道开展人工造林，营造乡土特色植物生态防护林，开展森林抚育管理及森林质量提升改造，完成森林生态系统恢复。</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2020-2023</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自然生态保护与修复</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区林业局</w:t>
            </w:r>
          </w:p>
        </w:tc>
      </w:tr>
      <w:tr>
        <w:tblPrEx>
          <w:tblCellMar>
            <w:top w:w="0" w:type="dxa"/>
            <w:left w:w="108" w:type="dxa"/>
            <w:bottom w:w="0" w:type="dxa"/>
            <w:right w:w="108" w:type="dxa"/>
          </w:tblCellMar>
        </w:tblPrEx>
        <w:trPr>
          <w:trHeight w:val="495"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18</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攀枝花市东区银江镇废弃矿山生态修复</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瓜子坪</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新建</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生态修复尖山二期、肖家湾废弃矿山面积1306亩。</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2021-2023</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自然生态保护与修复</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市自然资源和规划局东区分局</w:t>
            </w:r>
          </w:p>
        </w:tc>
      </w:tr>
      <w:tr>
        <w:tblPrEx>
          <w:tblCellMar>
            <w:top w:w="0" w:type="dxa"/>
            <w:left w:w="108" w:type="dxa"/>
            <w:bottom w:w="0" w:type="dxa"/>
            <w:right w:w="108" w:type="dxa"/>
          </w:tblCellMar>
        </w:tblPrEx>
        <w:trPr>
          <w:trHeight w:val="495"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19</w:t>
            </w:r>
          </w:p>
        </w:tc>
        <w:tc>
          <w:tcPr>
            <w:tcW w:w="770" w:type="pct"/>
            <w:tcBorders>
              <w:top w:val="nil"/>
              <w:left w:val="nil"/>
              <w:bottom w:val="single" w:color="auto" w:sz="8" w:space="0"/>
              <w:right w:val="single" w:color="auto" w:sz="8" w:space="0"/>
            </w:tcBorders>
            <w:shd w:val="clear" w:color="auto" w:fill="auto"/>
            <w:vAlign w:val="center"/>
          </w:tcPr>
          <w:p>
            <w:pPr>
              <w:widowControl/>
              <w:spacing w:line="300" w:lineRule="exact"/>
              <w:ind w:firstLine="0" w:firstLineChars="0"/>
              <w:jc w:val="center"/>
              <w:rPr>
                <w:color w:val="000000" w:themeColor="text1"/>
                <w:kern w:val="0"/>
                <w:sz w:val="20"/>
                <w:szCs w:val="20"/>
              </w:rPr>
            </w:pPr>
            <w:r>
              <w:rPr>
                <w:color w:val="000000" w:themeColor="text1"/>
                <w:kern w:val="0"/>
                <w:sz w:val="20"/>
                <w:szCs w:val="20"/>
              </w:rPr>
              <w:t>攀钢马家田尾矿库闭库工程项目及生态价值打造</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新建</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sz w:val="20"/>
                <w:szCs w:val="20"/>
              </w:rPr>
              <w:t>利用马家田尾矿库闭库后形成的面积约3000亩，坝体约900亩，打造花海景观，配套建设附属设施。</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w:t>
            </w:r>
            <w:r>
              <w:rPr>
                <w:rFonts w:hint="eastAsia"/>
                <w:color w:val="000000" w:themeColor="text1"/>
                <w:kern w:val="0"/>
                <w:sz w:val="20"/>
                <w:szCs w:val="20"/>
              </w:rPr>
              <w:t>5</w:t>
            </w:r>
          </w:p>
        </w:tc>
        <w:tc>
          <w:tcPr>
            <w:tcW w:w="513" w:type="pct"/>
            <w:tcBorders>
              <w:top w:val="nil"/>
              <w:left w:val="nil"/>
              <w:bottom w:val="single" w:color="auto" w:sz="8" w:space="0"/>
              <w:right w:val="single" w:color="auto" w:sz="8" w:space="0"/>
            </w:tcBorders>
            <w:shd w:val="clear" w:color="auto" w:fill="auto"/>
            <w:vAlign w:val="center"/>
          </w:tcPr>
          <w:p>
            <w:pPr>
              <w:widowControl/>
              <w:spacing w:line="300" w:lineRule="exact"/>
              <w:ind w:firstLine="0" w:firstLineChars="0"/>
              <w:jc w:val="center"/>
              <w:rPr>
                <w:color w:val="000000" w:themeColor="text1"/>
                <w:kern w:val="0"/>
                <w:sz w:val="20"/>
                <w:szCs w:val="20"/>
              </w:rPr>
            </w:pPr>
            <w:r>
              <w:rPr>
                <w:color w:val="000000" w:themeColor="text1"/>
                <w:kern w:val="0"/>
                <w:sz w:val="20"/>
                <w:szCs w:val="20"/>
              </w:rPr>
              <w:t>自然生态保护与修复</w:t>
            </w:r>
          </w:p>
        </w:tc>
        <w:tc>
          <w:tcPr>
            <w:tcW w:w="588" w:type="pct"/>
            <w:tcBorders>
              <w:top w:val="nil"/>
              <w:left w:val="nil"/>
              <w:bottom w:val="single" w:color="auto" w:sz="8" w:space="0"/>
              <w:right w:val="single" w:color="auto" w:sz="8" w:space="0"/>
            </w:tcBorders>
            <w:shd w:val="clear" w:color="auto" w:fill="auto"/>
            <w:vAlign w:val="center"/>
          </w:tcPr>
          <w:p>
            <w:pPr>
              <w:widowControl/>
              <w:spacing w:line="300" w:lineRule="exact"/>
              <w:ind w:firstLine="0" w:firstLineChars="0"/>
              <w:jc w:val="center"/>
              <w:rPr>
                <w:color w:val="000000" w:themeColor="text1"/>
                <w:kern w:val="0"/>
                <w:sz w:val="20"/>
                <w:szCs w:val="20"/>
              </w:rPr>
            </w:pPr>
            <w:r>
              <w:rPr>
                <w:color w:val="000000" w:themeColor="text1"/>
                <w:kern w:val="0"/>
                <w:sz w:val="20"/>
                <w:szCs w:val="20"/>
              </w:rPr>
              <w:t>市自然资源和规划局东区分局</w:t>
            </w:r>
          </w:p>
        </w:tc>
      </w:tr>
      <w:tr>
        <w:tblPrEx>
          <w:tblCellMar>
            <w:top w:w="0" w:type="dxa"/>
            <w:left w:w="108" w:type="dxa"/>
            <w:bottom w:w="0" w:type="dxa"/>
            <w:right w:w="108" w:type="dxa"/>
          </w:tblCellMar>
        </w:tblPrEx>
        <w:trPr>
          <w:trHeight w:val="129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攀枝花市东源锌业有限责任公司地块污染治理工程项目</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续建</w:t>
            </w:r>
          </w:p>
        </w:tc>
        <w:tc>
          <w:tcPr>
            <w:tcW w:w="1661" w:type="pct"/>
            <w:tcBorders>
              <w:top w:val="nil"/>
              <w:left w:val="nil"/>
              <w:bottom w:val="single" w:color="auto" w:sz="8" w:space="0"/>
              <w:right w:val="single" w:color="auto" w:sz="8" w:space="0"/>
            </w:tcBorders>
            <w:shd w:val="clear" w:color="auto" w:fill="auto"/>
            <w:vAlign w:val="center"/>
          </w:tcPr>
          <w:p>
            <w:pPr>
              <w:widowControl/>
              <w:spacing w:line="300" w:lineRule="exact"/>
              <w:ind w:firstLine="0" w:firstLineChars="0"/>
              <w:rPr>
                <w:color w:val="000000" w:themeColor="text1"/>
                <w:kern w:val="0"/>
                <w:sz w:val="20"/>
                <w:szCs w:val="20"/>
              </w:rPr>
            </w:pPr>
            <w:r>
              <w:rPr>
                <w:color w:val="000000" w:themeColor="text1"/>
                <w:kern w:val="0"/>
                <w:sz w:val="20"/>
                <w:szCs w:val="20"/>
              </w:rPr>
              <w:t>对攀枝花市东源锌业有限公司内重金属砷、铅污染土壤1813m</w:t>
            </w:r>
            <w:r>
              <w:rPr>
                <w:color w:val="000000" w:themeColor="text1"/>
                <w:kern w:val="0"/>
                <w:sz w:val="20"/>
                <w:szCs w:val="20"/>
                <w:vertAlign w:val="superscript"/>
              </w:rPr>
              <w:t>3</w:t>
            </w:r>
            <w:r>
              <w:rPr>
                <w:color w:val="000000" w:themeColor="text1"/>
                <w:kern w:val="0"/>
                <w:sz w:val="20"/>
                <w:szCs w:val="20"/>
              </w:rPr>
              <w:t>和一般工业固废500m</w:t>
            </w:r>
            <w:r>
              <w:rPr>
                <w:color w:val="000000" w:themeColor="text1"/>
                <w:kern w:val="0"/>
                <w:sz w:val="20"/>
                <w:szCs w:val="20"/>
                <w:vertAlign w:val="superscript"/>
              </w:rPr>
              <w:t>3</w:t>
            </w:r>
            <w:r>
              <w:rPr>
                <w:color w:val="000000" w:themeColor="text1"/>
                <w:kern w:val="0"/>
                <w:sz w:val="20"/>
                <w:szCs w:val="20"/>
              </w:rPr>
              <w:t>，分别进行修复和处置。主要工作内容包括地块范围内污染土壤修复治理和固体废物处理处置工程的实施方案编制、施工组织设计、修复工程施工、验收等。</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2021-2022</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土壤和固废污染防治</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攀枝花东区高新技术产业园区管理委员会</w:t>
            </w:r>
          </w:p>
        </w:tc>
      </w:tr>
      <w:tr>
        <w:tblPrEx>
          <w:tblCellMar>
            <w:top w:w="0" w:type="dxa"/>
            <w:left w:w="108" w:type="dxa"/>
            <w:bottom w:w="0" w:type="dxa"/>
            <w:right w:w="108" w:type="dxa"/>
          </w:tblCellMar>
        </w:tblPrEx>
        <w:trPr>
          <w:trHeight w:val="1035"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21</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攀枝花市东区硫磺沟流域防洪排涝及水土流失综合治理工程</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新建</w:t>
            </w:r>
          </w:p>
        </w:tc>
        <w:tc>
          <w:tcPr>
            <w:tcW w:w="1661" w:type="pct"/>
            <w:tcBorders>
              <w:top w:val="nil"/>
              <w:left w:val="nil"/>
              <w:bottom w:val="single" w:color="auto" w:sz="8" w:space="0"/>
              <w:right w:val="single" w:color="auto" w:sz="8" w:space="0"/>
            </w:tcBorders>
            <w:shd w:val="clear" w:color="auto" w:fill="auto"/>
            <w:vAlign w:val="center"/>
          </w:tcPr>
          <w:p>
            <w:pPr>
              <w:widowControl/>
              <w:spacing w:line="300" w:lineRule="exact"/>
              <w:ind w:firstLine="0" w:firstLineChars="0"/>
              <w:rPr>
                <w:color w:val="000000" w:themeColor="text1"/>
                <w:kern w:val="0"/>
                <w:sz w:val="20"/>
                <w:szCs w:val="20"/>
              </w:rPr>
            </w:pPr>
            <w:r>
              <w:rPr>
                <w:color w:val="000000" w:themeColor="text1"/>
                <w:kern w:val="0"/>
                <w:sz w:val="20"/>
                <w:szCs w:val="20"/>
              </w:rPr>
              <w:t>沿硫磺沟疏浚行洪通道2.67公里，建设三面光排水沟渠1.2公里，修建调蓄水池10座；入江口设置排灌泵站1个；坡改梯缓冲设施及生物修复28.51公顷，沉砂池10口及配套基础设施。</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2021-2023</w:t>
            </w:r>
          </w:p>
        </w:tc>
        <w:tc>
          <w:tcPr>
            <w:tcW w:w="513" w:type="pct"/>
            <w:tcBorders>
              <w:top w:val="nil"/>
              <w:left w:val="nil"/>
              <w:bottom w:val="single" w:color="auto" w:sz="8" w:space="0"/>
              <w:right w:val="single" w:color="auto" w:sz="8" w:space="0"/>
            </w:tcBorders>
            <w:shd w:val="clear" w:color="auto" w:fill="auto"/>
            <w:vAlign w:val="center"/>
          </w:tcPr>
          <w:p>
            <w:pPr>
              <w:widowControl/>
              <w:spacing w:line="300" w:lineRule="exact"/>
              <w:ind w:firstLine="0" w:firstLineChars="0"/>
              <w:jc w:val="center"/>
              <w:rPr>
                <w:color w:val="000000" w:themeColor="text1"/>
                <w:kern w:val="0"/>
                <w:sz w:val="20"/>
                <w:szCs w:val="20"/>
              </w:rPr>
            </w:pPr>
            <w:r>
              <w:rPr>
                <w:color w:val="000000" w:themeColor="text1"/>
                <w:kern w:val="0"/>
                <w:sz w:val="20"/>
                <w:szCs w:val="20"/>
              </w:rPr>
              <w:t>水生态环境治理和保护</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区农业农村和交通水利局</w:t>
            </w:r>
          </w:p>
        </w:tc>
      </w:tr>
      <w:tr>
        <w:tblPrEx>
          <w:tblCellMar>
            <w:top w:w="0" w:type="dxa"/>
            <w:left w:w="108" w:type="dxa"/>
            <w:bottom w:w="0" w:type="dxa"/>
            <w:right w:w="108" w:type="dxa"/>
          </w:tblCellMar>
        </w:tblPrEx>
        <w:trPr>
          <w:trHeight w:val="102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22</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红火蚁防控专业化技术项目</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1.开展红火蚁工蚁数量调查。2.采用踏查方法调查红火蚁活蚁巢数量，应用GPS定位仪确定调查区域位置及调查范围，完成红火蚁发生分布图和发生情况调查报告，形成红火蚁疫情风险评估分析。3.开展红火蚁防控工作。</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2021-2023</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能力提升建设</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区农业农村和交通水利局</w:t>
            </w:r>
          </w:p>
        </w:tc>
      </w:tr>
      <w:tr>
        <w:tblPrEx>
          <w:tblCellMar>
            <w:top w:w="0" w:type="dxa"/>
            <w:left w:w="108" w:type="dxa"/>
            <w:bottom w:w="0" w:type="dxa"/>
            <w:right w:w="108" w:type="dxa"/>
          </w:tblCellMar>
        </w:tblPrEx>
        <w:trPr>
          <w:trHeight w:val="51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23</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攀枝花市东区生活污水新三年推进项目</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新建</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建设东区污水管网约51km，增加污水处理厂进水浓度，污水收集率达到</w:t>
            </w:r>
            <w:r>
              <w:rPr>
                <w:rFonts w:hint="eastAsia"/>
                <w:color w:val="000000" w:themeColor="text1"/>
                <w:kern w:val="0"/>
                <w:sz w:val="20"/>
                <w:szCs w:val="20"/>
              </w:rPr>
              <w:t>有关</w:t>
            </w:r>
            <w:r>
              <w:rPr>
                <w:color w:val="000000" w:themeColor="text1"/>
                <w:kern w:val="0"/>
                <w:sz w:val="20"/>
                <w:szCs w:val="20"/>
              </w:rPr>
              <w:t>要求</w:t>
            </w:r>
            <w:r>
              <w:rPr>
                <w:rFonts w:hint="eastAsia"/>
                <w:color w:val="000000" w:themeColor="text1"/>
                <w:kern w:val="0"/>
                <w:sz w:val="20"/>
                <w:szCs w:val="20"/>
              </w:rPr>
              <w:t>。</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2022-2023</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水生态环境治理和保护</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区住房和城乡建设局</w:t>
            </w:r>
          </w:p>
        </w:tc>
      </w:tr>
      <w:tr>
        <w:tblPrEx>
          <w:tblCellMar>
            <w:top w:w="0" w:type="dxa"/>
            <w:left w:w="108" w:type="dxa"/>
            <w:bottom w:w="0" w:type="dxa"/>
            <w:right w:w="108" w:type="dxa"/>
          </w:tblCellMar>
        </w:tblPrEx>
        <w:trPr>
          <w:trHeight w:val="75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24</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农村改厕工程及生活污水治理“千村示范工程”</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银江镇</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新建</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完成市级下达厕所卫生改造任务；完成市级下达“千村示范工程”农村生活污水治理工程建设任务。确保各村生活污水有效收集率达到60％。</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2021-2023</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水生态环境治理和保护</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区农业农村和交通水利局、东区生态环境局、银江镇</w:t>
            </w:r>
          </w:p>
        </w:tc>
      </w:tr>
      <w:tr>
        <w:tblPrEx>
          <w:tblCellMar>
            <w:top w:w="0" w:type="dxa"/>
            <w:left w:w="108" w:type="dxa"/>
            <w:bottom w:w="0" w:type="dxa"/>
            <w:right w:w="108" w:type="dxa"/>
          </w:tblCellMar>
        </w:tblPrEx>
        <w:trPr>
          <w:trHeight w:val="51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25</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高梁坪水厂新建水源工程</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新建</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新建DN600给水管道约9000米，供水规模约2万m³/d,新建供水泵站一座，实现现高梁坪生活污水饮用水源替代。</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2021-2022</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饮用水安全保障</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东区生态环境局、区住房和城乡建设局</w:t>
            </w:r>
          </w:p>
        </w:tc>
      </w:tr>
      <w:tr>
        <w:tblPrEx>
          <w:tblCellMar>
            <w:top w:w="0" w:type="dxa"/>
            <w:left w:w="108" w:type="dxa"/>
            <w:bottom w:w="0" w:type="dxa"/>
            <w:right w:w="108" w:type="dxa"/>
          </w:tblCellMar>
        </w:tblPrEx>
        <w:trPr>
          <w:trHeight w:val="102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26</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银江镇弄密村和双龙滩村安全饮水工程</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新建</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铺设DN100引水钢管1条；新建中转蓄水池1口，新建抽水站1座，架设114×7mm抽水管；新建300m³蓄水池3座，输配水管道31.873km；新建生活用水供水管道28.372km及其他配套设施。</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2021-2022</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饮用水安全保障</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银江镇</w:t>
            </w:r>
          </w:p>
        </w:tc>
      </w:tr>
      <w:tr>
        <w:tblPrEx>
          <w:tblCellMar>
            <w:top w:w="0" w:type="dxa"/>
            <w:left w:w="108" w:type="dxa"/>
            <w:bottom w:w="0" w:type="dxa"/>
            <w:right w:w="108" w:type="dxa"/>
          </w:tblCellMar>
        </w:tblPrEx>
        <w:trPr>
          <w:trHeight w:val="1275"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27</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阿署达抗旱引水与节水灌溉项目</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新建</w:t>
            </w:r>
          </w:p>
        </w:tc>
        <w:tc>
          <w:tcPr>
            <w:tcW w:w="1661" w:type="pct"/>
            <w:tcBorders>
              <w:top w:val="nil"/>
              <w:left w:val="nil"/>
              <w:bottom w:val="single" w:color="auto" w:sz="8" w:space="0"/>
              <w:right w:val="single" w:color="auto" w:sz="8" w:space="0"/>
            </w:tcBorders>
            <w:shd w:val="clear" w:color="auto" w:fill="auto"/>
            <w:vAlign w:val="center"/>
          </w:tcPr>
          <w:p>
            <w:pPr>
              <w:widowControl/>
              <w:spacing w:line="300" w:lineRule="exact"/>
              <w:ind w:firstLine="0" w:firstLineChars="0"/>
              <w:rPr>
                <w:color w:val="000000" w:themeColor="text1"/>
                <w:kern w:val="0"/>
                <w:sz w:val="20"/>
                <w:szCs w:val="20"/>
              </w:rPr>
            </w:pPr>
            <w:r>
              <w:rPr>
                <w:color w:val="000000" w:themeColor="text1"/>
                <w:kern w:val="0"/>
                <w:sz w:val="20"/>
                <w:szCs w:val="20"/>
              </w:rPr>
              <w:t>新建加压泵站3座分别为: 280m</w:t>
            </w:r>
            <w:r>
              <w:rPr>
                <w:color w:val="000000" w:themeColor="text1"/>
                <w:kern w:val="0"/>
                <w:sz w:val="20"/>
                <w:szCs w:val="20"/>
                <w:vertAlign w:val="superscript"/>
              </w:rPr>
              <w:t>3</w:t>
            </w:r>
            <w:r>
              <w:rPr>
                <w:color w:val="000000" w:themeColor="text1"/>
                <w:kern w:val="0"/>
                <w:sz w:val="20"/>
                <w:szCs w:val="20"/>
              </w:rPr>
              <w:t>/h</w:t>
            </w:r>
            <w:r>
              <w:rPr>
                <w:rFonts w:hint="eastAsia"/>
                <w:color w:val="000000" w:themeColor="text1"/>
                <w:kern w:val="0"/>
                <w:sz w:val="20"/>
                <w:szCs w:val="20"/>
              </w:rPr>
              <w:t>、</w:t>
            </w:r>
            <w:r>
              <w:rPr>
                <w:color w:val="000000" w:themeColor="text1"/>
                <w:kern w:val="0"/>
                <w:sz w:val="20"/>
                <w:szCs w:val="20"/>
              </w:rPr>
              <w:t>280m</w:t>
            </w:r>
            <w:r>
              <w:rPr>
                <w:color w:val="000000" w:themeColor="text1"/>
                <w:kern w:val="0"/>
                <w:sz w:val="20"/>
                <w:szCs w:val="20"/>
                <w:vertAlign w:val="superscript"/>
              </w:rPr>
              <w:t>3</w:t>
            </w:r>
            <w:r>
              <w:rPr>
                <w:color w:val="000000" w:themeColor="text1"/>
                <w:kern w:val="0"/>
                <w:sz w:val="20"/>
                <w:szCs w:val="20"/>
              </w:rPr>
              <w:t>/h、 120m</w:t>
            </w:r>
            <w:r>
              <w:rPr>
                <w:color w:val="000000" w:themeColor="text1"/>
                <w:kern w:val="0"/>
                <w:sz w:val="20"/>
                <w:szCs w:val="20"/>
                <w:vertAlign w:val="superscript"/>
              </w:rPr>
              <w:t>3</w:t>
            </w:r>
            <w:r>
              <w:rPr>
                <w:color w:val="000000" w:themeColor="text1"/>
                <w:kern w:val="0"/>
                <w:sz w:val="20"/>
                <w:szCs w:val="20"/>
              </w:rPr>
              <w:t>/h; 新建封闭水池3座分别为: 500m</w:t>
            </w:r>
            <w:r>
              <w:rPr>
                <w:color w:val="000000" w:themeColor="text1"/>
                <w:kern w:val="0"/>
                <w:sz w:val="20"/>
                <w:szCs w:val="20"/>
                <w:vertAlign w:val="superscript"/>
              </w:rPr>
              <w:t>3</w:t>
            </w:r>
            <w:r>
              <w:rPr>
                <w:color w:val="000000" w:themeColor="text1"/>
                <w:kern w:val="0"/>
                <w:sz w:val="20"/>
                <w:szCs w:val="20"/>
              </w:rPr>
              <w:t>、1000m</w:t>
            </w:r>
            <w:r>
              <w:rPr>
                <w:color w:val="000000" w:themeColor="text1"/>
                <w:kern w:val="0"/>
                <w:sz w:val="20"/>
                <w:szCs w:val="20"/>
                <w:vertAlign w:val="superscript"/>
              </w:rPr>
              <w:t>3</w:t>
            </w:r>
            <w:r>
              <w:rPr>
                <w:color w:val="000000" w:themeColor="text1"/>
                <w:kern w:val="0"/>
                <w:sz w:val="20"/>
                <w:szCs w:val="20"/>
              </w:rPr>
              <w:t>、1500m</w:t>
            </w:r>
            <w:r>
              <w:rPr>
                <w:color w:val="000000" w:themeColor="text1"/>
                <w:kern w:val="0"/>
                <w:sz w:val="20"/>
                <w:szCs w:val="20"/>
                <w:vertAlign w:val="superscript"/>
              </w:rPr>
              <w:t>3</w:t>
            </w:r>
            <w:r>
              <w:rPr>
                <w:color w:val="000000" w:themeColor="text1"/>
                <w:kern w:val="0"/>
                <w:sz w:val="20"/>
                <w:szCs w:val="20"/>
              </w:rPr>
              <w:t>;输水管道DN500管网约1600米、DN30</w:t>
            </w:r>
            <w:r>
              <w:rPr>
                <w:rFonts w:hint="eastAsia"/>
                <w:color w:val="000000" w:themeColor="text1"/>
                <w:kern w:val="0"/>
                <w:sz w:val="20"/>
                <w:szCs w:val="20"/>
              </w:rPr>
              <w:t>0</w:t>
            </w:r>
            <w:r>
              <w:rPr>
                <w:color w:val="000000" w:themeColor="text1"/>
                <w:kern w:val="0"/>
                <w:sz w:val="20"/>
                <w:szCs w:val="20"/>
              </w:rPr>
              <w:t>管网约3700米、DN200 管网约4000米;自动控制系统、计量系统及</w:t>
            </w:r>
            <w:r>
              <w:rPr>
                <w:rFonts w:hint="eastAsia"/>
                <w:color w:val="000000" w:themeColor="text1"/>
                <w:kern w:val="0"/>
                <w:sz w:val="20"/>
                <w:szCs w:val="20"/>
              </w:rPr>
              <w:t>有关</w:t>
            </w:r>
            <w:r>
              <w:rPr>
                <w:color w:val="000000" w:themeColor="text1"/>
                <w:kern w:val="0"/>
                <w:sz w:val="20"/>
                <w:szCs w:val="20"/>
              </w:rPr>
              <w:t>配套设施设备等，解决阿署达1万亩果园灌溉。</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2020-2022</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水生态环境治理和保护</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银江镇</w:t>
            </w:r>
          </w:p>
        </w:tc>
      </w:tr>
      <w:tr>
        <w:tblPrEx>
          <w:tblCellMar>
            <w:top w:w="0" w:type="dxa"/>
            <w:left w:w="108" w:type="dxa"/>
            <w:bottom w:w="0" w:type="dxa"/>
            <w:right w:w="108" w:type="dxa"/>
          </w:tblCellMar>
        </w:tblPrEx>
        <w:trPr>
          <w:trHeight w:val="51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28</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建立非煤矿山分级分类监管体系</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新建</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完成非煤矿山安全风险评估和安全风险分级分布图,建立尾矿库、干堆场等重点部位在线监测视频系统</w:t>
            </w:r>
            <w:r>
              <w:rPr>
                <w:rFonts w:hint="eastAsia"/>
                <w:color w:val="000000" w:themeColor="text1"/>
                <w:kern w:val="0"/>
                <w:sz w:val="20"/>
                <w:szCs w:val="20"/>
              </w:rPr>
              <w:t>。</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2021-2025</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能力提升建设</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区应急管理局</w:t>
            </w:r>
          </w:p>
        </w:tc>
      </w:tr>
      <w:tr>
        <w:tblPrEx>
          <w:tblCellMar>
            <w:top w:w="0" w:type="dxa"/>
            <w:left w:w="108" w:type="dxa"/>
            <w:bottom w:w="0" w:type="dxa"/>
            <w:right w:w="108" w:type="dxa"/>
          </w:tblCellMar>
        </w:tblPrEx>
        <w:trPr>
          <w:trHeight w:val="495"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29</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安全清单制管理</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新建</w:t>
            </w:r>
          </w:p>
        </w:tc>
        <w:tc>
          <w:tcPr>
            <w:tcW w:w="1661" w:type="pct"/>
            <w:tcBorders>
              <w:top w:val="nil"/>
              <w:left w:val="nil"/>
              <w:bottom w:val="single" w:color="auto" w:sz="8" w:space="0"/>
              <w:right w:val="single" w:color="auto" w:sz="8" w:space="0"/>
            </w:tcBorders>
            <w:shd w:val="clear" w:color="auto" w:fill="auto"/>
            <w:vAlign w:val="center"/>
          </w:tcPr>
          <w:p>
            <w:pPr>
              <w:widowControl/>
              <w:spacing w:line="300" w:lineRule="exact"/>
              <w:ind w:firstLine="0" w:firstLineChars="0"/>
              <w:rPr>
                <w:color w:val="000000" w:themeColor="text1"/>
                <w:kern w:val="0"/>
                <w:sz w:val="20"/>
                <w:szCs w:val="20"/>
              </w:rPr>
            </w:pPr>
            <w:r>
              <w:rPr>
                <w:color w:val="000000" w:themeColor="text1"/>
                <w:kern w:val="0"/>
                <w:sz w:val="20"/>
                <w:szCs w:val="20"/>
              </w:rPr>
              <w:t>建立完善安全清单制管理信息系统，实现对重点企业、重点部位、重点岗位点对点监控。</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2021-2025</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能力提升建设</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区应急管理局</w:t>
            </w:r>
          </w:p>
        </w:tc>
      </w:tr>
      <w:tr>
        <w:tblPrEx>
          <w:tblCellMar>
            <w:top w:w="0" w:type="dxa"/>
            <w:left w:w="108" w:type="dxa"/>
            <w:bottom w:w="0" w:type="dxa"/>
            <w:right w:w="108" w:type="dxa"/>
          </w:tblCellMar>
        </w:tblPrEx>
        <w:trPr>
          <w:trHeight w:val="126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3</w:t>
            </w:r>
            <w:r>
              <w:rPr>
                <w:rFonts w:hint="eastAsia"/>
                <w:color w:val="000000" w:themeColor="text1"/>
                <w:kern w:val="0"/>
                <w:sz w:val="20"/>
                <w:szCs w:val="20"/>
              </w:rPr>
              <w:t>0</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攀枝花市东区综合应急救援基地二期建设项目</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改造</w:t>
            </w:r>
          </w:p>
        </w:tc>
        <w:tc>
          <w:tcPr>
            <w:tcW w:w="1661" w:type="pct"/>
            <w:tcBorders>
              <w:top w:val="nil"/>
              <w:left w:val="nil"/>
              <w:bottom w:val="single" w:color="auto" w:sz="8" w:space="0"/>
              <w:right w:val="single" w:color="auto" w:sz="8" w:space="0"/>
            </w:tcBorders>
            <w:shd w:val="clear" w:color="auto" w:fill="auto"/>
            <w:vAlign w:val="center"/>
          </w:tcPr>
          <w:p>
            <w:pPr>
              <w:widowControl/>
              <w:spacing w:line="300" w:lineRule="exact"/>
              <w:ind w:firstLine="0" w:firstLineChars="0"/>
              <w:rPr>
                <w:color w:val="000000" w:themeColor="text1"/>
                <w:kern w:val="0"/>
                <w:sz w:val="20"/>
                <w:szCs w:val="20"/>
              </w:rPr>
            </w:pPr>
            <w:r>
              <w:rPr>
                <w:color w:val="000000" w:themeColor="text1"/>
                <w:kern w:val="0"/>
                <w:sz w:val="20"/>
                <w:szCs w:val="20"/>
              </w:rPr>
              <w:t>项目总用地面积9925平方米，改造装修总建筑面积2624.62m</w:t>
            </w:r>
            <w:r>
              <w:rPr>
                <w:color w:val="000000" w:themeColor="text1"/>
                <w:kern w:val="0"/>
                <w:sz w:val="20"/>
                <w:szCs w:val="20"/>
                <w:vertAlign w:val="superscript"/>
              </w:rPr>
              <w:t>2</w:t>
            </w:r>
            <w:r>
              <w:rPr>
                <w:color w:val="000000" w:themeColor="text1"/>
                <w:kern w:val="0"/>
                <w:sz w:val="20"/>
                <w:szCs w:val="20"/>
              </w:rPr>
              <w:t>，其中综合楼改造装修建筑面积1296.14m</w:t>
            </w:r>
            <w:r>
              <w:rPr>
                <w:color w:val="000000" w:themeColor="text1"/>
                <w:kern w:val="0"/>
                <w:sz w:val="20"/>
                <w:szCs w:val="20"/>
                <w:vertAlign w:val="superscript"/>
              </w:rPr>
              <w:t>2</w:t>
            </w:r>
            <w:r>
              <w:rPr>
                <w:color w:val="000000" w:themeColor="text1"/>
                <w:kern w:val="0"/>
                <w:sz w:val="20"/>
                <w:szCs w:val="20"/>
              </w:rPr>
              <w:t>，宿舍楼改造装修建筑面积1328.48m</w:t>
            </w:r>
            <w:r>
              <w:rPr>
                <w:color w:val="000000" w:themeColor="text1"/>
                <w:kern w:val="0"/>
                <w:sz w:val="20"/>
                <w:szCs w:val="20"/>
                <w:vertAlign w:val="superscript"/>
              </w:rPr>
              <w:t>2</w:t>
            </w:r>
            <w:r>
              <w:rPr>
                <w:color w:val="000000" w:themeColor="text1"/>
                <w:kern w:val="0"/>
                <w:sz w:val="20"/>
                <w:szCs w:val="20"/>
              </w:rPr>
              <w:t>；室外场坪整治约6000平方米。建设内容包括室外工程、综合楼改造装修、宿舍楼改造装修和其它配套设施。</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2022</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能力提升建设</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区应急管理局</w:t>
            </w:r>
          </w:p>
        </w:tc>
      </w:tr>
      <w:tr>
        <w:tblPrEx>
          <w:tblCellMar>
            <w:top w:w="0" w:type="dxa"/>
            <w:left w:w="108" w:type="dxa"/>
            <w:bottom w:w="0" w:type="dxa"/>
            <w:right w:w="108" w:type="dxa"/>
          </w:tblCellMar>
        </w:tblPrEx>
        <w:trPr>
          <w:trHeight w:val="1275"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3</w:t>
            </w:r>
            <w:r>
              <w:rPr>
                <w:rFonts w:hint="eastAsia"/>
                <w:color w:val="000000" w:themeColor="text1"/>
                <w:kern w:val="0"/>
                <w:sz w:val="20"/>
                <w:szCs w:val="20"/>
              </w:rPr>
              <w:t>1</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循环经济产业园建设</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新建</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含一个年产钛精矿100万吨、钛中矿30万吨的选矿产业集中发展区、一个年消耗尾矿、尾砂等固废资源600万吨，年销售10亿元以上的绿色建筑建材产业集群、一套总投资约6亿元、年运输能力2500万吨的绿色运输系统、配套固废综合渣场。</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2022-2025</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土壤和固废污染防治</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区经济和信息化局</w:t>
            </w:r>
          </w:p>
        </w:tc>
      </w:tr>
      <w:tr>
        <w:tblPrEx>
          <w:tblCellMar>
            <w:top w:w="0" w:type="dxa"/>
            <w:left w:w="108" w:type="dxa"/>
            <w:bottom w:w="0" w:type="dxa"/>
            <w:right w:w="108" w:type="dxa"/>
          </w:tblCellMar>
        </w:tblPrEx>
        <w:trPr>
          <w:trHeight w:val="1515"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3</w:t>
            </w:r>
            <w:r>
              <w:rPr>
                <w:rFonts w:hint="eastAsia"/>
                <w:color w:val="000000" w:themeColor="text1"/>
                <w:kern w:val="0"/>
                <w:sz w:val="20"/>
                <w:szCs w:val="20"/>
              </w:rPr>
              <w:t>2</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年处理40万吨废钢加工中心及报废机动车回收拆解项目</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新建</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项目位于弄弄坪狗熊窝驰安驾校旁边</w:t>
            </w:r>
            <w:r>
              <w:rPr>
                <w:rFonts w:hint="eastAsia"/>
                <w:color w:val="000000" w:themeColor="text1"/>
                <w:kern w:val="0"/>
                <w:sz w:val="20"/>
                <w:szCs w:val="20"/>
              </w:rPr>
              <w:t>，</w:t>
            </w:r>
            <w:r>
              <w:rPr>
                <w:color w:val="000000" w:themeColor="text1"/>
                <w:kern w:val="0"/>
                <w:sz w:val="20"/>
                <w:szCs w:val="20"/>
              </w:rPr>
              <w:t>由攀枝花亘盛再生资源</w:t>
            </w:r>
            <w:r>
              <w:rPr>
                <w:rFonts w:hint="eastAsia"/>
                <w:color w:val="000000" w:themeColor="text1"/>
                <w:kern w:val="0"/>
                <w:sz w:val="20"/>
                <w:szCs w:val="20"/>
              </w:rPr>
              <w:t>综</w:t>
            </w:r>
            <w:r>
              <w:rPr>
                <w:color w:val="000000" w:themeColor="text1"/>
                <w:kern w:val="0"/>
                <w:sz w:val="20"/>
                <w:szCs w:val="20"/>
              </w:rPr>
              <w:t>合利用有限公司新建40万吨度钢铁加工中心项目，项目总投资8000万元，总占地面积约60亩。项目投产后，每年可实现回收分拣加工配送各类废钢铁约40万吨</w:t>
            </w:r>
            <w:r>
              <w:rPr>
                <w:rFonts w:hint="eastAsia"/>
                <w:color w:val="000000" w:themeColor="text1"/>
                <w:kern w:val="0"/>
                <w:sz w:val="20"/>
                <w:szCs w:val="20"/>
              </w:rPr>
              <w:t>，</w:t>
            </w:r>
            <w:r>
              <w:rPr>
                <w:kern w:val="0"/>
                <w:sz w:val="20"/>
                <w:szCs w:val="20"/>
              </w:rPr>
              <w:t>建立四川省省内一流的回收</w:t>
            </w:r>
            <w:r>
              <w:rPr>
                <w:rFonts w:hint="eastAsia"/>
                <w:kern w:val="0"/>
                <w:sz w:val="20"/>
                <w:szCs w:val="20"/>
              </w:rPr>
              <w:t>、</w:t>
            </w:r>
            <w:r>
              <w:rPr>
                <w:kern w:val="0"/>
                <w:sz w:val="20"/>
                <w:szCs w:val="20"/>
              </w:rPr>
              <w:t>分拣</w:t>
            </w:r>
            <w:r>
              <w:rPr>
                <w:rFonts w:hint="eastAsia"/>
                <w:kern w:val="0"/>
                <w:sz w:val="20"/>
                <w:szCs w:val="20"/>
              </w:rPr>
              <w:t>、</w:t>
            </w:r>
            <w:r>
              <w:rPr>
                <w:kern w:val="0"/>
                <w:sz w:val="20"/>
                <w:szCs w:val="20"/>
              </w:rPr>
              <w:t>加工、配送为一体的废钢铁回收加工配送基地</w:t>
            </w:r>
            <w:r>
              <w:rPr>
                <w:rFonts w:hint="eastAsia"/>
                <w:kern w:val="0"/>
                <w:sz w:val="20"/>
                <w:szCs w:val="20"/>
              </w:rPr>
              <w:t>。</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2022-202</w:t>
            </w:r>
            <w:r>
              <w:rPr>
                <w:rFonts w:hint="eastAsia"/>
                <w:color w:val="000000" w:themeColor="text1"/>
                <w:kern w:val="0"/>
                <w:sz w:val="20"/>
                <w:szCs w:val="20"/>
              </w:rPr>
              <w:t>5</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土壤和固废污染防治</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区经济和信息化局</w:t>
            </w:r>
          </w:p>
        </w:tc>
      </w:tr>
      <w:tr>
        <w:tblPrEx>
          <w:tblCellMar>
            <w:top w:w="0" w:type="dxa"/>
            <w:left w:w="108" w:type="dxa"/>
            <w:bottom w:w="0" w:type="dxa"/>
            <w:right w:w="108" w:type="dxa"/>
          </w:tblCellMar>
        </w:tblPrEx>
        <w:trPr>
          <w:trHeight w:val="445"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3</w:t>
            </w:r>
            <w:r>
              <w:rPr>
                <w:rFonts w:hint="eastAsia"/>
                <w:color w:val="000000" w:themeColor="text1"/>
                <w:kern w:val="0"/>
                <w:sz w:val="20"/>
                <w:szCs w:val="20"/>
              </w:rPr>
              <w:t>3</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攀枝花钒厂五氧化二钒提质升级改造项目</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改造</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以攀钢高炉冶炼副产的钒渣，通过焙烧、浸出产生的浸出液为原料，采用重溶结晶工艺技术路线，提质升级改造一条高纯五氧化二钒生产线及配套公辅设施，新增约3000余台套设备，形成1000t/a高纯五氧化二钒生产能力，可利用钒渣约1600</w:t>
            </w:r>
            <w:r>
              <w:rPr>
                <w:rFonts w:hint="eastAsia"/>
                <w:color w:val="000000" w:themeColor="text1"/>
                <w:kern w:val="0"/>
                <w:sz w:val="20"/>
                <w:szCs w:val="20"/>
              </w:rPr>
              <w:t>0</w:t>
            </w:r>
            <w:r>
              <w:rPr>
                <w:color w:val="000000" w:themeColor="text1"/>
                <w:kern w:val="0"/>
                <w:sz w:val="20"/>
                <w:szCs w:val="20"/>
              </w:rPr>
              <w:t>吨/年。</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2021-2023</w:t>
            </w:r>
            <w:r>
              <w:rPr>
                <w:color w:val="000000" w:themeColor="text1"/>
                <w:kern w:val="0"/>
                <w:sz w:val="21"/>
                <w:szCs w:val="21"/>
              </w:rPr>
              <w:t> </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绿色低碳发展</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区发展和改革局</w:t>
            </w:r>
          </w:p>
        </w:tc>
      </w:tr>
      <w:tr>
        <w:tblPrEx>
          <w:tblCellMar>
            <w:top w:w="0" w:type="dxa"/>
            <w:left w:w="108" w:type="dxa"/>
            <w:bottom w:w="0" w:type="dxa"/>
            <w:right w:w="108" w:type="dxa"/>
          </w:tblCellMar>
        </w:tblPrEx>
        <w:trPr>
          <w:trHeight w:val="300" w:hRule="atLeast"/>
        </w:trPr>
        <w:tc>
          <w:tcPr>
            <w:tcW w:w="250"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3</w:t>
            </w:r>
            <w:r>
              <w:rPr>
                <w:rFonts w:hint="eastAsia"/>
                <w:color w:val="000000" w:themeColor="text1"/>
                <w:kern w:val="0"/>
                <w:sz w:val="20"/>
                <w:szCs w:val="20"/>
              </w:rPr>
              <w:t>4</w:t>
            </w:r>
          </w:p>
        </w:tc>
        <w:tc>
          <w:tcPr>
            <w:tcW w:w="77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城市公园打造</w:t>
            </w:r>
          </w:p>
        </w:tc>
        <w:tc>
          <w:tcPr>
            <w:tcW w:w="40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东区</w:t>
            </w:r>
          </w:p>
        </w:tc>
        <w:tc>
          <w:tcPr>
            <w:tcW w:w="41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改造</w:t>
            </w:r>
          </w:p>
        </w:tc>
        <w:tc>
          <w:tcPr>
            <w:tcW w:w="166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color w:val="000000" w:themeColor="text1"/>
                <w:kern w:val="0"/>
                <w:sz w:val="20"/>
                <w:szCs w:val="20"/>
              </w:rPr>
            </w:pPr>
            <w:r>
              <w:rPr>
                <w:color w:val="000000" w:themeColor="text1"/>
                <w:kern w:val="0"/>
                <w:sz w:val="20"/>
                <w:szCs w:val="20"/>
              </w:rPr>
              <w:t>通过城市更新等方式打造“口袋公园”</w:t>
            </w:r>
            <w:r>
              <w:rPr>
                <w:rFonts w:hint="eastAsia"/>
                <w:color w:val="000000" w:themeColor="text1"/>
                <w:kern w:val="0"/>
                <w:sz w:val="20"/>
                <w:szCs w:val="20"/>
              </w:rPr>
              <w:t>。</w:t>
            </w:r>
          </w:p>
        </w:tc>
        <w:tc>
          <w:tcPr>
            <w:tcW w:w="40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2021-2023</w:t>
            </w:r>
          </w:p>
        </w:tc>
        <w:tc>
          <w:tcPr>
            <w:tcW w:w="51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绿色低碳发展</w:t>
            </w:r>
          </w:p>
        </w:tc>
        <w:tc>
          <w:tcPr>
            <w:tcW w:w="58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color w:val="000000" w:themeColor="text1"/>
                <w:kern w:val="0"/>
                <w:sz w:val="20"/>
                <w:szCs w:val="20"/>
              </w:rPr>
            </w:pPr>
            <w:r>
              <w:rPr>
                <w:color w:val="000000" w:themeColor="text1"/>
                <w:kern w:val="0"/>
                <w:sz w:val="20"/>
                <w:szCs w:val="20"/>
              </w:rPr>
              <w:t>区住房和城乡建设局</w:t>
            </w:r>
          </w:p>
        </w:tc>
      </w:tr>
    </w:tbl>
    <w:p>
      <w:pPr>
        <w:pStyle w:val="14"/>
        <w:ind w:firstLine="0" w:firstLineChars="0"/>
        <w:rPr>
          <w:rFonts w:eastAsia="仿宋"/>
          <w:b/>
          <w:bCs/>
          <w:color w:val="000000" w:themeColor="text1"/>
          <w:szCs w:val="30"/>
        </w:rPr>
        <w:sectPr>
          <w:footerReference r:id="rId14" w:type="first"/>
          <w:footerReference r:id="rId13" w:type="default"/>
          <w:pgSz w:w="16838" w:h="11906" w:orient="landscape"/>
          <w:pgMar w:top="2098" w:right="1474" w:bottom="1985" w:left="1588" w:header="851" w:footer="992" w:gutter="0"/>
          <w:cols w:space="720" w:num="1"/>
          <w:docGrid w:type="linesAndChars" w:linePitch="312" w:charSpace="0"/>
        </w:sectPr>
      </w:pPr>
    </w:p>
    <w:p>
      <w:pPr>
        <w:pStyle w:val="2"/>
        <w:ind w:firstLine="600"/>
      </w:pPr>
    </w:p>
    <w:sectPr>
      <w:headerReference r:id="rId15" w:type="default"/>
      <w:footerReference r:id="rId16" w:type="default"/>
      <w:pgSz w:w="11906" w:h="16838"/>
      <w:pgMar w:top="2098" w:right="1474" w:bottom="1984" w:left="1587"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黑体简体">
    <w:altName w:val="Arial Unicode MS"/>
    <w:panose1 w:val="00000000000000000000"/>
    <w:charset w:val="86"/>
    <w:family w:val="script"/>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方正仿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w:pict>
        <v:shape id="文本框 4" o:spid="_x0000_s4102" o:spt="202" type="#_x0000_t202" style="position:absolute;left:0pt;margin-top:0pt;height:144pt;width:144pt;mso-position-horizontal:outside;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18"/>
                  <w:ind w:firstLine="5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w:t>
                </w:r>
              </w:p>
            </w:txbxContent>
          </v:textbox>
        </v:shape>
      </w:pict>
    </w:r>
  </w:p>
  <w:p>
    <w:pPr>
      <w:pStyle w:val="18"/>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w:pict>
        <v:shape id="文本框 1032" o:spid="_x0000_s4101" o:spt="202" type="#_x0000_t202" style="position:absolute;left:0pt;margin-top:0pt;height:144pt;width:144pt;mso-position-horizontal:outside;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MowZoe3AQAAVwMAAA4AAAAAAAAAAAAAAAAALgIAAGRycy9lMm9Eb2MueG1s&#10;UEsBAi0AFAAGAAgAAAAhAAxK8O7WAAAABQEAAA8AAAAAAAAAAAAAAAAAEQQAAGRycy9kb3ducmV2&#10;LnhtbFBLBQYAAAAABAAEAPMAAAAUBQAAAAA=&#10;">
          <v:path/>
          <v:fill on="f" focussize="0,0"/>
          <v:stroke on="f" joinstyle="miter"/>
          <v:imagedata o:title=""/>
          <o:lock v:ext="edit"/>
          <v:textbox inset="0mm,0mm,0mm,0mm" style="mso-fit-shape-to-text:t;">
            <w:txbxContent>
              <w:p>
                <w:pPr>
                  <w:pStyle w:val="18"/>
                  <w:ind w:firstLine="560"/>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pPr>
      <w:pStyle w:val="18"/>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80"/>
      <w:jc w:val="right"/>
      <w:rPr>
        <w:rFonts w:asciiTheme="minorEastAsia" w:hAnsiTheme="minorEastAsia" w:eastAsiaTheme="minorEastAsia"/>
        <w:sz w:val="24"/>
        <w:szCs w:val="24"/>
      </w:rPr>
    </w:pPr>
    <w:r>
      <w:rPr>
        <w:sz w:val="24"/>
      </w:rPr>
      <w:pict>
        <v:shape id="文本框 6" o:spid="_x0000_s4100" o:spt="202" type="#_x0000_t202" style="position:absolute;left:0pt;margin-top:0pt;height:144pt;width:144pt;mso-position-horizontal:outside;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pPr>
                  <w:pStyle w:val="18"/>
                  <w:ind w:firstLine="560"/>
                  <w:jc w:val="right"/>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w:pict>
        <v:shape id="Text Box 1030" o:spid="_x0000_s4099" o:spt="202" type="#_x0000_t202" style="position:absolute;left:0pt;margin-top:0pt;height:15.5pt;width:37.5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">
          <v:path/>
          <v:fill on="f" focussize="0,0"/>
          <v:stroke on="f" joinstyle="miter"/>
          <v:imagedata o:title=""/>
          <o:lock v:ext="edit"/>
          <v:textbox inset="0mm,0mm,0mm,0mm" style="mso-fit-shape-to-text:t;">
            <w:txbxContent>
              <w:p>
                <w:pPr>
                  <w:pStyle w:val="18"/>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w:pict>
        <v:shape id="Text Box 102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GyQ8PrqAQAAzQMAAA4AAAAAAAAAAAAAAAAALgIAAGRycy9lMm9Eb2MueG1sUEsBAi0A&#10;FAAGAAgAAAAhAAxK8O7WAAAABQEAAA8AAAAAAAAAAAAAAAAARAQAAGRycy9kb3ducmV2LnhtbFBL&#10;BQYAAAAABAAEAPMAAABHBQAAAAA=&#10;">
          <v:path/>
          <v:fill on="f" focussize="0,0"/>
          <v:stroke on="f" joinstyle="miter"/>
          <v:imagedata o:title=""/>
          <o:lock v:ext="edit"/>
          <v:textbox inset="0mm,0mm,0mm,0mm" style="mso-fit-shape-to-text:t;">
            <w:txbxContent>
              <w:p>
                <w:pPr>
                  <w:pStyle w:val="18"/>
                  <w:ind w:firstLine="360"/>
                </w:pPr>
                <w:r>
                  <w:rPr>
                    <w:rFonts w:hint="eastAsia"/>
                  </w:rPr>
                  <w:fldChar w:fldCharType="begin"/>
                </w:r>
                <w:r>
                  <w:instrText xml:space="preserve"> PAGE  \* MERGEFORMAT </w:instrText>
                </w:r>
                <w:r>
                  <w:rPr>
                    <w:rFonts w:hint="eastAsia"/>
                  </w:rPr>
                  <w:fldChar w:fldCharType="separate"/>
                </w:r>
                <w:r>
                  <w:rPr>
                    <w:rFonts w:hint="eastAsia"/>
                  </w:rPr>
                  <w:t>- 1 -</w:t>
                </w:r>
                <w:r>
                  <w:rPr>
                    <w:rFonts w:hint="eastAsia"/>
                  </w:rPr>
                  <w:fldChar w:fldCharType="end"/>
                </w:r>
              </w:p>
            </w:txbxContent>
          </v:textbox>
        </v:shape>
      </w:pict>
    </w:r>
    <w:r>
      <w:pict>
        <v:shape id="Text Box 1029"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MAuv6nqAQAAzQMAAA4AAAAAAAAAAAAAAAAALgIAAGRycy9lMm9Eb2MueG1sUEsBAi0A&#10;FAAGAAgAAAAhAAxK8O7WAAAABQEAAA8AAAAAAAAAAAAAAAAARAQAAGRycy9kb3ducmV2LnhtbFBL&#10;BQYAAAAABAAEAPMAAABHBQAAAAA=&#10;">
          <v:path/>
          <v:fill on="f" focussize="0,0"/>
          <v:stroke on="f" joinstyle="miter"/>
          <v:imagedata o:title=""/>
          <o:lock v:ext="edit"/>
          <v:textbox inset="0mm,0mm,0mm,0mm" style="mso-fit-shape-to-text:t;">
            <w:txbxContent>
              <w:p>
                <w:pPr>
                  <w:pStyle w:val="18"/>
                  <w:ind w:firstLine="360"/>
                </w:pPr>
                <w:r>
                  <w:rPr>
                    <w:rFonts w:hint="eastAsia"/>
                  </w:rPr>
                  <w:t>-36-</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p>
  <w:p>
    <w:pPr>
      <w:pStyle w:val="18"/>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614E3"/>
    <w:multiLevelType w:val="multilevel"/>
    <w:tmpl w:val="954614E3"/>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hNzMxOTdmOTE5ODM1YWIyZTEyNmE5OTM2ZmMzMWMifQ=="/>
  </w:docVars>
  <w:rsids>
    <w:rsidRoot w:val="000E0C76"/>
    <w:rsid w:val="00001EAF"/>
    <w:rsid w:val="00001EC1"/>
    <w:rsid w:val="00004C8E"/>
    <w:rsid w:val="00005A39"/>
    <w:rsid w:val="00006967"/>
    <w:rsid w:val="00011C83"/>
    <w:rsid w:val="00012AC0"/>
    <w:rsid w:val="00013E80"/>
    <w:rsid w:val="00020DEE"/>
    <w:rsid w:val="000227F1"/>
    <w:rsid w:val="00023102"/>
    <w:rsid w:val="000269E0"/>
    <w:rsid w:val="00034A90"/>
    <w:rsid w:val="00043A02"/>
    <w:rsid w:val="000458AC"/>
    <w:rsid w:val="00045B8F"/>
    <w:rsid w:val="000508D2"/>
    <w:rsid w:val="000530F2"/>
    <w:rsid w:val="0005443E"/>
    <w:rsid w:val="00055F53"/>
    <w:rsid w:val="00056206"/>
    <w:rsid w:val="00057D12"/>
    <w:rsid w:val="0006057B"/>
    <w:rsid w:val="00065537"/>
    <w:rsid w:val="00066523"/>
    <w:rsid w:val="0007064F"/>
    <w:rsid w:val="0007149D"/>
    <w:rsid w:val="00082E69"/>
    <w:rsid w:val="00087C63"/>
    <w:rsid w:val="000906CF"/>
    <w:rsid w:val="00091A45"/>
    <w:rsid w:val="00092BB5"/>
    <w:rsid w:val="000947A1"/>
    <w:rsid w:val="00095816"/>
    <w:rsid w:val="000960AE"/>
    <w:rsid w:val="00097261"/>
    <w:rsid w:val="000A4033"/>
    <w:rsid w:val="000A5BD9"/>
    <w:rsid w:val="000A6CF5"/>
    <w:rsid w:val="000B24C6"/>
    <w:rsid w:val="000B3486"/>
    <w:rsid w:val="000B6047"/>
    <w:rsid w:val="000C4C52"/>
    <w:rsid w:val="000D1085"/>
    <w:rsid w:val="000E0C76"/>
    <w:rsid w:val="000E1119"/>
    <w:rsid w:val="000E4B2B"/>
    <w:rsid w:val="000E5708"/>
    <w:rsid w:val="000F2826"/>
    <w:rsid w:val="000F2C62"/>
    <w:rsid w:val="000F414C"/>
    <w:rsid w:val="000F7C7A"/>
    <w:rsid w:val="001059E0"/>
    <w:rsid w:val="00106D6D"/>
    <w:rsid w:val="00112955"/>
    <w:rsid w:val="00116337"/>
    <w:rsid w:val="001172E8"/>
    <w:rsid w:val="00120971"/>
    <w:rsid w:val="00122B6F"/>
    <w:rsid w:val="001231E6"/>
    <w:rsid w:val="00131554"/>
    <w:rsid w:val="00131EF8"/>
    <w:rsid w:val="001337D6"/>
    <w:rsid w:val="00134A87"/>
    <w:rsid w:val="0013751B"/>
    <w:rsid w:val="00141832"/>
    <w:rsid w:val="00144275"/>
    <w:rsid w:val="001452C3"/>
    <w:rsid w:val="00145FE7"/>
    <w:rsid w:val="001502B3"/>
    <w:rsid w:val="001514E4"/>
    <w:rsid w:val="0015175D"/>
    <w:rsid w:val="00160506"/>
    <w:rsid w:val="00166457"/>
    <w:rsid w:val="00170D1D"/>
    <w:rsid w:val="0017102A"/>
    <w:rsid w:val="00173C7C"/>
    <w:rsid w:val="00176A94"/>
    <w:rsid w:val="00183E70"/>
    <w:rsid w:val="0018629B"/>
    <w:rsid w:val="001976BC"/>
    <w:rsid w:val="001B0C8A"/>
    <w:rsid w:val="001B15C6"/>
    <w:rsid w:val="001B338E"/>
    <w:rsid w:val="001B539C"/>
    <w:rsid w:val="001C3583"/>
    <w:rsid w:val="001C366C"/>
    <w:rsid w:val="001D1193"/>
    <w:rsid w:val="001D3F58"/>
    <w:rsid w:val="001E7016"/>
    <w:rsid w:val="001E72AF"/>
    <w:rsid w:val="001F00E1"/>
    <w:rsid w:val="001F06AD"/>
    <w:rsid w:val="001F1B50"/>
    <w:rsid w:val="001F6E91"/>
    <w:rsid w:val="001F7E28"/>
    <w:rsid w:val="00202475"/>
    <w:rsid w:val="002048C9"/>
    <w:rsid w:val="00204E55"/>
    <w:rsid w:val="00216A57"/>
    <w:rsid w:val="00221348"/>
    <w:rsid w:val="00221938"/>
    <w:rsid w:val="0022554F"/>
    <w:rsid w:val="002352AB"/>
    <w:rsid w:val="00241F0E"/>
    <w:rsid w:val="00243FCF"/>
    <w:rsid w:val="002443A4"/>
    <w:rsid w:val="00244515"/>
    <w:rsid w:val="002471FA"/>
    <w:rsid w:val="00251668"/>
    <w:rsid w:val="002567E4"/>
    <w:rsid w:val="00265AB5"/>
    <w:rsid w:val="002704F2"/>
    <w:rsid w:val="002709B3"/>
    <w:rsid w:val="00271D67"/>
    <w:rsid w:val="00271E72"/>
    <w:rsid w:val="0027320C"/>
    <w:rsid w:val="00280923"/>
    <w:rsid w:val="00281C93"/>
    <w:rsid w:val="002834C5"/>
    <w:rsid w:val="00291EC6"/>
    <w:rsid w:val="002935B6"/>
    <w:rsid w:val="002A0911"/>
    <w:rsid w:val="002A1507"/>
    <w:rsid w:val="002A683A"/>
    <w:rsid w:val="002A6BBC"/>
    <w:rsid w:val="002B0630"/>
    <w:rsid w:val="002B1167"/>
    <w:rsid w:val="002B19BA"/>
    <w:rsid w:val="002B42FA"/>
    <w:rsid w:val="002B505B"/>
    <w:rsid w:val="002B6D47"/>
    <w:rsid w:val="002B7E5C"/>
    <w:rsid w:val="002B7E7F"/>
    <w:rsid w:val="002C10D1"/>
    <w:rsid w:val="002C4926"/>
    <w:rsid w:val="002C5EBC"/>
    <w:rsid w:val="002C74F4"/>
    <w:rsid w:val="002D1F7F"/>
    <w:rsid w:val="002D7043"/>
    <w:rsid w:val="002E0866"/>
    <w:rsid w:val="002E1853"/>
    <w:rsid w:val="002E19B9"/>
    <w:rsid w:val="002E58AA"/>
    <w:rsid w:val="002F2E6D"/>
    <w:rsid w:val="00301350"/>
    <w:rsid w:val="003068DB"/>
    <w:rsid w:val="00307D4F"/>
    <w:rsid w:val="00314664"/>
    <w:rsid w:val="00316307"/>
    <w:rsid w:val="00316750"/>
    <w:rsid w:val="00324DEB"/>
    <w:rsid w:val="0033035B"/>
    <w:rsid w:val="003324AE"/>
    <w:rsid w:val="00333590"/>
    <w:rsid w:val="003418D6"/>
    <w:rsid w:val="00343DF0"/>
    <w:rsid w:val="00344581"/>
    <w:rsid w:val="003453B6"/>
    <w:rsid w:val="00351E4D"/>
    <w:rsid w:val="00355C04"/>
    <w:rsid w:val="003618D2"/>
    <w:rsid w:val="003643C6"/>
    <w:rsid w:val="00365366"/>
    <w:rsid w:val="00365EE8"/>
    <w:rsid w:val="00370127"/>
    <w:rsid w:val="00370622"/>
    <w:rsid w:val="00371250"/>
    <w:rsid w:val="00371812"/>
    <w:rsid w:val="00374A9D"/>
    <w:rsid w:val="003814E5"/>
    <w:rsid w:val="00381983"/>
    <w:rsid w:val="00383240"/>
    <w:rsid w:val="00383655"/>
    <w:rsid w:val="00383913"/>
    <w:rsid w:val="00383E65"/>
    <w:rsid w:val="00387121"/>
    <w:rsid w:val="00390A6D"/>
    <w:rsid w:val="00393EEF"/>
    <w:rsid w:val="003A111D"/>
    <w:rsid w:val="003A2A2B"/>
    <w:rsid w:val="003A73E3"/>
    <w:rsid w:val="003B4A6E"/>
    <w:rsid w:val="003C1AA6"/>
    <w:rsid w:val="003C1C5E"/>
    <w:rsid w:val="003C5791"/>
    <w:rsid w:val="003C5EA1"/>
    <w:rsid w:val="003D0C7B"/>
    <w:rsid w:val="003D20AD"/>
    <w:rsid w:val="003D3BD8"/>
    <w:rsid w:val="003D4AE3"/>
    <w:rsid w:val="003D75F8"/>
    <w:rsid w:val="003E2278"/>
    <w:rsid w:val="003E2756"/>
    <w:rsid w:val="003E2C0C"/>
    <w:rsid w:val="003E30D5"/>
    <w:rsid w:val="003E5C42"/>
    <w:rsid w:val="003E6AC8"/>
    <w:rsid w:val="003E6BB9"/>
    <w:rsid w:val="003E7529"/>
    <w:rsid w:val="003E7558"/>
    <w:rsid w:val="003E7B91"/>
    <w:rsid w:val="00406C09"/>
    <w:rsid w:val="00410FE8"/>
    <w:rsid w:val="00411379"/>
    <w:rsid w:val="00417DF8"/>
    <w:rsid w:val="00417E02"/>
    <w:rsid w:val="004208F5"/>
    <w:rsid w:val="00420DCC"/>
    <w:rsid w:val="00420EA7"/>
    <w:rsid w:val="00427057"/>
    <w:rsid w:val="00427CBA"/>
    <w:rsid w:val="004303BC"/>
    <w:rsid w:val="004339A0"/>
    <w:rsid w:val="004346B2"/>
    <w:rsid w:val="00440444"/>
    <w:rsid w:val="00445549"/>
    <w:rsid w:val="00445F83"/>
    <w:rsid w:val="00446D19"/>
    <w:rsid w:val="004474C8"/>
    <w:rsid w:val="004475DF"/>
    <w:rsid w:val="00451736"/>
    <w:rsid w:val="00452B62"/>
    <w:rsid w:val="00452C95"/>
    <w:rsid w:val="0045412F"/>
    <w:rsid w:val="00455970"/>
    <w:rsid w:val="00466567"/>
    <w:rsid w:val="00467EC1"/>
    <w:rsid w:val="00471867"/>
    <w:rsid w:val="00472890"/>
    <w:rsid w:val="004735FE"/>
    <w:rsid w:val="0047671F"/>
    <w:rsid w:val="00476728"/>
    <w:rsid w:val="00480C17"/>
    <w:rsid w:val="00482FE8"/>
    <w:rsid w:val="00483ABA"/>
    <w:rsid w:val="00484244"/>
    <w:rsid w:val="004845A3"/>
    <w:rsid w:val="00491837"/>
    <w:rsid w:val="00492498"/>
    <w:rsid w:val="0049407C"/>
    <w:rsid w:val="00496221"/>
    <w:rsid w:val="004A14F2"/>
    <w:rsid w:val="004A3AB9"/>
    <w:rsid w:val="004A45E2"/>
    <w:rsid w:val="004A6E4A"/>
    <w:rsid w:val="004A7771"/>
    <w:rsid w:val="004A7C18"/>
    <w:rsid w:val="004B080A"/>
    <w:rsid w:val="004B0BC4"/>
    <w:rsid w:val="004B2CD7"/>
    <w:rsid w:val="004B5CD7"/>
    <w:rsid w:val="004B7349"/>
    <w:rsid w:val="004C4806"/>
    <w:rsid w:val="004C50FC"/>
    <w:rsid w:val="004C7DA9"/>
    <w:rsid w:val="004D1AE8"/>
    <w:rsid w:val="004E304D"/>
    <w:rsid w:val="004E5676"/>
    <w:rsid w:val="004E7897"/>
    <w:rsid w:val="004F0E55"/>
    <w:rsid w:val="004F1A71"/>
    <w:rsid w:val="004F407A"/>
    <w:rsid w:val="00503748"/>
    <w:rsid w:val="00503B51"/>
    <w:rsid w:val="00507864"/>
    <w:rsid w:val="00507B3F"/>
    <w:rsid w:val="00510BC3"/>
    <w:rsid w:val="00510D28"/>
    <w:rsid w:val="00516BB0"/>
    <w:rsid w:val="00517C64"/>
    <w:rsid w:val="00521743"/>
    <w:rsid w:val="00525CB5"/>
    <w:rsid w:val="005300DD"/>
    <w:rsid w:val="0053217F"/>
    <w:rsid w:val="00532F4A"/>
    <w:rsid w:val="00533953"/>
    <w:rsid w:val="00534B6D"/>
    <w:rsid w:val="005350E0"/>
    <w:rsid w:val="00536AAA"/>
    <w:rsid w:val="0055124A"/>
    <w:rsid w:val="00553841"/>
    <w:rsid w:val="00554B3F"/>
    <w:rsid w:val="00554C9F"/>
    <w:rsid w:val="00557350"/>
    <w:rsid w:val="00560D76"/>
    <w:rsid w:val="005614BC"/>
    <w:rsid w:val="0056249C"/>
    <w:rsid w:val="00562997"/>
    <w:rsid w:val="00563CE6"/>
    <w:rsid w:val="0056730A"/>
    <w:rsid w:val="00572CA4"/>
    <w:rsid w:val="00574CB2"/>
    <w:rsid w:val="00575DA9"/>
    <w:rsid w:val="00581970"/>
    <w:rsid w:val="0059156B"/>
    <w:rsid w:val="00592F07"/>
    <w:rsid w:val="00594276"/>
    <w:rsid w:val="00594FB1"/>
    <w:rsid w:val="005A0EFE"/>
    <w:rsid w:val="005A11B8"/>
    <w:rsid w:val="005A44D6"/>
    <w:rsid w:val="005A7968"/>
    <w:rsid w:val="005A7F7F"/>
    <w:rsid w:val="005B0280"/>
    <w:rsid w:val="005B0344"/>
    <w:rsid w:val="005B0A62"/>
    <w:rsid w:val="005B4354"/>
    <w:rsid w:val="005B4FE5"/>
    <w:rsid w:val="005B6169"/>
    <w:rsid w:val="005C00A3"/>
    <w:rsid w:val="005C4512"/>
    <w:rsid w:val="005C62B5"/>
    <w:rsid w:val="005D02BC"/>
    <w:rsid w:val="005D1915"/>
    <w:rsid w:val="005D2BBF"/>
    <w:rsid w:val="005D2CEA"/>
    <w:rsid w:val="005D31A4"/>
    <w:rsid w:val="005D3905"/>
    <w:rsid w:val="005D3E62"/>
    <w:rsid w:val="005D54F5"/>
    <w:rsid w:val="005D5B35"/>
    <w:rsid w:val="005E172F"/>
    <w:rsid w:val="005E3FAB"/>
    <w:rsid w:val="005E51E1"/>
    <w:rsid w:val="00600F4B"/>
    <w:rsid w:val="00601C0C"/>
    <w:rsid w:val="00604613"/>
    <w:rsid w:val="00613FB9"/>
    <w:rsid w:val="006143B0"/>
    <w:rsid w:val="00626D11"/>
    <w:rsid w:val="006324A6"/>
    <w:rsid w:val="006336EB"/>
    <w:rsid w:val="00633911"/>
    <w:rsid w:val="00635413"/>
    <w:rsid w:val="006375ED"/>
    <w:rsid w:val="00641906"/>
    <w:rsid w:val="006437E9"/>
    <w:rsid w:val="00646108"/>
    <w:rsid w:val="006461D1"/>
    <w:rsid w:val="00646DD5"/>
    <w:rsid w:val="00655426"/>
    <w:rsid w:val="00655E16"/>
    <w:rsid w:val="0066061D"/>
    <w:rsid w:val="00661A11"/>
    <w:rsid w:val="00662E9E"/>
    <w:rsid w:val="00666080"/>
    <w:rsid w:val="00666122"/>
    <w:rsid w:val="00666431"/>
    <w:rsid w:val="00670283"/>
    <w:rsid w:val="00675781"/>
    <w:rsid w:val="00680331"/>
    <w:rsid w:val="006813C5"/>
    <w:rsid w:val="0068163C"/>
    <w:rsid w:val="00687698"/>
    <w:rsid w:val="006903D9"/>
    <w:rsid w:val="00695152"/>
    <w:rsid w:val="00696210"/>
    <w:rsid w:val="006A328E"/>
    <w:rsid w:val="006A6D94"/>
    <w:rsid w:val="006A7DBF"/>
    <w:rsid w:val="006B43A7"/>
    <w:rsid w:val="006B596A"/>
    <w:rsid w:val="006C684E"/>
    <w:rsid w:val="006E55F8"/>
    <w:rsid w:val="006F0479"/>
    <w:rsid w:val="006F0802"/>
    <w:rsid w:val="006F48CF"/>
    <w:rsid w:val="00700008"/>
    <w:rsid w:val="007008C7"/>
    <w:rsid w:val="00701C04"/>
    <w:rsid w:val="00705117"/>
    <w:rsid w:val="00706394"/>
    <w:rsid w:val="00706EC1"/>
    <w:rsid w:val="00707A99"/>
    <w:rsid w:val="007125FB"/>
    <w:rsid w:val="0071459E"/>
    <w:rsid w:val="0071482D"/>
    <w:rsid w:val="00715F45"/>
    <w:rsid w:val="0071667C"/>
    <w:rsid w:val="007167C1"/>
    <w:rsid w:val="00721DFC"/>
    <w:rsid w:val="00722B7B"/>
    <w:rsid w:val="00725B77"/>
    <w:rsid w:val="00730D8C"/>
    <w:rsid w:val="007315F5"/>
    <w:rsid w:val="00735EF2"/>
    <w:rsid w:val="0073603F"/>
    <w:rsid w:val="00744D37"/>
    <w:rsid w:val="00746B10"/>
    <w:rsid w:val="00752BE4"/>
    <w:rsid w:val="00754155"/>
    <w:rsid w:val="0075736B"/>
    <w:rsid w:val="0075755C"/>
    <w:rsid w:val="00757A12"/>
    <w:rsid w:val="0076054E"/>
    <w:rsid w:val="007612FC"/>
    <w:rsid w:val="007620AD"/>
    <w:rsid w:val="00762D41"/>
    <w:rsid w:val="00766D4E"/>
    <w:rsid w:val="00767493"/>
    <w:rsid w:val="007675CC"/>
    <w:rsid w:val="00773BC0"/>
    <w:rsid w:val="007759E0"/>
    <w:rsid w:val="00777017"/>
    <w:rsid w:val="00777445"/>
    <w:rsid w:val="007808E0"/>
    <w:rsid w:val="007811D1"/>
    <w:rsid w:val="00782177"/>
    <w:rsid w:val="007912FB"/>
    <w:rsid w:val="007970B7"/>
    <w:rsid w:val="007A2216"/>
    <w:rsid w:val="007A23C6"/>
    <w:rsid w:val="007A6B10"/>
    <w:rsid w:val="007B47A0"/>
    <w:rsid w:val="007B71B2"/>
    <w:rsid w:val="007C1E32"/>
    <w:rsid w:val="007C2B61"/>
    <w:rsid w:val="007C5821"/>
    <w:rsid w:val="007C7927"/>
    <w:rsid w:val="007D1A97"/>
    <w:rsid w:val="007D2176"/>
    <w:rsid w:val="007D33D4"/>
    <w:rsid w:val="007E0893"/>
    <w:rsid w:val="007E1C10"/>
    <w:rsid w:val="007E2AE4"/>
    <w:rsid w:val="007E4265"/>
    <w:rsid w:val="007E49A7"/>
    <w:rsid w:val="007E5316"/>
    <w:rsid w:val="007E6A5E"/>
    <w:rsid w:val="007E7E2F"/>
    <w:rsid w:val="007E7EED"/>
    <w:rsid w:val="00804AD9"/>
    <w:rsid w:val="00805606"/>
    <w:rsid w:val="00806342"/>
    <w:rsid w:val="008074C4"/>
    <w:rsid w:val="00813296"/>
    <w:rsid w:val="008141DC"/>
    <w:rsid w:val="00817866"/>
    <w:rsid w:val="008236AC"/>
    <w:rsid w:val="00827F37"/>
    <w:rsid w:val="0083081C"/>
    <w:rsid w:val="00832785"/>
    <w:rsid w:val="00832E60"/>
    <w:rsid w:val="0083329F"/>
    <w:rsid w:val="00833C26"/>
    <w:rsid w:val="00834038"/>
    <w:rsid w:val="00834454"/>
    <w:rsid w:val="00836194"/>
    <w:rsid w:val="00837C43"/>
    <w:rsid w:val="00837EBF"/>
    <w:rsid w:val="00840A02"/>
    <w:rsid w:val="00843D3F"/>
    <w:rsid w:val="00846C33"/>
    <w:rsid w:val="008501BD"/>
    <w:rsid w:val="00854BE9"/>
    <w:rsid w:val="008561D2"/>
    <w:rsid w:val="008572D1"/>
    <w:rsid w:val="00857FE1"/>
    <w:rsid w:val="00861337"/>
    <w:rsid w:val="00865864"/>
    <w:rsid w:val="008704CF"/>
    <w:rsid w:val="00871C33"/>
    <w:rsid w:val="008734BB"/>
    <w:rsid w:val="00874B25"/>
    <w:rsid w:val="008750B9"/>
    <w:rsid w:val="0087772E"/>
    <w:rsid w:val="008779A4"/>
    <w:rsid w:val="00877E85"/>
    <w:rsid w:val="008877F3"/>
    <w:rsid w:val="008908DA"/>
    <w:rsid w:val="00894024"/>
    <w:rsid w:val="008A27A2"/>
    <w:rsid w:val="008B5C0F"/>
    <w:rsid w:val="008B5EC6"/>
    <w:rsid w:val="008B74A7"/>
    <w:rsid w:val="008C0A62"/>
    <w:rsid w:val="008C0FDA"/>
    <w:rsid w:val="008C1EC2"/>
    <w:rsid w:val="008C240B"/>
    <w:rsid w:val="008D13F3"/>
    <w:rsid w:val="008D653D"/>
    <w:rsid w:val="008E27BA"/>
    <w:rsid w:val="008E5970"/>
    <w:rsid w:val="008F0210"/>
    <w:rsid w:val="008F1BC4"/>
    <w:rsid w:val="008F2803"/>
    <w:rsid w:val="00905ACE"/>
    <w:rsid w:val="009061EB"/>
    <w:rsid w:val="009075A3"/>
    <w:rsid w:val="009148A2"/>
    <w:rsid w:val="00914ADE"/>
    <w:rsid w:val="00914F90"/>
    <w:rsid w:val="00921106"/>
    <w:rsid w:val="0092125A"/>
    <w:rsid w:val="0092368C"/>
    <w:rsid w:val="00924ED6"/>
    <w:rsid w:val="009268B9"/>
    <w:rsid w:val="00930178"/>
    <w:rsid w:val="00931704"/>
    <w:rsid w:val="009335CF"/>
    <w:rsid w:val="0094149C"/>
    <w:rsid w:val="00942694"/>
    <w:rsid w:val="0094357A"/>
    <w:rsid w:val="009450E1"/>
    <w:rsid w:val="00954748"/>
    <w:rsid w:val="009548EF"/>
    <w:rsid w:val="00965691"/>
    <w:rsid w:val="00966CC5"/>
    <w:rsid w:val="00967FA1"/>
    <w:rsid w:val="009720B2"/>
    <w:rsid w:val="009721D5"/>
    <w:rsid w:val="00972C03"/>
    <w:rsid w:val="00972D8F"/>
    <w:rsid w:val="00973DBD"/>
    <w:rsid w:val="009766C8"/>
    <w:rsid w:val="00977EDC"/>
    <w:rsid w:val="00986D04"/>
    <w:rsid w:val="00991552"/>
    <w:rsid w:val="00991844"/>
    <w:rsid w:val="0099331E"/>
    <w:rsid w:val="00997F8D"/>
    <w:rsid w:val="009A0273"/>
    <w:rsid w:val="009A358C"/>
    <w:rsid w:val="009A365F"/>
    <w:rsid w:val="009A3C02"/>
    <w:rsid w:val="009A3DAC"/>
    <w:rsid w:val="009A621B"/>
    <w:rsid w:val="009A7C05"/>
    <w:rsid w:val="009A7DA3"/>
    <w:rsid w:val="009B1A3D"/>
    <w:rsid w:val="009B37C6"/>
    <w:rsid w:val="009C6528"/>
    <w:rsid w:val="009D034E"/>
    <w:rsid w:val="009D1BBE"/>
    <w:rsid w:val="009D5E8E"/>
    <w:rsid w:val="009E4DE6"/>
    <w:rsid w:val="009E7821"/>
    <w:rsid w:val="009F0F04"/>
    <w:rsid w:val="009F325A"/>
    <w:rsid w:val="00A04AAF"/>
    <w:rsid w:val="00A071C0"/>
    <w:rsid w:val="00A11069"/>
    <w:rsid w:val="00A11C7C"/>
    <w:rsid w:val="00A12B54"/>
    <w:rsid w:val="00A14068"/>
    <w:rsid w:val="00A20793"/>
    <w:rsid w:val="00A20D77"/>
    <w:rsid w:val="00A2610D"/>
    <w:rsid w:val="00A36398"/>
    <w:rsid w:val="00A36E69"/>
    <w:rsid w:val="00A40484"/>
    <w:rsid w:val="00A418BE"/>
    <w:rsid w:val="00A43CA5"/>
    <w:rsid w:val="00A4494B"/>
    <w:rsid w:val="00A467C9"/>
    <w:rsid w:val="00A534D9"/>
    <w:rsid w:val="00A5454C"/>
    <w:rsid w:val="00A55402"/>
    <w:rsid w:val="00A710B0"/>
    <w:rsid w:val="00A73CDE"/>
    <w:rsid w:val="00A7541E"/>
    <w:rsid w:val="00A755EF"/>
    <w:rsid w:val="00A82848"/>
    <w:rsid w:val="00A83B76"/>
    <w:rsid w:val="00A9798F"/>
    <w:rsid w:val="00AA0404"/>
    <w:rsid w:val="00AA0F27"/>
    <w:rsid w:val="00AA387B"/>
    <w:rsid w:val="00AA5490"/>
    <w:rsid w:val="00AB4625"/>
    <w:rsid w:val="00AB716B"/>
    <w:rsid w:val="00AB7853"/>
    <w:rsid w:val="00AC17DA"/>
    <w:rsid w:val="00AC35DF"/>
    <w:rsid w:val="00AC4E5B"/>
    <w:rsid w:val="00AC5109"/>
    <w:rsid w:val="00AC6430"/>
    <w:rsid w:val="00AD0326"/>
    <w:rsid w:val="00AD25E6"/>
    <w:rsid w:val="00AD3F75"/>
    <w:rsid w:val="00AD6E63"/>
    <w:rsid w:val="00AE193C"/>
    <w:rsid w:val="00AE222B"/>
    <w:rsid w:val="00AE36D8"/>
    <w:rsid w:val="00AE39D0"/>
    <w:rsid w:val="00AE4354"/>
    <w:rsid w:val="00AE5BF9"/>
    <w:rsid w:val="00AF0797"/>
    <w:rsid w:val="00AF2956"/>
    <w:rsid w:val="00AF50A7"/>
    <w:rsid w:val="00AF539C"/>
    <w:rsid w:val="00AF6161"/>
    <w:rsid w:val="00AF76A2"/>
    <w:rsid w:val="00AF7B42"/>
    <w:rsid w:val="00AF7EA0"/>
    <w:rsid w:val="00B00397"/>
    <w:rsid w:val="00B025A9"/>
    <w:rsid w:val="00B02A50"/>
    <w:rsid w:val="00B03405"/>
    <w:rsid w:val="00B04DD7"/>
    <w:rsid w:val="00B067E9"/>
    <w:rsid w:val="00B07859"/>
    <w:rsid w:val="00B12E03"/>
    <w:rsid w:val="00B14633"/>
    <w:rsid w:val="00B151CB"/>
    <w:rsid w:val="00B15BCF"/>
    <w:rsid w:val="00B254C2"/>
    <w:rsid w:val="00B30568"/>
    <w:rsid w:val="00B30EFA"/>
    <w:rsid w:val="00B337A3"/>
    <w:rsid w:val="00B364F2"/>
    <w:rsid w:val="00B408B9"/>
    <w:rsid w:val="00B442B9"/>
    <w:rsid w:val="00B44B17"/>
    <w:rsid w:val="00B45C62"/>
    <w:rsid w:val="00B460EA"/>
    <w:rsid w:val="00B5063D"/>
    <w:rsid w:val="00B51529"/>
    <w:rsid w:val="00B51FE3"/>
    <w:rsid w:val="00B579D2"/>
    <w:rsid w:val="00B65739"/>
    <w:rsid w:val="00B71D03"/>
    <w:rsid w:val="00B72271"/>
    <w:rsid w:val="00B74329"/>
    <w:rsid w:val="00B82370"/>
    <w:rsid w:val="00B833BB"/>
    <w:rsid w:val="00B901ED"/>
    <w:rsid w:val="00B94EEF"/>
    <w:rsid w:val="00B95BB3"/>
    <w:rsid w:val="00BA0001"/>
    <w:rsid w:val="00BA010E"/>
    <w:rsid w:val="00BA04C6"/>
    <w:rsid w:val="00BA2C1F"/>
    <w:rsid w:val="00BA3224"/>
    <w:rsid w:val="00BA5661"/>
    <w:rsid w:val="00BB3150"/>
    <w:rsid w:val="00BB4C7E"/>
    <w:rsid w:val="00BB6E41"/>
    <w:rsid w:val="00BB70BB"/>
    <w:rsid w:val="00BB72FC"/>
    <w:rsid w:val="00BB7862"/>
    <w:rsid w:val="00BC6464"/>
    <w:rsid w:val="00BC7BBE"/>
    <w:rsid w:val="00BD17EB"/>
    <w:rsid w:val="00BD6876"/>
    <w:rsid w:val="00BD738D"/>
    <w:rsid w:val="00BE4C55"/>
    <w:rsid w:val="00BE4E72"/>
    <w:rsid w:val="00BE595C"/>
    <w:rsid w:val="00BE6222"/>
    <w:rsid w:val="00BF2D75"/>
    <w:rsid w:val="00BF4537"/>
    <w:rsid w:val="00BF7345"/>
    <w:rsid w:val="00C03026"/>
    <w:rsid w:val="00C03730"/>
    <w:rsid w:val="00C0599A"/>
    <w:rsid w:val="00C05A04"/>
    <w:rsid w:val="00C12436"/>
    <w:rsid w:val="00C13A6E"/>
    <w:rsid w:val="00C142F4"/>
    <w:rsid w:val="00C156B7"/>
    <w:rsid w:val="00C22AE5"/>
    <w:rsid w:val="00C238F8"/>
    <w:rsid w:val="00C243EF"/>
    <w:rsid w:val="00C2595D"/>
    <w:rsid w:val="00C27B8B"/>
    <w:rsid w:val="00C30AA4"/>
    <w:rsid w:val="00C31CA6"/>
    <w:rsid w:val="00C350E0"/>
    <w:rsid w:val="00C40697"/>
    <w:rsid w:val="00C507D4"/>
    <w:rsid w:val="00C552C9"/>
    <w:rsid w:val="00C5608D"/>
    <w:rsid w:val="00C5647F"/>
    <w:rsid w:val="00C57631"/>
    <w:rsid w:val="00C646E3"/>
    <w:rsid w:val="00C71914"/>
    <w:rsid w:val="00C72FA2"/>
    <w:rsid w:val="00C77716"/>
    <w:rsid w:val="00C80EE1"/>
    <w:rsid w:val="00C81594"/>
    <w:rsid w:val="00C81919"/>
    <w:rsid w:val="00C84F46"/>
    <w:rsid w:val="00C90E78"/>
    <w:rsid w:val="00C941C4"/>
    <w:rsid w:val="00C95BA6"/>
    <w:rsid w:val="00CA0A97"/>
    <w:rsid w:val="00CA1090"/>
    <w:rsid w:val="00CA4AF6"/>
    <w:rsid w:val="00CA5045"/>
    <w:rsid w:val="00CA6EC9"/>
    <w:rsid w:val="00CB27B4"/>
    <w:rsid w:val="00CB4760"/>
    <w:rsid w:val="00CB5A47"/>
    <w:rsid w:val="00CC0F62"/>
    <w:rsid w:val="00CC68D4"/>
    <w:rsid w:val="00CC7641"/>
    <w:rsid w:val="00CD115C"/>
    <w:rsid w:val="00CD7774"/>
    <w:rsid w:val="00CE2B34"/>
    <w:rsid w:val="00CE4AE5"/>
    <w:rsid w:val="00CE5925"/>
    <w:rsid w:val="00CF3402"/>
    <w:rsid w:val="00CF61BC"/>
    <w:rsid w:val="00CF7DA8"/>
    <w:rsid w:val="00D00A59"/>
    <w:rsid w:val="00D0170D"/>
    <w:rsid w:val="00D01C6E"/>
    <w:rsid w:val="00D0264B"/>
    <w:rsid w:val="00D064EA"/>
    <w:rsid w:val="00D1096E"/>
    <w:rsid w:val="00D12BBB"/>
    <w:rsid w:val="00D13B69"/>
    <w:rsid w:val="00D14819"/>
    <w:rsid w:val="00D15BFA"/>
    <w:rsid w:val="00D22FC1"/>
    <w:rsid w:val="00D240C3"/>
    <w:rsid w:val="00D24C98"/>
    <w:rsid w:val="00D3166C"/>
    <w:rsid w:val="00D3247F"/>
    <w:rsid w:val="00D324C8"/>
    <w:rsid w:val="00D343E2"/>
    <w:rsid w:val="00D348E6"/>
    <w:rsid w:val="00D353F6"/>
    <w:rsid w:val="00D35AE9"/>
    <w:rsid w:val="00D366D8"/>
    <w:rsid w:val="00D36ED4"/>
    <w:rsid w:val="00D4104C"/>
    <w:rsid w:val="00D446B3"/>
    <w:rsid w:val="00D46017"/>
    <w:rsid w:val="00D461F9"/>
    <w:rsid w:val="00D47DD4"/>
    <w:rsid w:val="00D51931"/>
    <w:rsid w:val="00D52928"/>
    <w:rsid w:val="00D5298B"/>
    <w:rsid w:val="00D5407C"/>
    <w:rsid w:val="00D561B7"/>
    <w:rsid w:val="00D5642C"/>
    <w:rsid w:val="00D56D51"/>
    <w:rsid w:val="00D57789"/>
    <w:rsid w:val="00D60E4C"/>
    <w:rsid w:val="00D63086"/>
    <w:rsid w:val="00D64404"/>
    <w:rsid w:val="00D676B3"/>
    <w:rsid w:val="00D7102C"/>
    <w:rsid w:val="00D73B8C"/>
    <w:rsid w:val="00D746CE"/>
    <w:rsid w:val="00D749C2"/>
    <w:rsid w:val="00D76CCE"/>
    <w:rsid w:val="00D77B1D"/>
    <w:rsid w:val="00D8097A"/>
    <w:rsid w:val="00D82CC9"/>
    <w:rsid w:val="00D8479C"/>
    <w:rsid w:val="00D84D13"/>
    <w:rsid w:val="00D904B9"/>
    <w:rsid w:val="00D91EF1"/>
    <w:rsid w:val="00D93500"/>
    <w:rsid w:val="00D95C98"/>
    <w:rsid w:val="00D96A82"/>
    <w:rsid w:val="00DA3D14"/>
    <w:rsid w:val="00DA52CD"/>
    <w:rsid w:val="00DA5956"/>
    <w:rsid w:val="00DB099F"/>
    <w:rsid w:val="00DB0BD8"/>
    <w:rsid w:val="00DB2B61"/>
    <w:rsid w:val="00DB396D"/>
    <w:rsid w:val="00DB5970"/>
    <w:rsid w:val="00DB5FA8"/>
    <w:rsid w:val="00DC123C"/>
    <w:rsid w:val="00DC140F"/>
    <w:rsid w:val="00DC3CBD"/>
    <w:rsid w:val="00DC584F"/>
    <w:rsid w:val="00DC5E5D"/>
    <w:rsid w:val="00DC6ECD"/>
    <w:rsid w:val="00DC7CF8"/>
    <w:rsid w:val="00DE22BD"/>
    <w:rsid w:val="00DE3D8B"/>
    <w:rsid w:val="00DE416F"/>
    <w:rsid w:val="00DE7E4E"/>
    <w:rsid w:val="00DF16C6"/>
    <w:rsid w:val="00DF2CB9"/>
    <w:rsid w:val="00E0005F"/>
    <w:rsid w:val="00E01AEA"/>
    <w:rsid w:val="00E02F53"/>
    <w:rsid w:val="00E03F37"/>
    <w:rsid w:val="00E0598F"/>
    <w:rsid w:val="00E061EC"/>
    <w:rsid w:val="00E06501"/>
    <w:rsid w:val="00E06B8E"/>
    <w:rsid w:val="00E124AB"/>
    <w:rsid w:val="00E14D18"/>
    <w:rsid w:val="00E17471"/>
    <w:rsid w:val="00E2797A"/>
    <w:rsid w:val="00E27FCB"/>
    <w:rsid w:val="00E308D3"/>
    <w:rsid w:val="00E37675"/>
    <w:rsid w:val="00E40247"/>
    <w:rsid w:val="00E470B1"/>
    <w:rsid w:val="00E4744B"/>
    <w:rsid w:val="00E511DA"/>
    <w:rsid w:val="00E53FF1"/>
    <w:rsid w:val="00E55024"/>
    <w:rsid w:val="00E61081"/>
    <w:rsid w:val="00E61D0F"/>
    <w:rsid w:val="00E63B4C"/>
    <w:rsid w:val="00E63BA7"/>
    <w:rsid w:val="00E74DA9"/>
    <w:rsid w:val="00E76991"/>
    <w:rsid w:val="00E83DAA"/>
    <w:rsid w:val="00E841E6"/>
    <w:rsid w:val="00E85D7F"/>
    <w:rsid w:val="00E85DB6"/>
    <w:rsid w:val="00E901DE"/>
    <w:rsid w:val="00E915EE"/>
    <w:rsid w:val="00E9460A"/>
    <w:rsid w:val="00E947EC"/>
    <w:rsid w:val="00E94DFD"/>
    <w:rsid w:val="00EA445C"/>
    <w:rsid w:val="00EA6EDF"/>
    <w:rsid w:val="00EB3D6A"/>
    <w:rsid w:val="00EB6269"/>
    <w:rsid w:val="00EB7AA7"/>
    <w:rsid w:val="00EC1D92"/>
    <w:rsid w:val="00EC5A90"/>
    <w:rsid w:val="00EC5E79"/>
    <w:rsid w:val="00EC65EE"/>
    <w:rsid w:val="00EC6FE2"/>
    <w:rsid w:val="00ED0F5A"/>
    <w:rsid w:val="00ED1013"/>
    <w:rsid w:val="00ED1690"/>
    <w:rsid w:val="00ED5C34"/>
    <w:rsid w:val="00EE0E1A"/>
    <w:rsid w:val="00EE0E40"/>
    <w:rsid w:val="00EE2BEA"/>
    <w:rsid w:val="00EE3DB4"/>
    <w:rsid w:val="00EE4DE8"/>
    <w:rsid w:val="00EF078C"/>
    <w:rsid w:val="00EF3679"/>
    <w:rsid w:val="00EF5CEC"/>
    <w:rsid w:val="00F015C7"/>
    <w:rsid w:val="00F02BCD"/>
    <w:rsid w:val="00F04081"/>
    <w:rsid w:val="00F06FE1"/>
    <w:rsid w:val="00F124B2"/>
    <w:rsid w:val="00F30657"/>
    <w:rsid w:val="00F30F36"/>
    <w:rsid w:val="00F324BB"/>
    <w:rsid w:val="00F33D3D"/>
    <w:rsid w:val="00F35738"/>
    <w:rsid w:val="00F44181"/>
    <w:rsid w:val="00F45413"/>
    <w:rsid w:val="00F47F16"/>
    <w:rsid w:val="00F5357B"/>
    <w:rsid w:val="00F56730"/>
    <w:rsid w:val="00F568FE"/>
    <w:rsid w:val="00F5752D"/>
    <w:rsid w:val="00F60B3A"/>
    <w:rsid w:val="00F64445"/>
    <w:rsid w:val="00F65021"/>
    <w:rsid w:val="00F660A2"/>
    <w:rsid w:val="00F66772"/>
    <w:rsid w:val="00F70E99"/>
    <w:rsid w:val="00F7104E"/>
    <w:rsid w:val="00F80848"/>
    <w:rsid w:val="00F87077"/>
    <w:rsid w:val="00F92967"/>
    <w:rsid w:val="00F93A75"/>
    <w:rsid w:val="00F93BFB"/>
    <w:rsid w:val="00FA3F5C"/>
    <w:rsid w:val="00FA58A1"/>
    <w:rsid w:val="00FA7205"/>
    <w:rsid w:val="00FB2403"/>
    <w:rsid w:val="00FB35EA"/>
    <w:rsid w:val="00FB71C2"/>
    <w:rsid w:val="00FC559A"/>
    <w:rsid w:val="00FC6301"/>
    <w:rsid w:val="00FD0A04"/>
    <w:rsid w:val="00FD1641"/>
    <w:rsid w:val="00FD1942"/>
    <w:rsid w:val="00FD197F"/>
    <w:rsid w:val="00FD7A86"/>
    <w:rsid w:val="00FE3D2E"/>
    <w:rsid w:val="00FF3106"/>
    <w:rsid w:val="01050AC2"/>
    <w:rsid w:val="010D7515"/>
    <w:rsid w:val="0123085D"/>
    <w:rsid w:val="012D05B1"/>
    <w:rsid w:val="012E530B"/>
    <w:rsid w:val="01603A9C"/>
    <w:rsid w:val="01693677"/>
    <w:rsid w:val="016B50D1"/>
    <w:rsid w:val="01732A2F"/>
    <w:rsid w:val="01853E11"/>
    <w:rsid w:val="01DC6724"/>
    <w:rsid w:val="02392CEB"/>
    <w:rsid w:val="02904580"/>
    <w:rsid w:val="029125E5"/>
    <w:rsid w:val="029F3FA3"/>
    <w:rsid w:val="02F473BE"/>
    <w:rsid w:val="033C3C82"/>
    <w:rsid w:val="03964F3E"/>
    <w:rsid w:val="03D76880"/>
    <w:rsid w:val="04277332"/>
    <w:rsid w:val="042D398B"/>
    <w:rsid w:val="043A1D55"/>
    <w:rsid w:val="047D5041"/>
    <w:rsid w:val="04B630AB"/>
    <w:rsid w:val="04BA51D6"/>
    <w:rsid w:val="04C634DA"/>
    <w:rsid w:val="04C7013E"/>
    <w:rsid w:val="04D63631"/>
    <w:rsid w:val="05193F7E"/>
    <w:rsid w:val="057307B5"/>
    <w:rsid w:val="05755589"/>
    <w:rsid w:val="05772AD8"/>
    <w:rsid w:val="058C2667"/>
    <w:rsid w:val="058E028A"/>
    <w:rsid w:val="05D6736D"/>
    <w:rsid w:val="05F46FA2"/>
    <w:rsid w:val="061A0AEA"/>
    <w:rsid w:val="0627147B"/>
    <w:rsid w:val="063C124F"/>
    <w:rsid w:val="066C1410"/>
    <w:rsid w:val="06CE22C3"/>
    <w:rsid w:val="06E17829"/>
    <w:rsid w:val="06FA78AE"/>
    <w:rsid w:val="0709289E"/>
    <w:rsid w:val="070D7088"/>
    <w:rsid w:val="07134FF0"/>
    <w:rsid w:val="073860BD"/>
    <w:rsid w:val="07396D49"/>
    <w:rsid w:val="073B1AD7"/>
    <w:rsid w:val="073F5A10"/>
    <w:rsid w:val="079F1803"/>
    <w:rsid w:val="08174204"/>
    <w:rsid w:val="08333DE0"/>
    <w:rsid w:val="084B12A6"/>
    <w:rsid w:val="085E19C8"/>
    <w:rsid w:val="08671AC5"/>
    <w:rsid w:val="086A58DA"/>
    <w:rsid w:val="08987458"/>
    <w:rsid w:val="08B07D55"/>
    <w:rsid w:val="08B4450F"/>
    <w:rsid w:val="08E56479"/>
    <w:rsid w:val="09156113"/>
    <w:rsid w:val="092F4E74"/>
    <w:rsid w:val="094D41F4"/>
    <w:rsid w:val="09517C67"/>
    <w:rsid w:val="09924303"/>
    <w:rsid w:val="09B16F20"/>
    <w:rsid w:val="09C70DA3"/>
    <w:rsid w:val="09CF4491"/>
    <w:rsid w:val="09F63CF3"/>
    <w:rsid w:val="0A2629E7"/>
    <w:rsid w:val="0A5E0BF7"/>
    <w:rsid w:val="0A6B4D23"/>
    <w:rsid w:val="0A865AFD"/>
    <w:rsid w:val="0A883A12"/>
    <w:rsid w:val="0B000FEA"/>
    <w:rsid w:val="0B0B4265"/>
    <w:rsid w:val="0B226031"/>
    <w:rsid w:val="0B6172AF"/>
    <w:rsid w:val="0B7D0090"/>
    <w:rsid w:val="0B9774C3"/>
    <w:rsid w:val="0BB56964"/>
    <w:rsid w:val="0C250DA2"/>
    <w:rsid w:val="0C653341"/>
    <w:rsid w:val="0CC47333"/>
    <w:rsid w:val="0CD51056"/>
    <w:rsid w:val="0CF509D4"/>
    <w:rsid w:val="0D1E28F8"/>
    <w:rsid w:val="0D3318B6"/>
    <w:rsid w:val="0D651D13"/>
    <w:rsid w:val="0D6C7631"/>
    <w:rsid w:val="0D8C35F2"/>
    <w:rsid w:val="0D9968CF"/>
    <w:rsid w:val="0D9E535C"/>
    <w:rsid w:val="0DC6772A"/>
    <w:rsid w:val="0DC7380D"/>
    <w:rsid w:val="0DDB4235"/>
    <w:rsid w:val="0DE32326"/>
    <w:rsid w:val="0DEA1FF1"/>
    <w:rsid w:val="0E197DBB"/>
    <w:rsid w:val="0E360559"/>
    <w:rsid w:val="0E484397"/>
    <w:rsid w:val="0E5F4A14"/>
    <w:rsid w:val="0E6D440D"/>
    <w:rsid w:val="0E6F22C2"/>
    <w:rsid w:val="0E733175"/>
    <w:rsid w:val="0E886239"/>
    <w:rsid w:val="0E893A21"/>
    <w:rsid w:val="0EAD5846"/>
    <w:rsid w:val="0ED36FE8"/>
    <w:rsid w:val="0EDD2426"/>
    <w:rsid w:val="0EE319F6"/>
    <w:rsid w:val="0EFE1FD1"/>
    <w:rsid w:val="0F542C1D"/>
    <w:rsid w:val="0F633030"/>
    <w:rsid w:val="0F933E59"/>
    <w:rsid w:val="0FB021B9"/>
    <w:rsid w:val="0FBA2ED5"/>
    <w:rsid w:val="0FDD4B03"/>
    <w:rsid w:val="0FE91D3A"/>
    <w:rsid w:val="0FEB1EA4"/>
    <w:rsid w:val="0FFD2DE2"/>
    <w:rsid w:val="0FFE370C"/>
    <w:rsid w:val="100C7C09"/>
    <w:rsid w:val="10160F86"/>
    <w:rsid w:val="10382E63"/>
    <w:rsid w:val="105B4C78"/>
    <w:rsid w:val="10616506"/>
    <w:rsid w:val="1084248A"/>
    <w:rsid w:val="10892137"/>
    <w:rsid w:val="108D59E4"/>
    <w:rsid w:val="10A21188"/>
    <w:rsid w:val="10C564BA"/>
    <w:rsid w:val="10EA6043"/>
    <w:rsid w:val="10FB3762"/>
    <w:rsid w:val="110A524D"/>
    <w:rsid w:val="111820DA"/>
    <w:rsid w:val="1163262E"/>
    <w:rsid w:val="11BB77CB"/>
    <w:rsid w:val="11ED08C4"/>
    <w:rsid w:val="11F168B4"/>
    <w:rsid w:val="12060CFA"/>
    <w:rsid w:val="12096534"/>
    <w:rsid w:val="125D5FF8"/>
    <w:rsid w:val="12706316"/>
    <w:rsid w:val="12766248"/>
    <w:rsid w:val="12BA215A"/>
    <w:rsid w:val="12F157AA"/>
    <w:rsid w:val="13185394"/>
    <w:rsid w:val="132F6D18"/>
    <w:rsid w:val="13397723"/>
    <w:rsid w:val="133F6FC9"/>
    <w:rsid w:val="134C4EA5"/>
    <w:rsid w:val="13573C67"/>
    <w:rsid w:val="1374243E"/>
    <w:rsid w:val="137D5641"/>
    <w:rsid w:val="1381647E"/>
    <w:rsid w:val="13C03EFE"/>
    <w:rsid w:val="13C20C97"/>
    <w:rsid w:val="13F662BC"/>
    <w:rsid w:val="143F59FD"/>
    <w:rsid w:val="145418D1"/>
    <w:rsid w:val="1463328B"/>
    <w:rsid w:val="1487080D"/>
    <w:rsid w:val="14E635C3"/>
    <w:rsid w:val="14EE5533"/>
    <w:rsid w:val="155E693A"/>
    <w:rsid w:val="156E21AB"/>
    <w:rsid w:val="1575400B"/>
    <w:rsid w:val="15A775E3"/>
    <w:rsid w:val="15B175DD"/>
    <w:rsid w:val="15B32A1A"/>
    <w:rsid w:val="15BB11F2"/>
    <w:rsid w:val="15C66B74"/>
    <w:rsid w:val="15DC535B"/>
    <w:rsid w:val="161632DD"/>
    <w:rsid w:val="161E3DDF"/>
    <w:rsid w:val="16207652"/>
    <w:rsid w:val="16534663"/>
    <w:rsid w:val="165F0C7D"/>
    <w:rsid w:val="16621FED"/>
    <w:rsid w:val="167D5D98"/>
    <w:rsid w:val="16E775CD"/>
    <w:rsid w:val="1710035A"/>
    <w:rsid w:val="17390B93"/>
    <w:rsid w:val="17673720"/>
    <w:rsid w:val="17863BDD"/>
    <w:rsid w:val="17A1431F"/>
    <w:rsid w:val="17DF6F92"/>
    <w:rsid w:val="17DF7E75"/>
    <w:rsid w:val="180A608E"/>
    <w:rsid w:val="18255521"/>
    <w:rsid w:val="185D1EDC"/>
    <w:rsid w:val="18753995"/>
    <w:rsid w:val="18871FDA"/>
    <w:rsid w:val="18931626"/>
    <w:rsid w:val="18A40A34"/>
    <w:rsid w:val="18AF0888"/>
    <w:rsid w:val="18D23B74"/>
    <w:rsid w:val="18E76B63"/>
    <w:rsid w:val="191E1DC7"/>
    <w:rsid w:val="193858C2"/>
    <w:rsid w:val="19865C7F"/>
    <w:rsid w:val="19AE038F"/>
    <w:rsid w:val="19CE0BA2"/>
    <w:rsid w:val="19D25E0D"/>
    <w:rsid w:val="19D83647"/>
    <w:rsid w:val="19E12A82"/>
    <w:rsid w:val="19ED558A"/>
    <w:rsid w:val="1A2504C2"/>
    <w:rsid w:val="1A605470"/>
    <w:rsid w:val="1A781584"/>
    <w:rsid w:val="1A99082A"/>
    <w:rsid w:val="1A9E7732"/>
    <w:rsid w:val="1AB3765A"/>
    <w:rsid w:val="1ACE0284"/>
    <w:rsid w:val="1AFD2812"/>
    <w:rsid w:val="1B1F097C"/>
    <w:rsid w:val="1B2D0C88"/>
    <w:rsid w:val="1B4E56D2"/>
    <w:rsid w:val="1B576596"/>
    <w:rsid w:val="1B5A684D"/>
    <w:rsid w:val="1B8E0FAF"/>
    <w:rsid w:val="1B95658E"/>
    <w:rsid w:val="1BA56961"/>
    <w:rsid w:val="1BC84BE0"/>
    <w:rsid w:val="1C0D533C"/>
    <w:rsid w:val="1C283468"/>
    <w:rsid w:val="1C9571A6"/>
    <w:rsid w:val="1CAB1071"/>
    <w:rsid w:val="1CEC62BA"/>
    <w:rsid w:val="1CF500C2"/>
    <w:rsid w:val="1CF65C17"/>
    <w:rsid w:val="1CF959FA"/>
    <w:rsid w:val="1D0D1A4B"/>
    <w:rsid w:val="1D0F1C37"/>
    <w:rsid w:val="1D301ACA"/>
    <w:rsid w:val="1D393F33"/>
    <w:rsid w:val="1D525547"/>
    <w:rsid w:val="1D8E24EC"/>
    <w:rsid w:val="1DBF3E0B"/>
    <w:rsid w:val="1DC52DE5"/>
    <w:rsid w:val="1DC778D8"/>
    <w:rsid w:val="1DD1701B"/>
    <w:rsid w:val="1DEB1048"/>
    <w:rsid w:val="1DEB1391"/>
    <w:rsid w:val="1E2B61C4"/>
    <w:rsid w:val="1E331958"/>
    <w:rsid w:val="1E6E7B76"/>
    <w:rsid w:val="1EAF27A9"/>
    <w:rsid w:val="1EC353E7"/>
    <w:rsid w:val="1ED07469"/>
    <w:rsid w:val="1F2A1289"/>
    <w:rsid w:val="1F7F5409"/>
    <w:rsid w:val="1FA61D38"/>
    <w:rsid w:val="1FB4206E"/>
    <w:rsid w:val="1FE70766"/>
    <w:rsid w:val="1FEB6976"/>
    <w:rsid w:val="1FEE0E24"/>
    <w:rsid w:val="1FFA2F45"/>
    <w:rsid w:val="200F4E1C"/>
    <w:rsid w:val="20340664"/>
    <w:rsid w:val="20715698"/>
    <w:rsid w:val="207F3524"/>
    <w:rsid w:val="20996606"/>
    <w:rsid w:val="20E05574"/>
    <w:rsid w:val="21044A32"/>
    <w:rsid w:val="211B1C44"/>
    <w:rsid w:val="217B405D"/>
    <w:rsid w:val="21A62298"/>
    <w:rsid w:val="21B52D30"/>
    <w:rsid w:val="21DA7FA4"/>
    <w:rsid w:val="21E04322"/>
    <w:rsid w:val="21F1448F"/>
    <w:rsid w:val="2206010E"/>
    <w:rsid w:val="22064D24"/>
    <w:rsid w:val="22073932"/>
    <w:rsid w:val="22345138"/>
    <w:rsid w:val="22636AB8"/>
    <w:rsid w:val="2287158E"/>
    <w:rsid w:val="228808A6"/>
    <w:rsid w:val="228D4792"/>
    <w:rsid w:val="22B84B0F"/>
    <w:rsid w:val="22F549FC"/>
    <w:rsid w:val="2320604D"/>
    <w:rsid w:val="23E839AA"/>
    <w:rsid w:val="23F044C7"/>
    <w:rsid w:val="24233C73"/>
    <w:rsid w:val="24357ED5"/>
    <w:rsid w:val="24363E12"/>
    <w:rsid w:val="24501CE7"/>
    <w:rsid w:val="245B74DD"/>
    <w:rsid w:val="245C64F2"/>
    <w:rsid w:val="247E44FA"/>
    <w:rsid w:val="24B0760C"/>
    <w:rsid w:val="24D32410"/>
    <w:rsid w:val="24D7623D"/>
    <w:rsid w:val="24EA5BCF"/>
    <w:rsid w:val="25270BB7"/>
    <w:rsid w:val="25327E94"/>
    <w:rsid w:val="255B5C2D"/>
    <w:rsid w:val="25902831"/>
    <w:rsid w:val="25A06F94"/>
    <w:rsid w:val="25B4364C"/>
    <w:rsid w:val="25B61188"/>
    <w:rsid w:val="25BC2267"/>
    <w:rsid w:val="25C26C4E"/>
    <w:rsid w:val="25EE7927"/>
    <w:rsid w:val="26184CBC"/>
    <w:rsid w:val="262657A3"/>
    <w:rsid w:val="26397869"/>
    <w:rsid w:val="26505119"/>
    <w:rsid w:val="26555D2F"/>
    <w:rsid w:val="267A5EB0"/>
    <w:rsid w:val="26C50244"/>
    <w:rsid w:val="26CD2B0A"/>
    <w:rsid w:val="26D5136E"/>
    <w:rsid w:val="26D805E2"/>
    <w:rsid w:val="26ED7824"/>
    <w:rsid w:val="27032B4A"/>
    <w:rsid w:val="27086935"/>
    <w:rsid w:val="271E2707"/>
    <w:rsid w:val="272B5908"/>
    <w:rsid w:val="273C5EE5"/>
    <w:rsid w:val="276C068A"/>
    <w:rsid w:val="27A17431"/>
    <w:rsid w:val="27DB55EE"/>
    <w:rsid w:val="27E84F77"/>
    <w:rsid w:val="28623A63"/>
    <w:rsid w:val="28785D5C"/>
    <w:rsid w:val="28786093"/>
    <w:rsid w:val="2897246D"/>
    <w:rsid w:val="289D7E26"/>
    <w:rsid w:val="28D67838"/>
    <w:rsid w:val="28EF55AC"/>
    <w:rsid w:val="28F2068E"/>
    <w:rsid w:val="29230384"/>
    <w:rsid w:val="294229FF"/>
    <w:rsid w:val="29481670"/>
    <w:rsid w:val="29497FB8"/>
    <w:rsid w:val="29525654"/>
    <w:rsid w:val="29625648"/>
    <w:rsid w:val="298F07C7"/>
    <w:rsid w:val="29BB5585"/>
    <w:rsid w:val="29C55D62"/>
    <w:rsid w:val="29F162DC"/>
    <w:rsid w:val="2A316768"/>
    <w:rsid w:val="2A4B2799"/>
    <w:rsid w:val="2A6E69F2"/>
    <w:rsid w:val="2A742727"/>
    <w:rsid w:val="2A7B689A"/>
    <w:rsid w:val="2A8A6AAF"/>
    <w:rsid w:val="2A9C6761"/>
    <w:rsid w:val="2AA27C58"/>
    <w:rsid w:val="2ABC7FF4"/>
    <w:rsid w:val="2AE938BF"/>
    <w:rsid w:val="2AF8470E"/>
    <w:rsid w:val="2B0F1B59"/>
    <w:rsid w:val="2B336121"/>
    <w:rsid w:val="2B622FB8"/>
    <w:rsid w:val="2B67546A"/>
    <w:rsid w:val="2B837127"/>
    <w:rsid w:val="2B956B8A"/>
    <w:rsid w:val="2BF5706C"/>
    <w:rsid w:val="2C0E3282"/>
    <w:rsid w:val="2C0E4919"/>
    <w:rsid w:val="2C2F725F"/>
    <w:rsid w:val="2C3B44B4"/>
    <w:rsid w:val="2C8017BC"/>
    <w:rsid w:val="2C8D2A3E"/>
    <w:rsid w:val="2C8F26FC"/>
    <w:rsid w:val="2CE32507"/>
    <w:rsid w:val="2CED160E"/>
    <w:rsid w:val="2D4305EA"/>
    <w:rsid w:val="2D561A4D"/>
    <w:rsid w:val="2D6A6A2C"/>
    <w:rsid w:val="2D8353FF"/>
    <w:rsid w:val="2D871E8A"/>
    <w:rsid w:val="2D8B15D4"/>
    <w:rsid w:val="2D984CF0"/>
    <w:rsid w:val="2DA80EEE"/>
    <w:rsid w:val="2DD578A2"/>
    <w:rsid w:val="2DE26DFF"/>
    <w:rsid w:val="2DF01AEF"/>
    <w:rsid w:val="2DF704F7"/>
    <w:rsid w:val="2DF722A9"/>
    <w:rsid w:val="2E30439D"/>
    <w:rsid w:val="2E48456A"/>
    <w:rsid w:val="2E5D3C7E"/>
    <w:rsid w:val="2E5F2B84"/>
    <w:rsid w:val="2E796E82"/>
    <w:rsid w:val="2E8B21D6"/>
    <w:rsid w:val="2E951D88"/>
    <w:rsid w:val="2E956CAD"/>
    <w:rsid w:val="2EAE02A2"/>
    <w:rsid w:val="2ED2099F"/>
    <w:rsid w:val="2F096454"/>
    <w:rsid w:val="2F3D797A"/>
    <w:rsid w:val="2F7C682B"/>
    <w:rsid w:val="2F8D3CAA"/>
    <w:rsid w:val="300F7FC8"/>
    <w:rsid w:val="303112E6"/>
    <w:rsid w:val="303B7EF6"/>
    <w:rsid w:val="303F4E4C"/>
    <w:rsid w:val="30573881"/>
    <w:rsid w:val="305F7653"/>
    <w:rsid w:val="3082118E"/>
    <w:rsid w:val="309004E9"/>
    <w:rsid w:val="309D12BA"/>
    <w:rsid w:val="309D5F8B"/>
    <w:rsid w:val="30DE5ECB"/>
    <w:rsid w:val="30F44547"/>
    <w:rsid w:val="310058F5"/>
    <w:rsid w:val="3100712D"/>
    <w:rsid w:val="31067625"/>
    <w:rsid w:val="311E4FB6"/>
    <w:rsid w:val="314D1DDF"/>
    <w:rsid w:val="31510426"/>
    <w:rsid w:val="315C2417"/>
    <w:rsid w:val="317C5B2A"/>
    <w:rsid w:val="31811B8D"/>
    <w:rsid w:val="319D1801"/>
    <w:rsid w:val="31A94A42"/>
    <w:rsid w:val="31AC4FEB"/>
    <w:rsid w:val="31BD5FB0"/>
    <w:rsid w:val="322C06D5"/>
    <w:rsid w:val="32451568"/>
    <w:rsid w:val="32737BDA"/>
    <w:rsid w:val="3287074D"/>
    <w:rsid w:val="328E74F1"/>
    <w:rsid w:val="32B00DE9"/>
    <w:rsid w:val="32CD6F63"/>
    <w:rsid w:val="32EF1CAE"/>
    <w:rsid w:val="334A45CF"/>
    <w:rsid w:val="33571B56"/>
    <w:rsid w:val="33594CE7"/>
    <w:rsid w:val="33AF770F"/>
    <w:rsid w:val="33B915CC"/>
    <w:rsid w:val="33CF2460"/>
    <w:rsid w:val="33E52879"/>
    <w:rsid w:val="3400492F"/>
    <w:rsid w:val="3408412E"/>
    <w:rsid w:val="343815F7"/>
    <w:rsid w:val="345B0FDF"/>
    <w:rsid w:val="347D12EB"/>
    <w:rsid w:val="34AF2E3A"/>
    <w:rsid w:val="34B161AC"/>
    <w:rsid w:val="34C04DF3"/>
    <w:rsid w:val="34D96614"/>
    <w:rsid w:val="34EC68ED"/>
    <w:rsid w:val="35035F50"/>
    <w:rsid w:val="35076C42"/>
    <w:rsid w:val="351164E4"/>
    <w:rsid w:val="353F4A0B"/>
    <w:rsid w:val="35B70047"/>
    <w:rsid w:val="35ED7135"/>
    <w:rsid w:val="364C6984"/>
    <w:rsid w:val="36567168"/>
    <w:rsid w:val="36625DD1"/>
    <w:rsid w:val="366F23BE"/>
    <w:rsid w:val="367A1153"/>
    <w:rsid w:val="36964CD5"/>
    <w:rsid w:val="36B25CA3"/>
    <w:rsid w:val="36C7000A"/>
    <w:rsid w:val="36ED14D7"/>
    <w:rsid w:val="36F01751"/>
    <w:rsid w:val="370E7984"/>
    <w:rsid w:val="3745604C"/>
    <w:rsid w:val="376C40EC"/>
    <w:rsid w:val="377817FB"/>
    <w:rsid w:val="37A4570C"/>
    <w:rsid w:val="37D07F3E"/>
    <w:rsid w:val="382F1068"/>
    <w:rsid w:val="384A4600"/>
    <w:rsid w:val="38737EF3"/>
    <w:rsid w:val="387D2DB3"/>
    <w:rsid w:val="38CC513D"/>
    <w:rsid w:val="38E64B98"/>
    <w:rsid w:val="39241690"/>
    <w:rsid w:val="392E787F"/>
    <w:rsid w:val="3948332C"/>
    <w:rsid w:val="39794F44"/>
    <w:rsid w:val="3990346C"/>
    <w:rsid w:val="399676FC"/>
    <w:rsid w:val="39AF6724"/>
    <w:rsid w:val="39CE7522"/>
    <w:rsid w:val="3A0746DD"/>
    <w:rsid w:val="3A3C5E46"/>
    <w:rsid w:val="3A644800"/>
    <w:rsid w:val="3A6513E4"/>
    <w:rsid w:val="3A775E80"/>
    <w:rsid w:val="3AD25CCE"/>
    <w:rsid w:val="3B1A6B6E"/>
    <w:rsid w:val="3B806C10"/>
    <w:rsid w:val="3BA702AB"/>
    <w:rsid w:val="3BA96899"/>
    <w:rsid w:val="3BB35985"/>
    <w:rsid w:val="3BCB36DA"/>
    <w:rsid w:val="3BDE7115"/>
    <w:rsid w:val="3BF71F2B"/>
    <w:rsid w:val="3C1A5DC5"/>
    <w:rsid w:val="3C274F8E"/>
    <w:rsid w:val="3C3E2036"/>
    <w:rsid w:val="3C630E21"/>
    <w:rsid w:val="3CA97F7E"/>
    <w:rsid w:val="3CB34F25"/>
    <w:rsid w:val="3CC52B88"/>
    <w:rsid w:val="3D14595B"/>
    <w:rsid w:val="3D2A3214"/>
    <w:rsid w:val="3D5B5A27"/>
    <w:rsid w:val="3D804301"/>
    <w:rsid w:val="3D86207D"/>
    <w:rsid w:val="3D90357A"/>
    <w:rsid w:val="3D9C3C6C"/>
    <w:rsid w:val="3DE552DD"/>
    <w:rsid w:val="3DE660D2"/>
    <w:rsid w:val="3DF44BFA"/>
    <w:rsid w:val="3DF63E67"/>
    <w:rsid w:val="3E417F56"/>
    <w:rsid w:val="3E4D7134"/>
    <w:rsid w:val="3E623EA9"/>
    <w:rsid w:val="3E693067"/>
    <w:rsid w:val="3E725891"/>
    <w:rsid w:val="3E7638EA"/>
    <w:rsid w:val="3E7D44A1"/>
    <w:rsid w:val="3E8556DD"/>
    <w:rsid w:val="3E915881"/>
    <w:rsid w:val="3ED87441"/>
    <w:rsid w:val="3EFB1E21"/>
    <w:rsid w:val="3F656F10"/>
    <w:rsid w:val="3F84753E"/>
    <w:rsid w:val="3F893707"/>
    <w:rsid w:val="3F9B1E76"/>
    <w:rsid w:val="3FE32ADD"/>
    <w:rsid w:val="400F0D94"/>
    <w:rsid w:val="402C61F2"/>
    <w:rsid w:val="409C1170"/>
    <w:rsid w:val="40B439F5"/>
    <w:rsid w:val="40D140BF"/>
    <w:rsid w:val="40DD0DCF"/>
    <w:rsid w:val="40F17041"/>
    <w:rsid w:val="41042194"/>
    <w:rsid w:val="41126488"/>
    <w:rsid w:val="411D04C4"/>
    <w:rsid w:val="411D4B2F"/>
    <w:rsid w:val="41383788"/>
    <w:rsid w:val="41471FA4"/>
    <w:rsid w:val="414A13A5"/>
    <w:rsid w:val="41523E4E"/>
    <w:rsid w:val="417E5AD3"/>
    <w:rsid w:val="41E36BD1"/>
    <w:rsid w:val="420E0C85"/>
    <w:rsid w:val="421901B3"/>
    <w:rsid w:val="42576F27"/>
    <w:rsid w:val="427E61EB"/>
    <w:rsid w:val="42984E79"/>
    <w:rsid w:val="42BD45D3"/>
    <w:rsid w:val="42D07758"/>
    <w:rsid w:val="42D438F4"/>
    <w:rsid w:val="43025F91"/>
    <w:rsid w:val="43482102"/>
    <w:rsid w:val="434A4E89"/>
    <w:rsid w:val="438C578B"/>
    <w:rsid w:val="441F0008"/>
    <w:rsid w:val="443D7BAD"/>
    <w:rsid w:val="44650076"/>
    <w:rsid w:val="44745CB0"/>
    <w:rsid w:val="44837B66"/>
    <w:rsid w:val="44881225"/>
    <w:rsid w:val="44907A06"/>
    <w:rsid w:val="44975290"/>
    <w:rsid w:val="44B31668"/>
    <w:rsid w:val="44B84534"/>
    <w:rsid w:val="44CA0AFC"/>
    <w:rsid w:val="44E17F42"/>
    <w:rsid w:val="44E72772"/>
    <w:rsid w:val="44F34C11"/>
    <w:rsid w:val="4505255D"/>
    <w:rsid w:val="456F4842"/>
    <w:rsid w:val="4592615D"/>
    <w:rsid w:val="459C5F27"/>
    <w:rsid w:val="459F4E17"/>
    <w:rsid w:val="45B35181"/>
    <w:rsid w:val="45DE4FE0"/>
    <w:rsid w:val="46186D9B"/>
    <w:rsid w:val="462615F2"/>
    <w:rsid w:val="46481F82"/>
    <w:rsid w:val="465140CD"/>
    <w:rsid w:val="46C4396D"/>
    <w:rsid w:val="46F720CD"/>
    <w:rsid w:val="470E4C14"/>
    <w:rsid w:val="47135D92"/>
    <w:rsid w:val="47145FB7"/>
    <w:rsid w:val="471D317B"/>
    <w:rsid w:val="47640266"/>
    <w:rsid w:val="47837841"/>
    <w:rsid w:val="47A868D4"/>
    <w:rsid w:val="47B563D2"/>
    <w:rsid w:val="47B74AF5"/>
    <w:rsid w:val="481F1053"/>
    <w:rsid w:val="483F60A1"/>
    <w:rsid w:val="48473652"/>
    <w:rsid w:val="4870375C"/>
    <w:rsid w:val="487055F5"/>
    <w:rsid w:val="487B3DC6"/>
    <w:rsid w:val="48BD4C6E"/>
    <w:rsid w:val="48F41DC3"/>
    <w:rsid w:val="492C42A0"/>
    <w:rsid w:val="49301E08"/>
    <w:rsid w:val="49323D09"/>
    <w:rsid w:val="495A04AA"/>
    <w:rsid w:val="496241F5"/>
    <w:rsid w:val="49710DF8"/>
    <w:rsid w:val="49770E5A"/>
    <w:rsid w:val="49C547CC"/>
    <w:rsid w:val="49D252E6"/>
    <w:rsid w:val="49D45CD6"/>
    <w:rsid w:val="49F24791"/>
    <w:rsid w:val="4A1C5D69"/>
    <w:rsid w:val="4A216434"/>
    <w:rsid w:val="4A592B96"/>
    <w:rsid w:val="4A9152BD"/>
    <w:rsid w:val="4AA04303"/>
    <w:rsid w:val="4ABB5736"/>
    <w:rsid w:val="4AF8555B"/>
    <w:rsid w:val="4B3B54E4"/>
    <w:rsid w:val="4B425287"/>
    <w:rsid w:val="4B4746E3"/>
    <w:rsid w:val="4B663750"/>
    <w:rsid w:val="4B731588"/>
    <w:rsid w:val="4B897B98"/>
    <w:rsid w:val="4BA20206"/>
    <w:rsid w:val="4BB00873"/>
    <w:rsid w:val="4BB546F9"/>
    <w:rsid w:val="4BCB4848"/>
    <w:rsid w:val="4BE2225A"/>
    <w:rsid w:val="4BE54DEB"/>
    <w:rsid w:val="4C0904B1"/>
    <w:rsid w:val="4C64266B"/>
    <w:rsid w:val="4C8B4E77"/>
    <w:rsid w:val="4CCB1523"/>
    <w:rsid w:val="4D031B86"/>
    <w:rsid w:val="4D083DF6"/>
    <w:rsid w:val="4D0A353E"/>
    <w:rsid w:val="4D24558E"/>
    <w:rsid w:val="4D285DCE"/>
    <w:rsid w:val="4D5A02A2"/>
    <w:rsid w:val="4D5A4BAF"/>
    <w:rsid w:val="4D5A5044"/>
    <w:rsid w:val="4D60020D"/>
    <w:rsid w:val="4D620ECA"/>
    <w:rsid w:val="4D841D13"/>
    <w:rsid w:val="4D990D81"/>
    <w:rsid w:val="4DB163E5"/>
    <w:rsid w:val="4DCE5AE8"/>
    <w:rsid w:val="4DD752AA"/>
    <w:rsid w:val="4DF31ED6"/>
    <w:rsid w:val="4DF74CAB"/>
    <w:rsid w:val="4E3917D8"/>
    <w:rsid w:val="4E59099E"/>
    <w:rsid w:val="4E7D2497"/>
    <w:rsid w:val="4EB42B99"/>
    <w:rsid w:val="4ED73A9B"/>
    <w:rsid w:val="4EE91E07"/>
    <w:rsid w:val="4F03499A"/>
    <w:rsid w:val="4F1075F6"/>
    <w:rsid w:val="4F213D9A"/>
    <w:rsid w:val="4F3B1CBC"/>
    <w:rsid w:val="4F3B5E42"/>
    <w:rsid w:val="4F4628AE"/>
    <w:rsid w:val="4F505E73"/>
    <w:rsid w:val="4F593278"/>
    <w:rsid w:val="4F9B50CF"/>
    <w:rsid w:val="4FA664C8"/>
    <w:rsid w:val="4FA68E60"/>
    <w:rsid w:val="4FAB1C96"/>
    <w:rsid w:val="4FE32CA4"/>
    <w:rsid w:val="506D10F4"/>
    <w:rsid w:val="506F6DB4"/>
    <w:rsid w:val="507F724A"/>
    <w:rsid w:val="50932E71"/>
    <w:rsid w:val="509C3F12"/>
    <w:rsid w:val="50A001A2"/>
    <w:rsid w:val="50BB4E7B"/>
    <w:rsid w:val="50D67E4D"/>
    <w:rsid w:val="51311F2A"/>
    <w:rsid w:val="513170AE"/>
    <w:rsid w:val="513D2180"/>
    <w:rsid w:val="51454152"/>
    <w:rsid w:val="518E6355"/>
    <w:rsid w:val="51AC5CC8"/>
    <w:rsid w:val="51DE287E"/>
    <w:rsid w:val="51F367B1"/>
    <w:rsid w:val="52156765"/>
    <w:rsid w:val="521E5CDB"/>
    <w:rsid w:val="52204300"/>
    <w:rsid w:val="523B1CC2"/>
    <w:rsid w:val="525E17BE"/>
    <w:rsid w:val="5278147E"/>
    <w:rsid w:val="52991639"/>
    <w:rsid w:val="52BC46E6"/>
    <w:rsid w:val="52D317FC"/>
    <w:rsid w:val="52DC1B34"/>
    <w:rsid w:val="52F23CDF"/>
    <w:rsid w:val="52F62578"/>
    <w:rsid w:val="53044A0F"/>
    <w:rsid w:val="531811B6"/>
    <w:rsid w:val="531D1F5C"/>
    <w:rsid w:val="53370928"/>
    <w:rsid w:val="533E3172"/>
    <w:rsid w:val="53546857"/>
    <w:rsid w:val="5365777F"/>
    <w:rsid w:val="536E2753"/>
    <w:rsid w:val="53843668"/>
    <w:rsid w:val="5389637F"/>
    <w:rsid w:val="53A44820"/>
    <w:rsid w:val="53B30306"/>
    <w:rsid w:val="53C95A69"/>
    <w:rsid w:val="53EF33A6"/>
    <w:rsid w:val="540134AA"/>
    <w:rsid w:val="543F0DA3"/>
    <w:rsid w:val="54500AE7"/>
    <w:rsid w:val="548D64F1"/>
    <w:rsid w:val="54AE6372"/>
    <w:rsid w:val="54B521CC"/>
    <w:rsid w:val="54D74196"/>
    <w:rsid w:val="552011F6"/>
    <w:rsid w:val="555363FB"/>
    <w:rsid w:val="556104CB"/>
    <w:rsid w:val="556631CA"/>
    <w:rsid w:val="556E47D8"/>
    <w:rsid w:val="559C3B76"/>
    <w:rsid w:val="55AE0428"/>
    <w:rsid w:val="55F2117A"/>
    <w:rsid w:val="56167BAD"/>
    <w:rsid w:val="562577D7"/>
    <w:rsid w:val="562A5EA4"/>
    <w:rsid w:val="563F4325"/>
    <w:rsid w:val="566C3EE4"/>
    <w:rsid w:val="56C858B9"/>
    <w:rsid w:val="56D14D5D"/>
    <w:rsid w:val="56EE433B"/>
    <w:rsid w:val="57087A45"/>
    <w:rsid w:val="57462C39"/>
    <w:rsid w:val="57725523"/>
    <w:rsid w:val="57CD29A7"/>
    <w:rsid w:val="57DC0EE0"/>
    <w:rsid w:val="57E64570"/>
    <w:rsid w:val="580B2E6C"/>
    <w:rsid w:val="581D2CF1"/>
    <w:rsid w:val="58307817"/>
    <w:rsid w:val="585849A5"/>
    <w:rsid w:val="585C32F4"/>
    <w:rsid w:val="58675651"/>
    <w:rsid w:val="58B45910"/>
    <w:rsid w:val="58E86620"/>
    <w:rsid w:val="58EC2DBC"/>
    <w:rsid w:val="59053416"/>
    <w:rsid w:val="5968750F"/>
    <w:rsid w:val="596D45F7"/>
    <w:rsid w:val="597E3878"/>
    <w:rsid w:val="59A860BF"/>
    <w:rsid w:val="59A94E1B"/>
    <w:rsid w:val="59B473A0"/>
    <w:rsid w:val="59B9005E"/>
    <w:rsid w:val="59D04B52"/>
    <w:rsid w:val="59EC278D"/>
    <w:rsid w:val="5A387033"/>
    <w:rsid w:val="5A626CF2"/>
    <w:rsid w:val="5A690D4F"/>
    <w:rsid w:val="5AB24FF2"/>
    <w:rsid w:val="5AD356C5"/>
    <w:rsid w:val="5B357F7A"/>
    <w:rsid w:val="5B404D59"/>
    <w:rsid w:val="5B4D65F4"/>
    <w:rsid w:val="5B7720EB"/>
    <w:rsid w:val="5B87476D"/>
    <w:rsid w:val="5C0009AC"/>
    <w:rsid w:val="5C012828"/>
    <w:rsid w:val="5C016819"/>
    <w:rsid w:val="5C132A28"/>
    <w:rsid w:val="5C535E82"/>
    <w:rsid w:val="5C7E21C5"/>
    <w:rsid w:val="5C857DE3"/>
    <w:rsid w:val="5CC0097A"/>
    <w:rsid w:val="5CCB5D72"/>
    <w:rsid w:val="5CE779F9"/>
    <w:rsid w:val="5D043005"/>
    <w:rsid w:val="5D0A2086"/>
    <w:rsid w:val="5D1E54C2"/>
    <w:rsid w:val="5D4F43FD"/>
    <w:rsid w:val="5D621D56"/>
    <w:rsid w:val="5D642A5D"/>
    <w:rsid w:val="5D6B71CA"/>
    <w:rsid w:val="5D7458B8"/>
    <w:rsid w:val="5D87437D"/>
    <w:rsid w:val="5DB74E78"/>
    <w:rsid w:val="5DC93C5E"/>
    <w:rsid w:val="5DF51D18"/>
    <w:rsid w:val="5E032267"/>
    <w:rsid w:val="5E31219C"/>
    <w:rsid w:val="5E8A26FD"/>
    <w:rsid w:val="5E9879A8"/>
    <w:rsid w:val="5EA8060A"/>
    <w:rsid w:val="5EEA29A9"/>
    <w:rsid w:val="5EED20A3"/>
    <w:rsid w:val="5F154D66"/>
    <w:rsid w:val="5F3B1CB3"/>
    <w:rsid w:val="5F883E1E"/>
    <w:rsid w:val="5FCA6ACF"/>
    <w:rsid w:val="5FCD00EB"/>
    <w:rsid w:val="60061196"/>
    <w:rsid w:val="60077D12"/>
    <w:rsid w:val="6020564F"/>
    <w:rsid w:val="60235421"/>
    <w:rsid w:val="60310E97"/>
    <w:rsid w:val="603A3ED9"/>
    <w:rsid w:val="605D6929"/>
    <w:rsid w:val="60756C22"/>
    <w:rsid w:val="60936322"/>
    <w:rsid w:val="60BD1735"/>
    <w:rsid w:val="60C66A8D"/>
    <w:rsid w:val="60E64E4C"/>
    <w:rsid w:val="60FB1B16"/>
    <w:rsid w:val="612F5D44"/>
    <w:rsid w:val="61313FEB"/>
    <w:rsid w:val="61330B77"/>
    <w:rsid w:val="61462EAB"/>
    <w:rsid w:val="61661327"/>
    <w:rsid w:val="61A84590"/>
    <w:rsid w:val="61CF4135"/>
    <w:rsid w:val="61EA7D14"/>
    <w:rsid w:val="623C5246"/>
    <w:rsid w:val="6278045E"/>
    <w:rsid w:val="627C1C4F"/>
    <w:rsid w:val="62896C7D"/>
    <w:rsid w:val="63072211"/>
    <w:rsid w:val="63333E8E"/>
    <w:rsid w:val="633B411B"/>
    <w:rsid w:val="63432D49"/>
    <w:rsid w:val="6345701E"/>
    <w:rsid w:val="635112BA"/>
    <w:rsid w:val="63636DED"/>
    <w:rsid w:val="63E61662"/>
    <w:rsid w:val="63F143DC"/>
    <w:rsid w:val="63FE1131"/>
    <w:rsid w:val="640D0571"/>
    <w:rsid w:val="64187DFC"/>
    <w:rsid w:val="64242223"/>
    <w:rsid w:val="642F55ED"/>
    <w:rsid w:val="6446590C"/>
    <w:rsid w:val="645B6C20"/>
    <w:rsid w:val="64744704"/>
    <w:rsid w:val="647D63EA"/>
    <w:rsid w:val="648461DC"/>
    <w:rsid w:val="64AC40B1"/>
    <w:rsid w:val="64BC448E"/>
    <w:rsid w:val="655D7972"/>
    <w:rsid w:val="656C1020"/>
    <w:rsid w:val="65B941A0"/>
    <w:rsid w:val="65C2430E"/>
    <w:rsid w:val="65C578BA"/>
    <w:rsid w:val="65E00EFE"/>
    <w:rsid w:val="65E03B2F"/>
    <w:rsid w:val="6628171C"/>
    <w:rsid w:val="66282965"/>
    <w:rsid w:val="666C4A35"/>
    <w:rsid w:val="66861FE6"/>
    <w:rsid w:val="66952ECC"/>
    <w:rsid w:val="66CB00B0"/>
    <w:rsid w:val="670D0B1D"/>
    <w:rsid w:val="671152AE"/>
    <w:rsid w:val="677C5543"/>
    <w:rsid w:val="67E7504B"/>
    <w:rsid w:val="67FB33F2"/>
    <w:rsid w:val="680E1FB5"/>
    <w:rsid w:val="68322986"/>
    <w:rsid w:val="685D51F2"/>
    <w:rsid w:val="6863093C"/>
    <w:rsid w:val="686856C6"/>
    <w:rsid w:val="68A37E4C"/>
    <w:rsid w:val="68C37775"/>
    <w:rsid w:val="690D41FA"/>
    <w:rsid w:val="691D1714"/>
    <w:rsid w:val="69411647"/>
    <w:rsid w:val="69795A03"/>
    <w:rsid w:val="69A03D81"/>
    <w:rsid w:val="69A057D4"/>
    <w:rsid w:val="69C34A49"/>
    <w:rsid w:val="69FD33F0"/>
    <w:rsid w:val="6A2E1D8C"/>
    <w:rsid w:val="6A393E08"/>
    <w:rsid w:val="6A3A5422"/>
    <w:rsid w:val="6A8354E6"/>
    <w:rsid w:val="6B02276F"/>
    <w:rsid w:val="6B1364BA"/>
    <w:rsid w:val="6B1921BB"/>
    <w:rsid w:val="6B7A709D"/>
    <w:rsid w:val="6B91136E"/>
    <w:rsid w:val="6BAC09B4"/>
    <w:rsid w:val="6BB60003"/>
    <w:rsid w:val="6BD80281"/>
    <w:rsid w:val="6BF266FA"/>
    <w:rsid w:val="6C022DB1"/>
    <w:rsid w:val="6C0B5377"/>
    <w:rsid w:val="6C0F1484"/>
    <w:rsid w:val="6C2157FD"/>
    <w:rsid w:val="6C2F6451"/>
    <w:rsid w:val="6C306400"/>
    <w:rsid w:val="6C367C61"/>
    <w:rsid w:val="6C7C5CB2"/>
    <w:rsid w:val="6CC4101D"/>
    <w:rsid w:val="6D0D103C"/>
    <w:rsid w:val="6D0E4555"/>
    <w:rsid w:val="6D102645"/>
    <w:rsid w:val="6D123303"/>
    <w:rsid w:val="6D177955"/>
    <w:rsid w:val="6D564D16"/>
    <w:rsid w:val="6D6D6C0F"/>
    <w:rsid w:val="6D7F4976"/>
    <w:rsid w:val="6DA94082"/>
    <w:rsid w:val="6DCF55D1"/>
    <w:rsid w:val="6E2A1414"/>
    <w:rsid w:val="6E7E7359"/>
    <w:rsid w:val="6E880145"/>
    <w:rsid w:val="6E9603C1"/>
    <w:rsid w:val="6EAC50F4"/>
    <w:rsid w:val="6EDC164B"/>
    <w:rsid w:val="6F1C1205"/>
    <w:rsid w:val="6FA82032"/>
    <w:rsid w:val="6FC322B5"/>
    <w:rsid w:val="6FF612EB"/>
    <w:rsid w:val="700729D3"/>
    <w:rsid w:val="701F3E73"/>
    <w:rsid w:val="703E2DA0"/>
    <w:rsid w:val="70697F27"/>
    <w:rsid w:val="709800F5"/>
    <w:rsid w:val="70B56CFD"/>
    <w:rsid w:val="70FB24B0"/>
    <w:rsid w:val="70FC2B17"/>
    <w:rsid w:val="712C3BBE"/>
    <w:rsid w:val="71631DC6"/>
    <w:rsid w:val="71664D70"/>
    <w:rsid w:val="717F0D3E"/>
    <w:rsid w:val="71941E53"/>
    <w:rsid w:val="71F45031"/>
    <w:rsid w:val="71FA5FF1"/>
    <w:rsid w:val="72193D74"/>
    <w:rsid w:val="7238493D"/>
    <w:rsid w:val="723864A9"/>
    <w:rsid w:val="723F23D6"/>
    <w:rsid w:val="72400148"/>
    <w:rsid w:val="72631870"/>
    <w:rsid w:val="7272245C"/>
    <w:rsid w:val="72790A5A"/>
    <w:rsid w:val="728A6570"/>
    <w:rsid w:val="72992115"/>
    <w:rsid w:val="72A76BB5"/>
    <w:rsid w:val="72BC5118"/>
    <w:rsid w:val="72F7582F"/>
    <w:rsid w:val="73075ED3"/>
    <w:rsid w:val="73394086"/>
    <w:rsid w:val="73546EA0"/>
    <w:rsid w:val="73880040"/>
    <w:rsid w:val="73FE4AB3"/>
    <w:rsid w:val="7405792D"/>
    <w:rsid w:val="744411FA"/>
    <w:rsid w:val="745F610E"/>
    <w:rsid w:val="74604E15"/>
    <w:rsid w:val="746218F5"/>
    <w:rsid w:val="746904A7"/>
    <w:rsid w:val="7483421B"/>
    <w:rsid w:val="74906680"/>
    <w:rsid w:val="74BA4362"/>
    <w:rsid w:val="74E26AB6"/>
    <w:rsid w:val="75116887"/>
    <w:rsid w:val="752B0825"/>
    <w:rsid w:val="754F4BCF"/>
    <w:rsid w:val="7566108C"/>
    <w:rsid w:val="7595402F"/>
    <w:rsid w:val="75D14462"/>
    <w:rsid w:val="75D91323"/>
    <w:rsid w:val="75E12C2B"/>
    <w:rsid w:val="76026448"/>
    <w:rsid w:val="7608281F"/>
    <w:rsid w:val="76306C0B"/>
    <w:rsid w:val="763E7B17"/>
    <w:rsid w:val="76561E86"/>
    <w:rsid w:val="768B4D60"/>
    <w:rsid w:val="768E7C0A"/>
    <w:rsid w:val="7696031C"/>
    <w:rsid w:val="76C23F72"/>
    <w:rsid w:val="771D3459"/>
    <w:rsid w:val="772D49A4"/>
    <w:rsid w:val="77997469"/>
    <w:rsid w:val="77B001DA"/>
    <w:rsid w:val="77B171D8"/>
    <w:rsid w:val="77B916FB"/>
    <w:rsid w:val="77EA08EE"/>
    <w:rsid w:val="77FA2F96"/>
    <w:rsid w:val="78036D78"/>
    <w:rsid w:val="781234FE"/>
    <w:rsid w:val="78533D13"/>
    <w:rsid w:val="785539F5"/>
    <w:rsid w:val="786378F9"/>
    <w:rsid w:val="78D164CF"/>
    <w:rsid w:val="794B65F2"/>
    <w:rsid w:val="79697295"/>
    <w:rsid w:val="79CA3C4F"/>
    <w:rsid w:val="79FD79E9"/>
    <w:rsid w:val="7A3252E6"/>
    <w:rsid w:val="7A600252"/>
    <w:rsid w:val="7A630C75"/>
    <w:rsid w:val="7AB497AE"/>
    <w:rsid w:val="7ADE0E8D"/>
    <w:rsid w:val="7AF93594"/>
    <w:rsid w:val="7B5E37FA"/>
    <w:rsid w:val="7B6063DB"/>
    <w:rsid w:val="7B787E30"/>
    <w:rsid w:val="7B9630DD"/>
    <w:rsid w:val="7BAB130D"/>
    <w:rsid w:val="7BBE7662"/>
    <w:rsid w:val="7BEB031F"/>
    <w:rsid w:val="7BED5525"/>
    <w:rsid w:val="7BF2042A"/>
    <w:rsid w:val="7C221C00"/>
    <w:rsid w:val="7C334202"/>
    <w:rsid w:val="7C9C4FF0"/>
    <w:rsid w:val="7CB20BF4"/>
    <w:rsid w:val="7CDE7FC7"/>
    <w:rsid w:val="7CF10881"/>
    <w:rsid w:val="7CFB3B00"/>
    <w:rsid w:val="7D2645ED"/>
    <w:rsid w:val="7D563064"/>
    <w:rsid w:val="7D571042"/>
    <w:rsid w:val="7D597432"/>
    <w:rsid w:val="7DC04CAE"/>
    <w:rsid w:val="7DC71511"/>
    <w:rsid w:val="7DD60DEB"/>
    <w:rsid w:val="7DD660CB"/>
    <w:rsid w:val="7E3B2818"/>
    <w:rsid w:val="7E986512"/>
    <w:rsid w:val="7EE3636A"/>
    <w:rsid w:val="7EE40C1D"/>
    <w:rsid w:val="7EFA1302"/>
    <w:rsid w:val="7F1C0415"/>
    <w:rsid w:val="7F6F0C74"/>
    <w:rsid w:val="7F8E0948"/>
    <w:rsid w:val="7F9027E3"/>
    <w:rsid w:val="7F996D38"/>
    <w:rsid w:val="7FB23A20"/>
    <w:rsid w:val="7FD07188"/>
    <w:rsid w:val="7FDC678E"/>
    <w:rsid w:val="7FF17F76"/>
    <w:rsid w:val="7FFCB806"/>
    <w:rsid w:val="8A9F43E1"/>
    <w:rsid w:val="8CFD3031"/>
    <w:rsid w:val="AE7F320D"/>
    <w:rsid w:val="AFD7FB0C"/>
    <w:rsid w:val="B5AF8F02"/>
    <w:rsid w:val="BBFF0479"/>
    <w:rsid w:val="EBFEACB6"/>
    <w:rsid w:val="F1DC2B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_GB2312" w:cs="Times New Roman"/>
      <w:kern w:val="2"/>
      <w:sz w:val="30"/>
      <w:szCs w:val="22"/>
      <w:lang w:val="en-US" w:eastAsia="zh-CN" w:bidi="ar-SA"/>
    </w:rPr>
  </w:style>
  <w:style w:type="paragraph" w:styleId="3">
    <w:name w:val="heading 1"/>
    <w:basedOn w:val="1"/>
    <w:next w:val="1"/>
    <w:link w:val="77"/>
    <w:qFormat/>
    <w:uiPriority w:val="0"/>
    <w:pPr>
      <w:keepNext/>
      <w:keepLines/>
      <w:spacing w:before="340" w:after="330"/>
      <w:ind w:firstLine="0" w:firstLineChars="0"/>
      <w:jc w:val="left"/>
      <w:outlineLvl w:val="0"/>
    </w:pPr>
    <w:rPr>
      <w:rFonts w:eastAsia="方正小标宋简体"/>
      <w:b/>
      <w:kern w:val="44"/>
      <w:sz w:val="36"/>
    </w:rPr>
  </w:style>
  <w:style w:type="paragraph" w:styleId="4">
    <w:name w:val="heading 2"/>
    <w:basedOn w:val="1"/>
    <w:next w:val="1"/>
    <w:link w:val="33"/>
    <w:qFormat/>
    <w:uiPriority w:val="0"/>
    <w:pPr>
      <w:keepNext/>
      <w:keepLines/>
      <w:numPr>
        <w:ilvl w:val="1"/>
        <w:numId w:val="1"/>
      </w:numPr>
      <w:spacing w:before="220" w:after="220" w:line="413" w:lineRule="auto"/>
      <w:ind w:firstLineChars="0"/>
      <w:outlineLvl w:val="1"/>
    </w:pPr>
    <w:rPr>
      <w:rFonts w:ascii="Arial" w:hAnsi="Arial" w:eastAsia="方正小标宋简体"/>
      <w:b/>
      <w:sz w:val="32"/>
    </w:rPr>
  </w:style>
  <w:style w:type="paragraph" w:styleId="5">
    <w:name w:val="heading 3"/>
    <w:basedOn w:val="1"/>
    <w:next w:val="1"/>
    <w:qFormat/>
    <w:uiPriority w:val="0"/>
    <w:pPr>
      <w:keepNext/>
      <w:keepLines/>
      <w:numPr>
        <w:ilvl w:val="2"/>
        <w:numId w:val="1"/>
      </w:numPr>
      <w:spacing w:before="260" w:after="260" w:line="413" w:lineRule="auto"/>
      <w:ind w:firstLine="0" w:firstLineChars="0"/>
      <w:outlineLvl w:val="2"/>
    </w:pPr>
    <w:rPr>
      <w:b/>
      <w:sz w:val="32"/>
    </w:rPr>
  </w:style>
  <w:style w:type="paragraph" w:styleId="6">
    <w:name w:val="heading 4"/>
    <w:basedOn w:val="1"/>
    <w:next w:val="1"/>
    <w:qFormat/>
    <w:uiPriority w:val="0"/>
    <w:pPr>
      <w:keepNext/>
      <w:keepLines/>
      <w:numPr>
        <w:ilvl w:val="3"/>
        <w:numId w:val="1"/>
      </w:numPr>
      <w:spacing w:before="280" w:after="290" w:line="372" w:lineRule="auto"/>
      <w:ind w:firstLine="0" w:firstLineChars="0"/>
      <w:outlineLvl w:val="3"/>
    </w:pPr>
    <w:rPr>
      <w:rFonts w:ascii="Arial" w:hAnsi="Arial" w:eastAsia="黑体"/>
      <w:b/>
      <w:sz w:val="28"/>
    </w:rPr>
  </w:style>
  <w:style w:type="paragraph" w:styleId="7">
    <w:name w:val="heading 5"/>
    <w:basedOn w:val="1"/>
    <w:next w:val="1"/>
    <w:qFormat/>
    <w:uiPriority w:val="0"/>
    <w:pPr>
      <w:keepNext/>
      <w:keepLines/>
      <w:numPr>
        <w:ilvl w:val="4"/>
        <w:numId w:val="1"/>
      </w:numPr>
      <w:spacing w:before="280" w:after="290" w:line="372" w:lineRule="auto"/>
      <w:ind w:firstLine="0" w:firstLineChars="0"/>
      <w:outlineLvl w:val="4"/>
    </w:pPr>
    <w:rPr>
      <w:b/>
      <w:sz w:val="28"/>
    </w:rPr>
  </w:style>
  <w:style w:type="paragraph" w:styleId="8">
    <w:name w:val="heading 6"/>
    <w:basedOn w:val="1"/>
    <w:next w:val="1"/>
    <w:qFormat/>
    <w:uiPriority w:val="0"/>
    <w:pPr>
      <w:keepNext/>
      <w:keepLines/>
      <w:numPr>
        <w:ilvl w:val="5"/>
        <w:numId w:val="1"/>
      </w:numPr>
      <w:spacing w:before="240" w:after="64" w:line="317" w:lineRule="auto"/>
      <w:ind w:firstLine="0" w:firstLineChars="0"/>
      <w:outlineLvl w:val="5"/>
    </w:pPr>
    <w:rPr>
      <w:rFonts w:ascii="Arial" w:hAnsi="Arial" w:eastAsia="黑体"/>
      <w:b/>
      <w:sz w:val="24"/>
    </w:rPr>
  </w:style>
  <w:style w:type="paragraph" w:styleId="9">
    <w:name w:val="heading 7"/>
    <w:basedOn w:val="1"/>
    <w:next w:val="1"/>
    <w:qFormat/>
    <w:uiPriority w:val="0"/>
    <w:pPr>
      <w:keepNext/>
      <w:keepLines/>
      <w:numPr>
        <w:ilvl w:val="6"/>
        <w:numId w:val="1"/>
      </w:numPr>
      <w:spacing w:before="240" w:after="64" w:line="317" w:lineRule="auto"/>
      <w:ind w:firstLine="0" w:firstLineChars="0"/>
      <w:outlineLvl w:val="6"/>
    </w:pPr>
    <w:rPr>
      <w:b/>
      <w:sz w:val="24"/>
    </w:rPr>
  </w:style>
  <w:style w:type="paragraph" w:styleId="10">
    <w:name w:val="heading 8"/>
    <w:basedOn w:val="1"/>
    <w:next w:val="1"/>
    <w:qFormat/>
    <w:uiPriority w:val="0"/>
    <w:pPr>
      <w:keepNext/>
      <w:keepLines/>
      <w:numPr>
        <w:ilvl w:val="7"/>
        <w:numId w:val="1"/>
      </w:numPr>
      <w:spacing w:before="240" w:after="64" w:line="317" w:lineRule="auto"/>
      <w:ind w:firstLine="0" w:firstLineChars="0"/>
      <w:outlineLvl w:val="7"/>
    </w:pPr>
    <w:rPr>
      <w:rFonts w:ascii="Arial" w:hAnsi="Arial" w:eastAsia="黑体"/>
      <w:sz w:val="24"/>
    </w:rPr>
  </w:style>
  <w:style w:type="paragraph" w:styleId="11">
    <w:name w:val="heading 9"/>
    <w:basedOn w:val="1"/>
    <w:next w:val="1"/>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75"/>
    <w:unhideWhenUsed/>
    <w:qFormat/>
    <w:uiPriority w:val="99"/>
    <w:rPr>
      <w:szCs w:val="24"/>
    </w:rPr>
  </w:style>
  <w:style w:type="paragraph" w:styleId="12">
    <w:name w:val="table of authorities"/>
    <w:basedOn w:val="1"/>
    <w:next w:val="1"/>
    <w:qFormat/>
    <w:uiPriority w:val="99"/>
    <w:pPr>
      <w:ind w:left="420" w:leftChars="200"/>
    </w:pPr>
  </w:style>
  <w:style w:type="paragraph" w:styleId="13">
    <w:name w:val="annotation text"/>
    <w:basedOn w:val="1"/>
    <w:link w:val="67"/>
    <w:qFormat/>
    <w:uiPriority w:val="0"/>
    <w:pPr>
      <w:jc w:val="left"/>
    </w:pPr>
  </w:style>
  <w:style w:type="paragraph" w:styleId="14">
    <w:name w:val="Body Text"/>
    <w:basedOn w:val="1"/>
    <w:unhideWhenUsed/>
    <w:qFormat/>
    <w:uiPriority w:val="99"/>
    <w:pPr>
      <w:spacing w:after="120"/>
    </w:pPr>
  </w:style>
  <w:style w:type="paragraph" w:styleId="15">
    <w:name w:val="Body Text Indent"/>
    <w:basedOn w:val="1"/>
    <w:link w:val="46"/>
    <w:qFormat/>
    <w:uiPriority w:val="0"/>
    <w:pPr>
      <w:spacing w:after="120"/>
      <w:ind w:left="420" w:leftChars="200"/>
    </w:pPr>
  </w:style>
  <w:style w:type="paragraph" w:styleId="16">
    <w:name w:val="toc 3"/>
    <w:basedOn w:val="1"/>
    <w:next w:val="1"/>
    <w:qFormat/>
    <w:uiPriority w:val="39"/>
    <w:pPr>
      <w:ind w:left="840" w:leftChars="400"/>
    </w:pPr>
  </w:style>
  <w:style w:type="paragraph" w:styleId="17">
    <w:name w:val="Balloon Text"/>
    <w:basedOn w:val="1"/>
    <w:link w:val="34"/>
    <w:qFormat/>
    <w:uiPriority w:val="0"/>
    <w:pPr>
      <w:spacing w:line="240" w:lineRule="auto"/>
    </w:pPr>
    <w:rPr>
      <w:sz w:val="18"/>
      <w:szCs w:val="18"/>
    </w:rPr>
  </w:style>
  <w:style w:type="paragraph" w:styleId="18">
    <w:name w:val="footer"/>
    <w:basedOn w:val="1"/>
    <w:next w:val="1"/>
    <w:link w:val="71"/>
    <w:unhideWhenUsed/>
    <w:qFormat/>
    <w:uiPriority w:val="99"/>
    <w:pPr>
      <w:tabs>
        <w:tab w:val="center" w:pos="4153"/>
        <w:tab w:val="right" w:pos="8306"/>
      </w:tabs>
      <w:snapToGrid w:val="0"/>
      <w:jc w:val="left"/>
    </w:pPr>
    <w:rPr>
      <w:sz w:val="18"/>
      <w:szCs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0">
    <w:name w:val="toc 1"/>
    <w:basedOn w:val="1"/>
    <w:next w:val="1"/>
    <w:qFormat/>
    <w:uiPriority w:val="39"/>
    <w:pPr>
      <w:tabs>
        <w:tab w:val="right" w:leader="dot" w:pos="8296"/>
      </w:tabs>
      <w:ind w:firstLine="482"/>
    </w:pPr>
    <w:rPr>
      <w:rFonts w:eastAsia="仿宋"/>
      <w:b/>
      <w:bCs/>
      <w:sz w:val="24"/>
      <w:szCs w:val="20"/>
    </w:rPr>
  </w:style>
  <w:style w:type="paragraph" w:styleId="21">
    <w:name w:val="table of figures"/>
    <w:basedOn w:val="1"/>
    <w:next w:val="1"/>
    <w:qFormat/>
    <w:uiPriority w:val="99"/>
    <w:pPr>
      <w:ind w:left="200" w:leftChars="200" w:hanging="200" w:hangingChars="200"/>
    </w:pPr>
    <w:rPr>
      <w:rFonts w:ascii="Calibri" w:hAnsi="Calibri" w:eastAsia="宋体"/>
    </w:rPr>
  </w:style>
  <w:style w:type="paragraph" w:styleId="22">
    <w:name w:val="toc 2"/>
    <w:basedOn w:val="1"/>
    <w:next w:val="1"/>
    <w:qFormat/>
    <w:uiPriority w:val="39"/>
    <w:pPr>
      <w:ind w:left="420" w:leftChars="200"/>
    </w:pPr>
  </w:style>
  <w:style w:type="paragraph" w:styleId="23">
    <w:name w:val="Normal (Web)"/>
    <w:basedOn w:val="1"/>
    <w:unhideWhenUsed/>
    <w:qFormat/>
    <w:uiPriority w:val="99"/>
    <w:pPr>
      <w:spacing w:before="100" w:beforeAutospacing="1" w:after="100" w:afterAutospacing="1"/>
    </w:pPr>
    <w:rPr>
      <w:rFonts w:ascii="宋体" w:hAnsi="宋体" w:eastAsia="宋体" w:cs="宋体"/>
      <w:sz w:val="24"/>
      <w:szCs w:val="24"/>
    </w:rPr>
  </w:style>
  <w:style w:type="paragraph" w:styleId="24">
    <w:name w:val="annotation subject"/>
    <w:basedOn w:val="13"/>
    <w:next w:val="13"/>
    <w:link w:val="68"/>
    <w:qFormat/>
    <w:uiPriority w:val="0"/>
    <w:rPr>
      <w:b/>
      <w:bCs/>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Emphasis"/>
    <w:qFormat/>
    <w:uiPriority w:val="0"/>
    <w:rPr>
      <w:i/>
    </w:rPr>
  </w:style>
  <w:style w:type="character" w:styleId="29">
    <w:name w:val="Hyperlink"/>
    <w:qFormat/>
    <w:uiPriority w:val="99"/>
    <w:rPr>
      <w:color w:val="0000FF"/>
      <w:u w:val="single"/>
    </w:rPr>
  </w:style>
  <w:style w:type="character" w:styleId="30">
    <w:name w:val="annotation reference"/>
    <w:unhideWhenUsed/>
    <w:qFormat/>
    <w:uiPriority w:val="99"/>
    <w:rPr>
      <w:sz w:val="21"/>
      <w:szCs w:val="21"/>
    </w:rPr>
  </w:style>
  <w:style w:type="paragraph" w:customStyle="1" w:styleId="31">
    <w:name w:val="小标题样式2"/>
    <w:basedOn w:val="4"/>
    <w:link w:val="32"/>
    <w:qFormat/>
    <w:uiPriority w:val="0"/>
    <w:pPr>
      <w:numPr>
        <w:ilvl w:val="0"/>
        <w:numId w:val="0"/>
      </w:numPr>
      <w:spacing w:beforeLines="50" w:afterLines="50" w:line="360" w:lineRule="auto"/>
      <w:jc w:val="center"/>
    </w:pPr>
    <w:rPr>
      <w:rFonts w:ascii="Times New Roman" w:hAnsi="Times New Roman" w:eastAsia="方正黑体简体"/>
      <w:b w:val="0"/>
    </w:rPr>
  </w:style>
  <w:style w:type="character" w:customStyle="1" w:styleId="32">
    <w:name w:val="小标题样式2 Char"/>
    <w:basedOn w:val="33"/>
    <w:link w:val="31"/>
    <w:qFormat/>
    <w:uiPriority w:val="0"/>
    <w:rPr>
      <w:rFonts w:ascii="Arial" w:hAnsi="Arial" w:eastAsia="方正黑体简体"/>
      <w:kern w:val="2"/>
      <w:sz w:val="32"/>
      <w:szCs w:val="22"/>
    </w:rPr>
  </w:style>
  <w:style w:type="character" w:customStyle="1" w:styleId="33">
    <w:name w:val="标题 2 Char"/>
    <w:basedOn w:val="27"/>
    <w:link w:val="4"/>
    <w:qFormat/>
    <w:uiPriority w:val="0"/>
    <w:rPr>
      <w:rFonts w:ascii="Arial" w:hAnsi="Arial" w:eastAsia="方正小标宋简体"/>
      <w:b/>
      <w:kern w:val="2"/>
      <w:sz w:val="32"/>
      <w:szCs w:val="22"/>
    </w:rPr>
  </w:style>
  <w:style w:type="character" w:customStyle="1" w:styleId="34">
    <w:name w:val="批注框文本 Char"/>
    <w:link w:val="17"/>
    <w:qFormat/>
    <w:uiPriority w:val="0"/>
    <w:rPr>
      <w:rFonts w:eastAsia="仿宋_GB2312"/>
      <w:kern w:val="2"/>
      <w:sz w:val="18"/>
      <w:szCs w:val="18"/>
    </w:rPr>
  </w:style>
  <w:style w:type="character" w:customStyle="1" w:styleId="35">
    <w:name w:val="font101"/>
    <w:qFormat/>
    <w:uiPriority w:val="0"/>
    <w:rPr>
      <w:rFonts w:hint="default" w:ascii="Times New Roman" w:hAnsi="Times New Roman" w:cs="Times New Roman"/>
      <w:color w:val="000000"/>
      <w:sz w:val="20"/>
      <w:szCs w:val="20"/>
      <w:u w:val="none"/>
    </w:rPr>
  </w:style>
  <w:style w:type="character" w:customStyle="1" w:styleId="36">
    <w:name w:val="font41"/>
    <w:qFormat/>
    <w:uiPriority w:val="0"/>
    <w:rPr>
      <w:rFonts w:ascii="仿宋" w:hAnsi="仿宋" w:eastAsia="仿宋" w:cs="仿宋"/>
      <w:b/>
      <w:color w:val="000000"/>
      <w:sz w:val="24"/>
      <w:szCs w:val="24"/>
      <w:u w:val="none"/>
    </w:rPr>
  </w:style>
  <w:style w:type="character" w:customStyle="1" w:styleId="37">
    <w:name w:val="font61"/>
    <w:qFormat/>
    <w:uiPriority w:val="0"/>
    <w:rPr>
      <w:rFonts w:hint="default" w:ascii="Times New Roman" w:hAnsi="Times New Roman" w:cs="Times New Roman"/>
      <w:b/>
      <w:color w:val="000000"/>
      <w:sz w:val="24"/>
      <w:szCs w:val="24"/>
      <w:u w:val="none"/>
    </w:rPr>
  </w:style>
  <w:style w:type="character" w:customStyle="1" w:styleId="38">
    <w:name w:val="font31"/>
    <w:qFormat/>
    <w:uiPriority w:val="0"/>
    <w:rPr>
      <w:rFonts w:hint="eastAsia" w:ascii="仿宋" w:hAnsi="仿宋" w:eastAsia="仿宋" w:cs="仿宋"/>
      <w:color w:val="000000"/>
      <w:sz w:val="24"/>
      <w:szCs w:val="24"/>
      <w:u w:val="none"/>
    </w:rPr>
  </w:style>
  <w:style w:type="character" w:customStyle="1" w:styleId="39">
    <w:name w:val="font112"/>
    <w:qFormat/>
    <w:uiPriority w:val="0"/>
    <w:rPr>
      <w:rFonts w:ascii="仿宋" w:hAnsi="仿宋" w:eastAsia="仿宋" w:cs="仿宋"/>
      <w:b/>
      <w:color w:val="000000"/>
      <w:sz w:val="21"/>
      <w:szCs w:val="21"/>
      <w:u w:val="none"/>
    </w:rPr>
  </w:style>
  <w:style w:type="character" w:customStyle="1" w:styleId="40">
    <w:name w:val="十四五正文 字符"/>
    <w:link w:val="41"/>
    <w:qFormat/>
    <w:uiPriority w:val="0"/>
  </w:style>
  <w:style w:type="paragraph" w:customStyle="1" w:styleId="41">
    <w:name w:val="十四五正文"/>
    <w:basedOn w:val="2"/>
    <w:link w:val="40"/>
    <w:qFormat/>
    <w:uiPriority w:val="0"/>
    <w:pPr>
      <w:spacing w:line="600" w:lineRule="exact"/>
      <w:ind w:firstLine="560"/>
    </w:pPr>
  </w:style>
  <w:style w:type="character" w:customStyle="1" w:styleId="42">
    <w:name w:val="font11"/>
    <w:qFormat/>
    <w:uiPriority w:val="0"/>
    <w:rPr>
      <w:rFonts w:hint="default" w:ascii="Times New Roman" w:hAnsi="Times New Roman" w:cs="Times New Roman"/>
      <w:color w:val="000000"/>
      <w:sz w:val="24"/>
      <w:szCs w:val="24"/>
      <w:u w:val="none"/>
      <w:vertAlign w:val="superscript"/>
    </w:rPr>
  </w:style>
  <w:style w:type="character" w:customStyle="1" w:styleId="43">
    <w:name w:val="font71"/>
    <w:qFormat/>
    <w:uiPriority w:val="0"/>
    <w:rPr>
      <w:rFonts w:hint="eastAsia" w:ascii="宋体" w:hAnsi="宋体" w:eastAsia="宋体" w:cs="宋体"/>
      <w:color w:val="000000"/>
      <w:sz w:val="20"/>
      <w:szCs w:val="20"/>
      <w:u w:val="none"/>
    </w:rPr>
  </w:style>
  <w:style w:type="character" w:customStyle="1" w:styleId="44">
    <w:name w:val="font51"/>
    <w:qFormat/>
    <w:uiPriority w:val="0"/>
    <w:rPr>
      <w:rFonts w:hint="default" w:ascii="Times New Roman" w:hAnsi="Times New Roman" w:cs="Times New Roman"/>
      <w:color w:val="000000"/>
      <w:sz w:val="24"/>
      <w:szCs w:val="24"/>
      <w:u w:val="none"/>
    </w:rPr>
  </w:style>
  <w:style w:type="character" w:customStyle="1" w:styleId="45">
    <w:name w:val="font131"/>
    <w:qFormat/>
    <w:uiPriority w:val="0"/>
    <w:rPr>
      <w:rFonts w:hint="eastAsia" w:ascii="宋体" w:hAnsi="宋体" w:eastAsia="宋体" w:cs="宋体"/>
      <w:color w:val="000000"/>
      <w:sz w:val="18"/>
      <w:szCs w:val="18"/>
      <w:u w:val="none"/>
    </w:rPr>
  </w:style>
  <w:style w:type="character" w:customStyle="1" w:styleId="46">
    <w:name w:val="正文文本缩进 Char"/>
    <w:link w:val="15"/>
    <w:qFormat/>
    <w:uiPriority w:val="0"/>
    <w:rPr>
      <w:rFonts w:ascii="Times New Roman" w:hAnsi="Times New Roman" w:eastAsia="仿宋_GB2312"/>
      <w:kern w:val="2"/>
      <w:sz w:val="30"/>
      <w:szCs w:val="22"/>
    </w:rPr>
  </w:style>
  <w:style w:type="character" w:customStyle="1" w:styleId="47">
    <w:name w:val="font81"/>
    <w:qFormat/>
    <w:uiPriority w:val="0"/>
    <w:rPr>
      <w:rFonts w:hint="eastAsia" w:ascii="宋体" w:hAnsi="宋体" w:eastAsia="宋体" w:cs="宋体"/>
      <w:color w:val="000000"/>
      <w:sz w:val="18"/>
      <w:szCs w:val="18"/>
      <w:u w:val="none"/>
    </w:rPr>
  </w:style>
  <w:style w:type="character" w:customStyle="1" w:styleId="48">
    <w:name w:val="font21"/>
    <w:qFormat/>
    <w:uiPriority w:val="0"/>
    <w:rPr>
      <w:rFonts w:hint="default" w:ascii="Times New Roman" w:hAnsi="Times New Roman" w:cs="Times New Roman"/>
      <w:color w:val="000000"/>
      <w:sz w:val="24"/>
      <w:szCs w:val="24"/>
      <w:u w:val="none"/>
      <w:vertAlign w:val="subscript"/>
    </w:rPr>
  </w:style>
  <w:style w:type="character" w:customStyle="1" w:styleId="49">
    <w:name w:val="font12"/>
    <w:qFormat/>
    <w:uiPriority w:val="0"/>
    <w:rPr>
      <w:rFonts w:ascii="仿宋" w:hAnsi="仿宋" w:eastAsia="仿宋" w:cs="仿宋"/>
      <w:b/>
      <w:color w:val="000000"/>
      <w:sz w:val="20"/>
      <w:szCs w:val="20"/>
      <w:u w:val="none"/>
    </w:rPr>
  </w:style>
  <w:style w:type="character" w:customStyle="1" w:styleId="50">
    <w:name w:val="font01"/>
    <w:qFormat/>
    <w:uiPriority w:val="0"/>
    <w:rPr>
      <w:rFonts w:hint="default" w:ascii="仿宋_GB2312" w:eastAsia="仿宋_GB2312" w:cs="仿宋_GB2312"/>
      <w:color w:val="000000"/>
      <w:sz w:val="22"/>
      <w:szCs w:val="22"/>
      <w:u w:val="none"/>
    </w:rPr>
  </w:style>
  <w:style w:type="character" w:customStyle="1" w:styleId="51">
    <w:name w:val="font91"/>
    <w:qFormat/>
    <w:uiPriority w:val="0"/>
    <w:rPr>
      <w:rFonts w:hint="default" w:ascii="Times New Roman" w:hAnsi="Times New Roman" w:cs="Times New Roman"/>
      <w:b/>
      <w:color w:val="000000"/>
      <w:sz w:val="20"/>
      <w:szCs w:val="20"/>
      <w:u w:val="none"/>
    </w:rPr>
  </w:style>
  <w:style w:type="character" w:customStyle="1" w:styleId="52">
    <w:name w:val="font171"/>
    <w:qFormat/>
    <w:uiPriority w:val="0"/>
    <w:rPr>
      <w:rFonts w:hint="default" w:ascii="Times New Roman" w:hAnsi="Times New Roman" w:cs="Times New Roman"/>
      <w:color w:val="000000"/>
      <w:sz w:val="20"/>
      <w:szCs w:val="20"/>
      <w:u w:val="none"/>
      <w:vertAlign w:val="subscript"/>
    </w:rPr>
  </w:style>
  <w:style w:type="character" w:customStyle="1" w:styleId="53">
    <w:name w:val="font121"/>
    <w:qFormat/>
    <w:uiPriority w:val="0"/>
    <w:rPr>
      <w:rFonts w:hint="eastAsia" w:ascii="宋体" w:hAnsi="宋体" w:eastAsia="宋体" w:cs="宋体"/>
      <w:color w:val="000000"/>
      <w:sz w:val="20"/>
      <w:szCs w:val="20"/>
      <w:u w:val="none"/>
    </w:rPr>
  </w:style>
  <w:style w:type="character" w:customStyle="1" w:styleId="54">
    <w:name w:val="font181"/>
    <w:qFormat/>
    <w:uiPriority w:val="0"/>
    <w:rPr>
      <w:rFonts w:hint="default" w:ascii="Times New Roman" w:hAnsi="Times New Roman" w:cs="Times New Roman"/>
      <w:color w:val="000000"/>
      <w:sz w:val="20"/>
      <w:szCs w:val="20"/>
      <w:u w:val="none"/>
      <w:vertAlign w:val="subscript"/>
    </w:rPr>
  </w:style>
  <w:style w:type="character" w:customStyle="1" w:styleId="55">
    <w:name w:val="font122"/>
    <w:qFormat/>
    <w:uiPriority w:val="0"/>
    <w:rPr>
      <w:rFonts w:hint="default" w:ascii="Times New Roman" w:hAnsi="Times New Roman" w:cs="Times New Roman"/>
      <w:color w:val="000000"/>
      <w:sz w:val="20"/>
      <w:szCs w:val="20"/>
      <w:u w:val="none"/>
    </w:rPr>
  </w:style>
  <w:style w:type="character" w:customStyle="1" w:styleId="56">
    <w:name w:val="font111"/>
    <w:qFormat/>
    <w:uiPriority w:val="0"/>
    <w:rPr>
      <w:rFonts w:hint="default" w:ascii="Times New Roman" w:hAnsi="Times New Roman" w:cs="Times New Roman"/>
      <w:color w:val="000000"/>
      <w:sz w:val="20"/>
      <w:szCs w:val="20"/>
      <w:u w:val="none"/>
      <w:vertAlign w:val="superscript"/>
    </w:rPr>
  </w:style>
  <w:style w:type="character" w:customStyle="1" w:styleId="57">
    <w:name w:val="font141"/>
    <w:qFormat/>
    <w:uiPriority w:val="0"/>
    <w:rPr>
      <w:rFonts w:hint="eastAsia" w:ascii="仿宋" w:hAnsi="仿宋" w:eastAsia="仿宋" w:cs="仿宋"/>
      <w:b/>
      <w:color w:val="000000"/>
      <w:sz w:val="20"/>
      <w:szCs w:val="20"/>
      <w:u w:val="none"/>
    </w:rPr>
  </w:style>
  <w:style w:type="character" w:customStyle="1" w:styleId="58">
    <w:name w:val="称呼 字符"/>
    <w:qFormat/>
    <w:uiPriority w:val="99"/>
    <w:rPr>
      <w:szCs w:val="24"/>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正文1"/>
    <w:qFormat/>
    <w:uiPriority w:val="0"/>
    <w:pPr>
      <w:jc w:val="both"/>
    </w:pPr>
    <w:rPr>
      <w:rFonts w:ascii="Calibri" w:hAnsi="Calibri" w:eastAsia="宋体" w:cs="Calibri"/>
      <w:kern w:val="2"/>
      <w:sz w:val="21"/>
      <w:szCs w:val="21"/>
      <w:lang w:val="en-US" w:eastAsia="zh-CN" w:bidi="ar-SA"/>
    </w:rPr>
  </w:style>
  <w:style w:type="paragraph" w:customStyle="1" w:styleId="61">
    <w:name w:val="正文首行缩进 21"/>
    <w:basedOn w:val="15"/>
    <w:semiHidden/>
    <w:qFormat/>
    <w:uiPriority w:val="0"/>
    <w:pPr>
      <w:spacing w:before="100" w:beforeAutospacing="1" w:line="240" w:lineRule="auto"/>
      <w:ind w:firstLine="420"/>
    </w:pPr>
    <w:rPr>
      <w:rFonts w:eastAsia="宋体"/>
      <w:sz w:val="21"/>
      <w:szCs w:val="21"/>
    </w:rPr>
  </w:style>
  <w:style w:type="paragraph" w:customStyle="1" w:styleId="62">
    <w:name w:val="WPSOffice手动目录 1"/>
    <w:qFormat/>
    <w:uiPriority w:val="0"/>
    <w:rPr>
      <w:rFonts w:ascii="Times New Roman" w:hAnsi="Times New Roman" w:eastAsia="宋体" w:cs="Times New Roman"/>
      <w:lang w:val="en-US" w:eastAsia="zh-CN" w:bidi="ar-SA"/>
    </w:rPr>
  </w:style>
  <w:style w:type="paragraph" w:customStyle="1" w:styleId="63">
    <w:name w:val="No Spacing1"/>
    <w:qFormat/>
    <w:uiPriority w:val="99"/>
    <w:pPr>
      <w:widowControl w:val="0"/>
      <w:snapToGrid w:val="0"/>
      <w:spacing w:line="360" w:lineRule="auto"/>
      <w:jc w:val="both"/>
    </w:pPr>
    <w:rPr>
      <w:rFonts w:ascii="Times New Roman" w:hAnsi="Times New Roman" w:eastAsia="仿宋" w:cs="Times New Roman"/>
      <w:kern w:val="2"/>
      <w:sz w:val="28"/>
      <w:szCs w:val="28"/>
      <w:lang w:val="en-US" w:eastAsia="zh-CN" w:bidi="ar-SA"/>
    </w:rPr>
  </w:style>
  <w:style w:type="paragraph" w:customStyle="1" w:styleId="64">
    <w:name w:val="标准文字"/>
    <w:basedOn w:val="1"/>
    <w:qFormat/>
    <w:uiPriority w:val="0"/>
    <w:pPr>
      <w:overflowPunct w:val="0"/>
      <w:ind w:firstLine="600"/>
    </w:pPr>
    <w:rPr>
      <w:sz w:val="28"/>
      <w:szCs w:val="30"/>
    </w:rPr>
  </w:style>
  <w:style w:type="paragraph" w:customStyle="1" w:styleId="65">
    <w:name w:val="TOC 标题1"/>
    <w:basedOn w:val="3"/>
    <w:next w:val="1"/>
    <w:qFormat/>
    <w:uiPriority w:val="39"/>
    <w:pPr>
      <w:widowControl/>
      <w:spacing w:before="240" w:after="0" w:line="259" w:lineRule="auto"/>
      <w:outlineLvl w:val="9"/>
    </w:pPr>
    <w:rPr>
      <w:rFonts w:ascii="等线 Light" w:hAnsi="等线 Light" w:eastAsia="等线 Light"/>
      <w:b w:val="0"/>
      <w:color w:val="2F5496"/>
      <w:kern w:val="0"/>
      <w:sz w:val="32"/>
      <w:szCs w:val="32"/>
    </w:rPr>
  </w:style>
  <w:style w:type="paragraph" w:customStyle="1" w:styleId="66">
    <w:name w:val="Default"/>
    <w:basedOn w:val="1"/>
    <w:qFormat/>
    <w:uiPriority w:val="0"/>
    <w:pPr>
      <w:autoSpaceDE w:val="0"/>
      <w:autoSpaceDN w:val="0"/>
      <w:adjustRightInd w:val="0"/>
      <w:jc w:val="left"/>
    </w:pPr>
    <w:rPr>
      <w:rFonts w:cs="宋体"/>
      <w:color w:val="000000"/>
      <w:kern w:val="0"/>
      <w:sz w:val="24"/>
    </w:rPr>
  </w:style>
  <w:style w:type="character" w:customStyle="1" w:styleId="67">
    <w:name w:val="批注文字 Char"/>
    <w:basedOn w:val="27"/>
    <w:link w:val="13"/>
    <w:qFormat/>
    <w:uiPriority w:val="0"/>
    <w:rPr>
      <w:rFonts w:eastAsia="仿宋_GB2312"/>
      <w:kern w:val="2"/>
      <w:sz w:val="30"/>
      <w:szCs w:val="22"/>
    </w:rPr>
  </w:style>
  <w:style w:type="character" w:customStyle="1" w:styleId="68">
    <w:name w:val="批注主题 Char"/>
    <w:basedOn w:val="67"/>
    <w:link w:val="24"/>
    <w:qFormat/>
    <w:uiPriority w:val="0"/>
    <w:rPr>
      <w:rFonts w:eastAsia="仿宋_GB2312"/>
      <w:b/>
      <w:bCs/>
      <w:kern w:val="2"/>
      <w:sz w:val="30"/>
      <w:szCs w:val="22"/>
    </w:rPr>
  </w:style>
  <w:style w:type="paragraph" w:customStyle="1" w:styleId="69">
    <w:name w:val="表格"/>
    <w:basedOn w:val="70"/>
    <w:qFormat/>
    <w:uiPriority w:val="0"/>
    <w:pPr>
      <w:spacing w:line="360" w:lineRule="exact"/>
      <w:ind w:firstLine="0" w:firstLineChars="0"/>
      <w:jc w:val="center"/>
    </w:pPr>
    <w:rPr>
      <w:rFonts w:eastAsia="宋体"/>
      <w:sz w:val="18"/>
      <w:szCs w:val="24"/>
    </w:rPr>
  </w:style>
  <w:style w:type="paragraph" w:styleId="70">
    <w:name w:val="No Spacing"/>
    <w:qFormat/>
    <w:uiPriority w:val="99"/>
    <w:pPr>
      <w:widowControl w:val="0"/>
      <w:ind w:firstLine="200" w:firstLineChars="200"/>
      <w:jc w:val="both"/>
    </w:pPr>
    <w:rPr>
      <w:rFonts w:ascii="Times New Roman" w:hAnsi="Times New Roman" w:eastAsia="仿宋_GB2312" w:cs="Times New Roman"/>
      <w:kern w:val="2"/>
      <w:sz w:val="30"/>
      <w:szCs w:val="22"/>
      <w:lang w:val="en-US" w:eastAsia="zh-CN" w:bidi="ar-SA"/>
    </w:rPr>
  </w:style>
  <w:style w:type="character" w:customStyle="1" w:styleId="71">
    <w:name w:val="页脚 Char"/>
    <w:basedOn w:val="27"/>
    <w:link w:val="18"/>
    <w:qFormat/>
    <w:uiPriority w:val="99"/>
    <w:rPr>
      <w:rFonts w:eastAsia="仿宋_GB2312"/>
      <w:kern w:val="2"/>
      <w:sz w:val="18"/>
      <w:szCs w:val="18"/>
    </w:rPr>
  </w:style>
  <w:style w:type="paragraph" w:customStyle="1" w:styleId="72">
    <w:name w:val="总标题"/>
    <w:basedOn w:val="1"/>
    <w:qFormat/>
    <w:uiPriority w:val="0"/>
    <w:pPr>
      <w:spacing w:line="440" w:lineRule="exact"/>
      <w:ind w:firstLine="0" w:firstLineChars="0"/>
      <w:jc w:val="center"/>
      <w:outlineLvl w:val="0"/>
    </w:pPr>
    <w:rPr>
      <w:rFonts w:ascii="方正小标宋简体" w:hAnsi="华文中宋" w:eastAsia="方正小标宋简体"/>
      <w:b/>
      <w:sz w:val="48"/>
      <w:szCs w:val="44"/>
    </w:rPr>
  </w:style>
  <w:style w:type="paragraph" w:styleId="73">
    <w:name w:val="List Paragraph"/>
    <w:basedOn w:val="1"/>
    <w:link w:val="80"/>
    <w:qFormat/>
    <w:uiPriority w:val="99"/>
    <w:pPr>
      <w:ind w:firstLine="420"/>
    </w:pPr>
  </w:style>
  <w:style w:type="paragraph" w:customStyle="1" w:styleId="74">
    <w:name w:val="修订1"/>
    <w:hidden/>
    <w:semiHidden/>
    <w:qFormat/>
    <w:uiPriority w:val="99"/>
    <w:rPr>
      <w:rFonts w:ascii="Times New Roman" w:hAnsi="Times New Roman" w:eastAsia="仿宋_GB2312" w:cs="Times New Roman"/>
      <w:kern w:val="2"/>
      <w:sz w:val="30"/>
      <w:szCs w:val="22"/>
      <w:lang w:val="en-US" w:eastAsia="zh-CN" w:bidi="ar-SA"/>
    </w:rPr>
  </w:style>
  <w:style w:type="character" w:customStyle="1" w:styleId="75">
    <w:name w:val="称呼 Char"/>
    <w:basedOn w:val="27"/>
    <w:link w:val="2"/>
    <w:qFormat/>
    <w:uiPriority w:val="0"/>
    <w:rPr>
      <w:rFonts w:hint="eastAsia" w:ascii="仿宋_GB2312" w:eastAsia="仿宋_GB2312" w:cs="仿宋_GB2312"/>
      <w:kern w:val="2"/>
      <w:sz w:val="30"/>
      <w:szCs w:val="22"/>
    </w:rPr>
  </w:style>
  <w:style w:type="paragraph" w:customStyle="1" w:styleId="76">
    <w:name w:val="小标题样式1"/>
    <w:basedOn w:val="3"/>
    <w:link w:val="78"/>
    <w:qFormat/>
    <w:uiPriority w:val="0"/>
    <w:pPr>
      <w:spacing w:beforeLines="50" w:afterLines="50"/>
      <w:jc w:val="center"/>
    </w:pPr>
  </w:style>
  <w:style w:type="character" w:customStyle="1" w:styleId="77">
    <w:name w:val="标题 1 Char"/>
    <w:basedOn w:val="27"/>
    <w:link w:val="3"/>
    <w:qFormat/>
    <w:uiPriority w:val="0"/>
    <w:rPr>
      <w:rFonts w:eastAsia="方正小标宋简体"/>
      <w:b/>
      <w:kern w:val="44"/>
      <w:sz w:val="36"/>
      <w:szCs w:val="22"/>
    </w:rPr>
  </w:style>
  <w:style w:type="character" w:customStyle="1" w:styleId="78">
    <w:name w:val="小标题样式1 Char"/>
    <w:basedOn w:val="77"/>
    <w:link w:val="76"/>
    <w:qFormat/>
    <w:uiPriority w:val="0"/>
    <w:rPr>
      <w:rFonts w:eastAsia="方正小标宋简体"/>
      <w:kern w:val="44"/>
      <w:sz w:val="36"/>
      <w:szCs w:val="22"/>
    </w:rPr>
  </w:style>
  <w:style w:type="paragraph" w:customStyle="1" w:styleId="79">
    <w:name w:val="小标题样式3"/>
    <w:basedOn w:val="73"/>
    <w:link w:val="81"/>
    <w:qFormat/>
    <w:uiPriority w:val="0"/>
    <w:pPr>
      <w:ind w:firstLine="0" w:firstLineChars="0"/>
      <w:outlineLvl w:val="2"/>
    </w:pPr>
    <w:rPr>
      <w:rFonts w:ascii="方正小标宋简体" w:eastAsia="方正楷体_GBK"/>
      <w:b/>
    </w:rPr>
  </w:style>
  <w:style w:type="character" w:customStyle="1" w:styleId="80">
    <w:name w:val="列出段落 Char"/>
    <w:basedOn w:val="27"/>
    <w:link w:val="73"/>
    <w:qFormat/>
    <w:uiPriority w:val="99"/>
    <w:rPr>
      <w:rFonts w:eastAsia="仿宋_GB2312"/>
      <w:kern w:val="2"/>
      <w:sz w:val="30"/>
      <w:szCs w:val="22"/>
    </w:rPr>
  </w:style>
  <w:style w:type="character" w:customStyle="1" w:styleId="81">
    <w:name w:val="小标题样式3 Char"/>
    <w:basedOn w:val="80"/>
    <w:link w:val="79"/>
    <w:qFormat/>
    <w:uiPriority w:val="0"/>
    <w:rPr>
      <w:rFonts w:ascii="方正小标宋简体" w:eastAsia="方正楷体_GBK"/>
      <w:b/>
      <w:kern w:val="2"/>
      <w:sz w:val="30"/>
      <w:szCs w:val="22"/>
    </w:rPr>
  </w:style>
  <w:style w:type="paragraph" w:customStyle="1" w:styleId="82">
    <w:name w:val="样式1（文本）"/>
    <w:basedOn w:val="1"/>
    <w:qFormat/>
    <w:uiPriority w:val="0"/>
    <w:pPr>
      <w:spacing w:line="640" w:lineRule="exact"/>
    </w:pPr>
    <w:rPr>
      <w:rFonts w:eastAsia="方正仿宋简体" w:cstheme="minorBidi"/>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2"/>
    <customShpInfo spid="_x0000_s4101"/>
    <customShpInfo spid="_x0000_s4100"/>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27962</Words>
  <Characters>28937</Characters>
  <Lines>229</Lines>
  <Paragraphs>64</Paragraphs>
  <TotalTime>2</TotalTime>
  <ScaleCrop>false</ScaleCrop>
  <LinksUpToDate>false</LinksUpToDate>
  <CharactersWithSpaces>29051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2022-07-21T02:05:00Z</dcterms:created>
  <dc:creator>Pengju Zhang</dc:creator>
  <cp:lastModifiedBy>马ma</cp:lastModifiedBy>
  <cp:lastPrinted>2022-07-16T02:58:00Z</cp:lastPrinted>
  <dcterms:modified xsi:type="dcterms:W3CDTF">2023-07-03T02:52:07Z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AED136AA7DD24EDFA1FB4CE3E9F3B688</vt:lpwstr>
  </property>
</Properties>
</file>