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50" w:lineRule="atLeast"/>
        <w:jc w:val="center"/>
        <w:rPr>
          <w:rFonts w:hint="eastAsia" w:ascii="微软雅黑" w:hAnsi="微软雅黑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攀枝花市第六小学校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center"/>
        <w:rPr>
          <w:rFonts w:hint="eastAsia" w:ascii="微软雅黑" w:hAnsi="微软雅黑" w:eastAsia="微软雅黑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2023年部门预算公开目录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一、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202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年部门预算编制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情况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说明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主要职责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2.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基本情况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3.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202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年主要工作任务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b/>
          <w:bCs/>
          <w:color w:val="333333"/>
        </w:rPr>
      </w:pP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二、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附表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部门收支总表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2.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部门收入总表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3.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部门支出总表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4.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财政拨款收支预算总表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5.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财政拨款支出预算表（部门经济分类科目）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6.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7.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一般公共预算基本支出预算表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8.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一般公共预算项目支出预算表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9.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一般公共预算“三公”经费支出预算表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10.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政府性基金支出预算表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11.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政府性基金 “三公”经费支出预算表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12.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国有资本经营预算支出预算表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13.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  <w:t>部门预算项目绩效目标表（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2023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  <w:t>年度）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14.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  <w:t>部门整体支出绩效目标表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b/>
          <w:bCs/>
          <w:color w:val="333333"/>
        </w:rPr>
      </w:pP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三、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名词解释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xMjMyNzVhZmRmNTEwODIzNmU1MzRlY2Y1NWZkNzAifQ=="/>
  </w:docVars>
  <w:rsids>
    <w:rsidRoot w:val="00943DF7"/>
    <w:rsid w:val="00943DF7"/>
    <w:rsid w:val="00CB3B7B"/>
    <w:rsid w:val="00ED0F9B"/>
    <w:rsid w:val="0C7E40A4"/>
    <w:rsid w:val="248F4327"/>
    <w:rsid w:val="444C3308"/>
    <w:rsid w:val="590836CD"/>
    <w:rsid w:val="645E210B"/>
    <w:rsid w:val="6C2E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240</Words>
  <Characters>277</Characters>
  <Lines>3</Lines>
  <Paragraphs>1</Paragraphs>
  <TotalTime>0</TotalTime>
  <ScaleCrop>false</ScaleCrop>
  <LinksUpToDate>false</LinksUpToDate>
  <CharactersWithSpaces>278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2023-02-15T07:29:00Z</dcterms:created>
  <dc:creator>ASUS</dc:creator>
  <cp:lastModifiedBy>杜林航妈妈</cp:lastModifiedBy>
  <dcterms:modified xsi:type="dcterms:W3CDTF">2023-02-22T00:52:41Z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17F940A773AB48BE9C3B982DA5BE1632</vt:lpwstr>
  </property>
</Properties>
</file>