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第一部分 部门概况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一、主要职责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二、基本情况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三、202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年主要工作任务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第二部分 部门预算情况说明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四、收入支出预算总体情况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（一）收支预算情况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（二）支出预算情况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五、财政拨款收入支出预算安排情况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六、一般公共预算当年拨款情况说明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（一）一般公共预算当年拨款规模变化情况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（二）一般公共预算当年拨款结构情况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（三）一般公共预算当年拨款具体使用情况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七、一般公共预算基本支出情况说明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八、“三公”经费财政拨款预算安排情况说明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九、政府性基金预算支出情况说明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十、国有资本经营预算支出情况说明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十一、其他重要事项的情况说明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333333"/>
          <w:shd w:val="clear" w:color="auto" w:fill="FFFFFF"/>
        </w:rPr>
        <w:t>（一）机关运行经费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（二）政府采购情况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（三）国有资产占有使用情况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（四）绩效目标设置情况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第三部分 名词解释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第四部分 附表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一、部门收支总表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二、部门收入总表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三、部门支出总表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四、财政拨款收支预算总表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五、财政拨款支出预算表（部门经济分类科目）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六、一般公共预算支出预算表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七、一般公共预算基本支出预算表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八、一般公共预算项目支出预算表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九、一般公共预算“三公”经费支出预算表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十、政府性基金支出预算表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十一、政府性基金 “三公”经费支出预算表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十二、国有资本经营预算支出预算表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  <w:t>十三、部门预算项目绩效目标表（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2023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  <w:t>年度）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  <w:t>十四、部门整体支出绩效目标表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F7"/>
    <w:rsid w:val="00943DF7"/>
    <w:rsid w:val="00CB3B7B"/>
    <w:rsid w:val="00ED0F9B"/>
    <w:rsid w:val="248F4327"/>
    <w:rsid w:val="6C2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424</Characters>
  <Lines>3</Lines>
  <Paragraphs>1</Paragraphs>
  <TotalTime>4</TotalTime>
  <ScaleCrop>false</ScaleCrop>
  <LinksUpToDate>false</LinksUpToDate>
  <CharactersWithSpaces>497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2023-02-15T07:29:00Z</dcterms:created>
  <dc:creator>ASUS</dc:creator>
  <cp:lastModifiedBy>Administrator</cp:lastModifiedBy>
  <dcterms:modified xsi:type="dcterms:W3CDTF">2023-02-15T08:17:02Z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