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第一部分 部门概况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一、主要职责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二、基本情况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三、202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年主要工作任务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第二部分 部门预算情况说明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四、收入支出预算总体情况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（一）收支预算情况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（二）支出预算情况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五、财政拨款收入支出预算安排情况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六、一般公共预算当年拨款情况说明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（一）一般公共预算当年拨款规模变化情况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（二）一般公共预算当年拨款结构情况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（三）一般公共预算当年拨款具体使用情况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七、一般公共预算基本支出情况说明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八、“三公”经费财政拨款预算安排情况说明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九、政府性基金预算支出情况说明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十、国有资本经营预算支出情况说明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十一、其他重要事项的情况说明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333333"/>
          <w:shd w:val="clear" w:color="auto" w:fill="FFFFFF"/>
        </w:rPr>
        <w:t>（一）机关运行经费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（二）政府采购情况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（三）国有资产占有使用情况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（四）绩效目标设置情况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第三部分 名词解释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第四部分 附表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一、部门收支总表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二、部门收入总表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三、部门支出总表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四、财政拨款收支预算总表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五、财政拨款支出预算表（部门经济分类科目）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六、一般公共预算支出预算表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七、一般公共预算基本支出预算表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八、一般公共预算项目支出预算表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九、一般公共预算“三公”经费支出预算表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十、政府性基金支出预算表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十一、政府性基金 “三公”经费支出预算表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十二、国有资本经营预算支出预算表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十三、部门预算项目绩效目标表（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2023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年度）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十四、部门整体支出绩效目标表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F7"/>
    <w:rsid w:val="00943DF7"/>
    <w:rsid w:val="00CB3B7B"/>
    <w:rsid w:val="00ED0F9B"/>
    <w:rsid w:val="248F4327"/>
    <w:rsid w:val="6C2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4</TotalTime>
  <ScaleCrop>false</ScaleCrop>
  <LinksUpToDate>false</LinksUpToDate>
  <CharactersWithSpaces>497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2023-02-15T07:29:00Z</dcterms:created>
  <dc:creator>ASUS</dc:creator>
  <cp:lastModifiedBy>Administrator</cp:lastModifiedBy>
  <dcterms:modified xsi:type="dcterms:W3CDTF">2023-02-15T08:17:02Z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