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_GBK" w:hAnsi="仿宋" w:eastAsia="方正小标宋_GBK" w:cs="仿宋"/>
          <w:b/>
          <w:bCs/>
          <w:sz w:val="38"/>
          <w:szCs w:val="38"/>
        </w:rPr>
      </w:pPr>
      <w:r>
        <w:rPr>
          <w:rFonts w:hint="eastAsia" w:ascii="方正小标宋_GBK" w:hAnsi="仿宋" w:eastAsia="方正小标宋_GBK" w:cs="仿宋"/>
          <w:b/>
          <w:bCs/>
          <w:sz w:val="38"/>
          <w:szCs w:val="38"/>
        </w:rPr>
        <w:t>关于《攀枝花市东区国民经济和社会发展</w:t>
      </w:r>
    </w:p>
    <w:p>
      <w:pPr>
        <w:spacing w:line="0" w:lineRule="atLeast"/>
        <w:jc w:val="center"/>
        <w:rPr>
          <w:rFonts w:hint="eastAsia" w:ascii="方正小标宋_GBK" w:hAnsi="仿宋" w:eastAsia="方正小标宋_GBK" w:cs="仿宋"/>
          <w:b/>
          <w:bCs/>
          <w:sz w:val="38"/>
          <w:szCs w:val="38"/>
        </w:rPr>
      </w:pPr>
      <w:r>
        <w:rPr>
          <w:rFonts w:hint="eastAsia" w:ascii="方正小标宋_GBK" w:hAnsi="仿宋" w:eastAsia="方正小标宋_GBK" w:cs="仿宋"/>
          <w:b/>
          <w:bCs/>
          <w:sz w:val="38"/>
          <w:szCs w:val="38"/>
        </w:rPr>
        <w:t>第十四个五年规划和二〇三五年远景目标纲要》</w:t>
      </w:r>
    </w:p>
    <w:p>
      <w:pPr>
        <w:spacing w:line="0" w:lineRule="atLeast"/>
        <w:jc w:val="center"/>
        <w:rPr>
          <w:rFonts w:hint="eastAsia" w:ascii="方正小标宋_GBK" w:hAnsi="仿宋" w:eastAsia="方正小标宋_GBK" w:cs="仿宋"/>
          <w:b/>
          <w:bCs/>
          <w:sz w:val="38"/>
          <w:szCs w:val="38"/>
        </w:rPr>
      </w:pPr>
      <w:r>
        <w:rPr>
          <w:rFonts w:hint="eastAsia" w:ascii="方正小标宋_GBK" w:hAnsi="仿宋" w:eastAsia="方正小标宋_GBK" w:cs="仿宋"/>
          <w:b/>
          <w:bCs/>
          <w:sz w:val="38"/>
          <w:szCs w:val="38"/>
        </w:rPr>
        <w:t>的政策解读</w:t>
      </w:r>
    </w:p>
    <w:p>
      <w:pPr>
        <w:jc w:val="center"/>
        <w:rPr>
          <w:rFonts w:ascii="仿宋" w:hAnsi="仿宋" w:eastAsia="仿宋" w:cs="仿宋"/>
          <w:b/>
          <w:bCs/>
        </w:rPr>
      </w:pPr>
    </w:p>
    <w:p>
      <w:pPr>
        <w:adjustRightInd w:val="0"/>
        <w:snapToGrid w:val="0"/>
        <w:spacing w:line="576" w:lineRule="exact"/>
        <w:ind w:firstLine="680" w:firstLineChars="200"/>
        <w:rPr>
          <w:rFonts w:ascii="方正黑体_GBK" w:eastAsia="方正黑体_GBK" w:cs="Times New Roman"/>
          <w:szCs w:val="33"/>
        </w:rPr>
      </w:pPr>
      <w:r>
        <w:rPr>
          <w:rFonts w:ascii="方正黑体_GBK" w:eastAsia="方正黑体_GBK" w:cs="Times New Roman"/>
          <w:szCs w:val="33"/>
        </w:rPr>
        <w:t>一、总体情况</w:t>
      </w:r>
    </w:p>
    <w:p>
      <w:pPr>
        <w:adjustRightInd w:val="0"/>
        <w:snapToGrid w:val="0"/>
        <w:spacing w:line="576" w:lineRule="exact"/>
        <w:ind w:firstLine="680" w:firstLineChars="200"/>
        <w:rPr>
          <w:rFonts w:cs="Times New Roman"/>
          <w:szCs w:val="33"/>
        </w:rPr>
      </w:pPr>
      <w:r>
        <w:rPr>
          <w:rFonts w:cs="Times New Roman"/>
          <w:szCs w:val="33"/>
        </w:rPr>
        <w:t>“十四五”时期是我国在全面建成小康社会、实现第一个百年奋斗目标之后，乘势而上开启全面建设社会主义现代化国家新征程、向第二个百年奋斗目标进军的第一个五年；“十四五”时期，是东区迈向现代化建设新征程的开局时期，是融入双循环新发展格局的关键时期。《攀枝花市东区国民经济和社会发展第十四个五年规划和二〇三五年远景目标纲要》</w:t>
      </w:r>
      <w:r>
        <w:rPr>
          <w:rFonts w:hint="eastAsia" w:cs="Times New Roman"/>
          <w:szCs w:val="33"/>
          <w:lang w:eastAsia="zh-CN"/>
        </w:rPr>
        <w:t>（</w:t>
      </w:r>
      <w:r>
        <w:rPr>
          <w:rFonts w:hint="eastAsia" w:cs="Times New Roman"/>
          <w:szCs w:val="33"/>
          <w:lang w:val="en-US" w:eastAsia="zh-CN"/>
        </w:rPr>
        <w:t>以下简称《</w:t>
      </w:r>
      <w:r>
        <w:rPr>
          <w:rFonts w:cs="Times New Roman"/>
          <w:szCs w:val="33"/>
        </w:rPr>
        <w:t>规划纲要</w:t>
      </w:r>
      <w:r>
        <w:rPr>
          <w:rFonts w:hint="eastAsia" w:cs="Times New Roman"/>
          <w:szCs w:val="33"/>
          <w:lang w:val="en-US" w:eastAsia="zh-CN"/>
        </w:rPr>
        <w:t>》</w:t>
      </w:r>
      <w:r>
        <w:rPr>
          <w:rFonts w:hint="eastAsia" w:cs="Times New Roman"/>
          <w:szCs w:val="33"/>
          <w:lang w:eastAsia="zh-CN"/>
        </w:rPr>
        <w:t>）</w:t>
      </w:r>
      <w:r>
        <w:rPr>
          <w:rFonts w:cs="Times New Roman"/>
          <w:szCs w:val="33"/>
        </w:rPr>
        <w:t>根据《中共攀枝花市东区委员会关于制定东区国民经济和社会发展第十四个五年规划和二〇三五年远景目标的建议》编制，立足“建设美丽时尚幸福现代化东区”，阐明“十四五”时期指导思想、发展目标、主要任务、空间布局和实施保障，是指导东区今后五年</w:t>
      </w:r>
      <w:r>
        <w:rPr>
          <w:rFonts w:hint="eastAsia" w:cs="Times New Roman"/>
          <w:szCs w:val="33"/>
          <w:lang w:val="en-US" w:eastAsia="zh-CN"/>
        </w:rPr>
        <w:t>乃至更长一段时期</w:t>
      </w:r>
      <w:r>
        <w:rPr>
          <w:rFonts w:cs="Times New Roman"/>
          <w:szCs w:val="33"/>
        </w:rPr>
        <w:t>实现国民经济和社会发展的目标蓝图，是全区人民共同奋斗的行动纲领。</w:t>
      </w:r>
    </w:p>
    <w:p>
      <w:pPr>
        <w:adjustRightInd w:val="0"/>
        <w:snapToGrid w:val="0"/>
        <w:spacing w:line="576" w:lineRule="exact"/>
        <w:ind w:firstLine="680" w:firstLineChars="200"/>
        <w:rPr>
          <w:rFonts w:cs="Times New Roman"/>
          <w:szCs w:val="33"/>
        </w:rPr>
      </w:pPr>
      <w:r>
        <w:rPr>
          <w:rFonts w:hint="eastAsia" w:cs="Times New Roman"/>
          <w:szCs w:val="33"/>
          <w:lang w:val="en-US" w:eastAsia="zh-CN"/>
        </w:rPr>
        <w:t>按照</w:t>
      </w:r>
      <w:r>
        <w:rPr>
          <w:rFonts w:cs="Times New Roman"/>
          <w:szCs w:val="33"/>
        </w:rPr>
        <w:t>中央、省委、市委对“十四五”规划编制</w:t>
      </w:r>
      <w:r>
        <w:rPr>
          <w:rFonts w:hint="eastAsia" w:cs="Times New Roman"/>
          <w:szCs w:val="33"/>
          <w:lang w:val="en-US" w:eastAsia="zh-CN"/>
        </w:rPr>
        <w:t>的</w:t>
      </w:r>
      <w:r>
        <w:rPr>
          <w:rFonts w:cs="Times New Roman"/>
          <w:szCs w:val="33"/>
        </w:rPr>
        <w:t>工作部署，</w:t>
      </w:r>
      <w:r>
        <w:rPr>
          <w:rFonts w:hint="eastAsia" w:cs="Times New Roman"/>
          <w:szCs w:val="33"/>
          <w:lang w:val="en-US" w:eastAsia="zh-CN"/>
        </w:rPr>
        <w:t>东区</w:t>
      </w:r>
      <w:r>
        <w:rPr>
          <w:rFonts w:cs="Times New Roman"/>
          <w:szCs w:val="33"/>
        </w:rPr>
        <w:t>及时成立</w:t>
      </w:r>
      <w:r>
        <w:rPr>
          <w:rFonts w:hint="eastAsia" w:cs="Times New Roman"/>
          <w:szCs w:val="33"/>
          <w:lang w:val="en-US" w:eastAsia="zh-CN"/>
        </w:rPr>
        <w:t>《</w:t>
      </w:r>
      <w:r>
        <w:rPr>
          <w:rFonts w:cs="Times New Roman"/>
          <w:szCs w:val="33"/>
        </w:rPr>
        <w:t>规划纲要</w:t>
      </w:r>
      <w:r>
        <w:rPr>
          <w:rFonts w:hint="eastAsia" w:cs="Times New Roman"/>
          <w:szCs w:val="33"/>
          <w:lang w:val="en-US" w:eastAsia="zh-CN"/>
        </w:rPr>
        <w:t>》</w:t>
      </w:r>
      <w:r>
        <w:rPr>
          <w:rFonts w:cs="Times New Roman"/>
          <w:szCs w:val="33"/>
        </w:rPr>
        <w:t>编制工作领导小组，</w:t>
      </w:r>
      <w:r>
        <w:rPr>
          <w:rFonts w:hint="eastAsia" w:cs="Times New Roman"/>
          <w:szCs w:val="33"/>
          <w:lang w:val="en-US" w:eastAsia="zh-CN"/>
        </w:rPr>
        <w:t>共计</w:t>
      </w:r>
      <w:r>
        <w:rPr>
          <w:rFonts w:cs="Times New Roman"/>
          <w:szCs w:val="33"/>
        </w:rPr>
        <w:t>形成56项重大课题调研成果，找准了东区发展底色和特色。编制过程中，通过组织召开系列座谈会、汇报会，广泛征求各部门意见和建议，汇总收集各部门反馈意见160余条</w:t>
      </w:r>
      <w:r>
        <w:rPr>
          <w:rFonts w:hint="eastAsia" w:cs="Times New Roman"/>
          <w:szCs w:val="33"/>
          <w:lang w:eastAsia="zh-CN"/>
        </w:rPr>
        <w:t>，</w:t>
      </w:r>
      <w:r>
        <w:rPr>
          <w:rFonts w:hint="eastAsia" w:cs="Times New Roman"/>
          <w:szCs w:val="33"/>
          <w:lang w:val="en-US" w:eastAsia="zh-CN"/>
        </w:rPr>
        <w:t>与此同时，</w:t>
      </w:r>
      <w:r>
        <w:rPr>
          <w:rFonts w:cs="Times New Roman"/>
          <w:szCs w:val="33"/>
        </w:rPr>
        <w:t>高度重视顶层设计与问计于民的有机统一，利用互联网平台，面向社会各界人士开展东区</w:t>
      </w:r>
      <w:r>
        <w:rPr>
          <w:rFonts w:hint="eastAsia" w:cs="Times New Roman"/>
          <w:szCs w:val="33"/>
          <w:lang w:val="en-US" w:eastAsia="zh-CN"/>
        </w:rPr>
        <w:t>《</w:t>
      </w:r>
      <w:r>
        <w:rPr>
          <w:rFonts w:cs="Times New Roman"/>
          <w:szCs w:val="33"/>
        </w:rPr>
        <w:t>规划纲要</w:t>
      </w:r>
      <w:r>
        <w:rPr>
          <w:rFonts w:hint="eastAsia" w:cs="Times New Roman"/>
          <w:szCs w:val="33"/>
          <w:lang w:val="en-US" w:eastAsia="zh-CN"/>
        </w:rPr>
        <w:t>》</w:t>
      </w:r>
      <w:r>
        <w:rPr>
          <w:rFonts w:cs="Times New Roman"/>
          <w:szCs w:val="33"/>
        </w:rPr>
        <w:t>建言献策活动，征得社会意见和建议240余条。《规划纲要》按程序已经攀枝花市东区第十一届人民代表大会第6次会议批准。</w:t>
      </w:r>
    </w:p>
    <w:p>
      <w:pPr>
        <w:adjustRightInd w:val="0"/>
        <w:snapToGrid w:val="0"/>
        <w:spacing w:line="576" w:lineRule="exact"/>
        <w:ind w:firstLine="680" w:firstLineChars="200"/>
        <w:rPr>
          <w:rFonts w:ascii="方正黑体_GBK" w:eastAsia="方正黑体_GBK" w:cs="Times New Roman"/>
          <w:szCs w:val="33"/>
        </w:rPr>
      </w:pPr>
      <w:r>
        <w:rPr>
          <w:rFonts w:ascii="方正黑体_GBK" w:eastAsia="方正黑体_GBK" w:cs="Times New Roman"/>
          <w:szCs w:val="33"/>
        </w:rPr>
        <w:t>二、规划纲要总体思路</w:t>
      </w:r>
    </w:p>
    <w:p>
      <w:pPr>
        <w:adjustRightInd w:val="0"/>
        <w:snapToGrid w:val="0"/>
        <w:spacing w:line="576" w:lineRule="exact"/>
        <w:ind w:firstLine="680" w:firstLineChars="200"/>
        <w:rPr>
          <w:rFonts w:cs="Times New Roman"/>
          <w:szCs w:val="33"/>
        </w:rPr>
      </w:pPr>
      <w:r>
        <w:rPr>
          <w:rFonts w:cs="Times New Roman"/>
          <w:b/>
          <w:bCs/>
          <w:szCs w:val="33"/>
        </w:rPr>
        <w:t>一是坚持对标对表与立足实际相结合。</w:t>
      </w:r>
      <w:r>
        <w:rPr>
          <w:rFonts w:cs="Times New Roman"/>
          <w:szCs w:val="33"/>
        </w:rPr>
        <w:t>坚持以习近平新时代中国特色社会主义思想为指导，深刻领会、全面对标中央、省委、市委规划建议，紧密结合东区区情实际抓承接转化、抓谋划实化，做到与上级决策部署同向定位、相向而行、一体推进，确保既符合上级精神、又体现时代特征，更契合东区实际、反映人民意愿。</w:t>
      </w:r>
    </w:p>
    <w:p>
      <w:pPr>
        <w:adjustRightInd w:val="0"/>
        <w:snapToGrid w:val="0"/>
        <w:spacing w:line="576" w:lineRule="exact"/>
        <w:ind w:firstLine="680" w:firstLineChars="200"/>
        <w:rPr>
          <w:rFonts w:cs="Times New Roman"/>
          <w:szCs w:val="33"/>
        </w:rPr>
      </w:pPr>
      <w:r>
        <w:rPr>
          <w:rFonts w:cs="Times New Roman"/>
          <w:b/>
          <w:bCs/>
          <w:szCs w:val="33"/>
        </w:rPr>
        <w:t>二是坚持把握大局和突出重点相结合。</w:t>
      </w:r>
      <w:r>
        <w:rPr>
          <w:rFonts w:cs="Times New Roman"/>
          <w:szCs w:val="33"/>
        </w:rPr>
        <w:t>始终把东区放到全国全省全市战略大局中谋划推动，积极抢抓国省政策红利，着眼长远、把握大势、挖掘优势、补齐短板，既围绕经济社会发展做出系统谋划，又突出“现代化”“高质量”导向，聚焦产业转型、科技创新、城市建设、生态保护、民生保障等重点领域发力，加快推动形成具有独特优势的新增长极，使规划更具指导性、针对性。</w:t>
      </w:r>
    </w:p>
    <w:p>
      <w:pPr>
        <w:adjustRightInd w:val="0"/>
        <w:snapToGrid w:val="0"/>
        <w:spacing w:line="576" w:lineRule="exact"/>
        <w:ind w:firstLine="680" w:firstLineChars="200"/>
        <w:rPr>
          <w:rFonts w:cs="Times New Roman"/>
          <w:szCs w:val="33"/>
        </w:rPr>
      </w:pPr>
      <w:r>
        <w:rPr>
          <w:rFonts w:cs="Times New Roman"/>
          <w:b/>
          <w:bCs/>
          <w:szCs w:val="33"/>
        </w:rPr>
        <w:t>三是坚持一脉相承与继往开来相结合。</w:t>
      </w:r>
      <w:r>
        <w:rPr>
          <w:rFonts w:cs="Times New Roman"/>
          <w:szCs w:val="33"/>
        </w:rPr>
        <w:t>坚持一张蓝图绘到底，突出规划连续性和创新性，客观分析总结“十三五”时期取得的工作成效，坚持延续行之有效的理论成果、实践成果、制度成果，与时俱进、实事求是谋划未来五年和二〇三五年远景奋斗目标，结合新形势新任务提出新思路新举措，确保各项工作更加符合规律性、体现时代性、具有实效性。</w:t>
      </w:r>
    </w:p>
    <w:p>
      <w:pPr>
        <w:adjustRightInd w:val="0"/>
        <w:snapToGrid w:val="0"/>
        <w:spacing w:line="576" w:lineRule="exact"/>
        <w:ind w:firstLine="680" w:firstLineChars="200"/>
        <w:rPr>
          <w:rFonts w:cs="Times New Roman"/>
          <w:szCs w:val="33"/>
        </w:rPr>
      </w:pPr>
      <w:r>
        <w:rPr>
          <w:rFonts w:cs="Times New Roman"/>
          <w:b/>
          <w:bCs/>
          <w:szCs w:val="33"/>
        </w:rPr>
        <w:t>四是坚持民生为本与加快发展相结合。</w:t>
      </w:r>
      <w:r>
        <w:rPr>
          <w:rFonts w:cs="Times New Roman"/>
          <w:szCs w:val="33"/>
        </w:rPr>
        <w:t>坚持以人民为中心的发展思想，持续用力在增进民生福祉上下功夫，强化普惠性基础性兜底性民生建设，围绕群众所需所盼明确就业、教育、卫生、社保、养老、交通等民生事业努力方向和重点任务，让人民群众有更多获得感、幸福感、安全感，努力做到发展为了人民、发展依靠人民、发展成果由人民共享。</w:t>
      </w:r>
    </w:p>
    <w:p>
      <w:pPr>
        <w:adjustRightInd w:val="0"/>
        <w:snapToGrid w:val="0"/>
        <w:spacing w:line="576" w:lineRule="exact"/>
        <w:ind w:firstLine="680" w:firstLineChars="200"/>
        <w:rPr>
          <w:rFonts w:hint="eastAsia" w:ascii="方正黑体_GBK" w:eastAsia="方正黑体_GBK" w:cs="Times New Roman"/>
          <w:szCs w:val="33"/>
        </w:rPr>
      </w:pPr>
      <w:r>
        <w:rPr>
          <w:rFonts w:hint="eastAsia" w:ascii="方正黑体_GBK" w:eastAsia="方正黑体_GBK" w:cs="Times New Roman"/>
          <w:szCs w:val="33"/>
        </w:rPr>
        <w:t>三、规划纲要总体框架</w:t>
      </w:r>
    </w:p>
    <w:p>
      <w:pPr>
        <w:adjustRightInd w:val="0"/>
        <w:snapToGrid w:val="0"/>
        <w:spacing w:line="576" w:lineRule="exact"/>
        <w:ind w:firstLine="640"/>
        <w:rPr>
          <w:rFonts w:hint="eastAsia" w:eastAsia="方正仿宋_GBK" w:cs="Times New Roman"/>
          <w:szCs w:val="33"/>
          <w:highlight w:val="yellow"/>
          <w:lang w:eastAsia="zh-CN"/>
        </w:rPr>
      </w:pPr>
      <w:r>
        <w:rPr>
          <w:rFonts w:cs="Times New Roman"/>
          <w:szCs w:val="33"/>
        </w:rPr>
        <w:t>在结构上，《</w:t>
      </w:r>
      <w:r>
        <w:rPr>
          <w:rFonts w:hint="eastAsia" w:cs="Times New Roman"/>
          <w:szCs w:val="33"/>
          <w:lang w:val="en-US" w:eastAsia="zh-CN"/>
        </w:rPr>
        <w:t>规划</w:t>
      </w:r>
      <w:r>
        <w:rPr>
          <w:rFonts w:cs="Times New Roman"/>
          <w:szCs w:val="33"/>
        </w:rPr>
        <w:t>纲要》分为三大板块</w:t>
      </w:r>
      <w:r>
        <w:rPr>
          <w:rFonts w:hint="eastAsia" w:cs="Times New Roman"/>
          <w:szCs w:val="33"/>
          <w:lang w:eastAsia="zh-CN"/>
        </w:rPr>
        <w:t>，</w:t>
      </w:r>
      <w:r>
        <w:rPr>
          <w:rFonts w:hint="eastAsia" w:cs="Times New Roman"/>
          <w:szCs w:val="33"/>
          <w:lang w:val="en-US" w:eastAsia="zh-CN"/>
        </w:rPr>
        <w:t>共八</w:t>
      </w:r>
      <w:r>
        <w:rPr>
          <w:rFonts w:cs="Times New Roman"/>
          <w:szCs w:val="33"/>
        </w:rPr>
        <w:t>章</w:t>
      </w:r>
      <w:r>
        <w:rPr>
          <w:rFonts w:hint="eastAsia" w:cs="Times New Roman"/>
          <w:szCs w:val="33"/>
          <w:lang w:eastAsia="zh-CN"/>
        </w:rPr>
        <w:t>。</w:t>
      </w:r>
    </w:p>
    <w:p>
      <w:pPr>
        <w:adjustRightInd w:val="0"/>
        <w:snapToGrid w:val="0"/>
        <w:spacing w:line="576" w:lineRule="exact"/>
        <w:ind w:firstLine="643"/>
        <w:rPr>
          <w:rFonts w:cs="Times New Roman"/>
          <w:szCs w:val="33"/>
        </w:rPr>
      </w:pPr>
      <w:r>
        <w:rPr>
          <w:rFonts w:cs="Times New Roman"/>
          <w:b/>
          <w:bCs/>
          <w:szCs w:val="33"/>
        </w:rPr>
        <w:t>第一板块为总论，包括序言和第一章。</w:t>
      </w:r>
      <w:r>
        <w:rPr>
          <w:rFonts w:cs="Times New Roman"/>
          <w:szCs w:val="33"/>
        </w:rPr>
        <w:t>第一章从发展背景和总体要求展开。</w:t>
      </w:r>
      <w:r>
        <w:rPr>
          <w:rFonts w:cs="Times New Roman"/>
          <w:b/>
          <w:bCs/>
          <w:szCs w:val="33"/>
        </w:rPr>
        <w:t>第一部分一是</w:t>
      </w:r>
      <w:r>
        <w:rPr>
          <w:rFonts w:cs="Times New Roman"/>
          <w:szCs w:val="33"/>
        </w:rPr>
        <w:t>回顾了“十三五”时期东区经济社会发展取得的成绩，主要表现在县域经济竞位赶超、转型升级步伐加快、发展活力竞相迸发、城区面貌焕然一新、社会事业全面发展等方面。</w:t>
      </w:r>
      <w:r>
        <w:rPr>
          <w:rFonts w:cs="Times New Roman"/>
          <w:b/>
          <w:bCs/>
          <w:szCs w:val="33"/>
        </w:rPr>
        <w:t>二是</w:t>
      </w:r>
      <w:r>
        <w:rPr>
          <w:rFonts w:cs="Times New Roman"/>
          <w:szCs w:val="33"/>
        </w:rPr>
        <w:t>主要对“十四五”时期发展环境进行了研判，“十四五”时期，东区发展内外环境发生了深刻复杂变化，总体上仍然处于重要战略机遇期，但机遇和挑战都有新变化。</w:t>
      </w:r>
      <w:r>
        <w:rPr>
          <w:rFonts w:cs="Times New Roman"/>
          <w:b/>
          <w:bCs/>
          <w:szCs w:val="33"/>
        </w:rPr>
        <w:t>三是</w:t>
      </w:r>
      <w:r>
        <w:rPr>
          <w:rFonts w:cs="Times New Roman"/>
          <w:szCs w:val="33"/>
        </w:rPr>
        <w:t>明确提出了2035年远景目标。</w:t>
      </w:r>
      <w:r>
        <w:rPr>
          <w:rFonts w:cs="Times New Roman"/>
          <w:b/>
          <w:bCs/>
          <w:szCs w:val="33"/>
        </w:rPr>
        <w:t>第二部分</w:t>
      </w:r>
      <w:r>
        <w:rPr>
          <w:rFonts w:cs="Times New Roman"/>
          <w:szCs w:val="33"/>
        </w:rPr>
        <w:t>以2035年远景目标为导向，提出了“十四五”时期指导思想、基本原则、发展目标和生产力布局等总体要求。</w:t>
      </w:r>
    </w:p>
    <w:p>
      <w:pPr>
        <w:adjustRightInd w:val="0"/>
        <w:snapToGrid w:val="0"/>
        <w:spacing w:line="576" w:lineRule="exact"/>
        <w:ind w:firstLine="643"/>
        <w:rPr>
          <w:rFonts w:cs="Times New Roman"/>
          <w:color w:val="000000" w:themeColor="text1"/>
          <w:szCs w:val="33"/>
          <w14:textFill>
            <w14:solidFill>
              <w14:schemeClr w14:val="tx1"/>
            </w14:solidFill>
          </w14:textFill>
        </w:rPr>
      </w:pPr>
      <w:r>
        <w:rPr>
          <w:rFonts w:cs="Times New Roman"/>
          <w:b/>
          <w:bCs/>
          <w:szCs w:val="33"/>
        </w:rPr>
        <w:t>第二板块为分论，包括第二章至第</w:t>
      </w:r>
      <w:r>
        <w:rPr>
          <w:rFonts w:hint="eastAsia" w:cs="Times New Roman"/>
          <w:b/>
          <w:bCs/>
          <w:szCs w:val="33"/>
          <w:lang w:val="en-US" w:eastAsia="zh-CN"/>
        </w:rPr>
        <w:t>七</w:t>
      </w:r>
      <w:r>
        <w:rPr>
          <w:rFonts w:cs="Times New Roman"/>
          <w:b/>
          <w:bCs/>
          <w:szCs w:val="33"/>
        </w:rPr>
        <w:t>章。</w:t>
      </w:r>
      <w:r>
        <w:rPr>
          <w:rFonts w:cs="Times New Roman"/>
          <w:szCs w:val="33"/>
        </w:rPr>
        <w:t>重点阐述“十四五”时期经济和社会发展的战略任务、重大举措、重点实施项目。</w:t>
      </w:r>
      <w:r>
        <w:rPr>
          <w:rFonts w:cs="Times New Roman"/>
          <w:b/>
          <w:bCs/>
          <w:szCs w:val="33"/>
        </w:rPr>
        <w:t>第二章为建设高质量现代工业强区，</w:t>
      </w:r>
      <w:r>
        <w:rPr>
          <w:rFonts w:cs="Times New Roman"/>
          <w:szCs w:val="33"/>
        </w:rPr>
        <w:t>主要围绕“建成钒钛战略资源创新开发主战场、培育</w:t>
      </w:r>
      <w:r>
        <w:rPr>
          <w:rFonts w:hint="eastAsia" w:cs="Times New Roman"/>
          <w:szCs w:val="33"/>
          <w:lang w:val="en-US" w:eastAsia="zh-CN"/>
        </w:rPr>
        <w:t>战略性</w:t>
      </w:r>
      <w:r>
        <w:rPr>
          <w:rFonts w:cs="Times New Roman"/>
          <w:szCs w:val="33"/>
        </w:rPr>
        <w:t>新兴产业创新区、建设区域数字经济先行区、争创国家级产业园区、打造航母舰队集群、发展高质量市场主体”六方面展开</w:t>
      </w:r>
      <w:r>
        <w:rPr>
          <w:rFonts w:hint="eastAsia" w:cs="Times New Roman"/>
          <w:szCs w:val="33"/>
          <w:lang w:eastAsia="zh-CN"/>
        </w:rPr>
        <w:t>，</w:t>
      </w:r>
      <w:r>
        <w:rPr>
          <w:rFonts w:hint="eastAsia" w:cs="Times New Roman"/>
          <w:szCs w:val="33"/>
          <w:lang w:val="en-US" w:eastAsia="zh-CN"/>
        </w:rPr>
        <w:t>着力构建“4+3+1”现代工业体系</w:t>
      </w:r>
      <w:r>
        <w:rPr>
          <w:rFonts w:cs="Times New Roman"/>
          <w:szCs w:val="33"/>
        </w:rPr>
        <w:t>。</w:t>
      </w:r>
      <w:r>
        <w:rPr>
          <w:rFonts w:cs="Times New Roman"/>
          <w:b/>
          <w:bCs/>
          <w:szCs w:val="33"/>
        </w:rPr>
        <w:t>第三章为建设高质量现代服务示范区，</w:t>
      </w:r>
      <w:r>
        <w:rPr>
          <w:rFonts w:cs="Times New Roman"/>
          <w:szCs w:val="33"/>
        </w:rPr>
        <w:t>主要围绕“构建现代服务业布局、建设阳光康养产业发展核心区、建设现代服务业集聚引领区、培育消费新业态新模式、加强现代服务业提质提标、推动现代服务业创新发展”六方面展开</w:t>
      </w:r>
      <w:r>
        <w:rPr>
          <w:rFonts w:hint="eastAsia" w:cs="Times New Roman"/>
          <w:szCs w:val="33"/>
          <w:lang w:eastAsia="zh-CN"/>
        </w:rPr>
        <w:t>，</w:t>
      </w:r>
      <w:r>
        <w:rPr>
          <w:rFonts w:hint="eastAsia" w:cs="Times New Roman"/>
          <w:szCs w:val="33"/>
          <w:lang w:val="en-US" w:eastAsia="zh-CN"/>
        </w:rPr>
        <w:t>着力构建“4+6”现代服务业体系</w:t>
      </w:r>
      <w:r>
        <w:rPr>
          <w:rFonts w:cs="Times New Roman"/>
          <w:szCs w:val="33"/>
        </w:rPr>
        <w:t>。</w:t>
      </w:r>
      <w:r>
        <w:rPr>
          <w:rFonts w:cs="Times New Roman"/>
          <w:b/>
          <w:bCs/>
          <w:szCs w:val="33"/>
        </w:rPr>
        <w:t>第</w:t>
      </w:r>
      <w:r>
        <w:rPr>
          <w:rFonts w:hint="eastAsia" w:cs="Times New Roman"/>
          <w:b/>
          <w:bCs/>
          <w:szCs w:val="33"/>
          <w:lang w:val="en-US" w:eastAsia="zh-CN"/>
        </w:rPr>
        <w:t>四</w:t>
      </w:r>
      <w:r>
        <w:rPr>
          <w:rFonts w:cs="Times New Roman"/>
          <w:b/>
          <w:bCs/>
          <w:szCs w:val="33"/>
        </w:rPr>
        <w:t>章为加快铸就科技创新新高地，</w:t>
      </w:r>
      <w:r>
        <w:rPr>
          <w:rFonts w:cs="Times New Roman"/>
          <w:color w:val="000000" w:themeColor="text1"/>
          <w:szCs w:val="33"/>
          <w14:textFill>
            <w14:solidFill>
              <w14:schemeClr w14:val="tx1"/>
            </w14:solidFill>
          </w14:textFill>
        </w:rPr>
        <w:t>主要围绕“深化重点领域改革、深化区域开放发展、强化科技创新支撑力、加速培育创新主体、激发人才创新活力、完善创新体制机制”六方面展开</w:t>
      </w:r>
      <w:r>
        <w:rPr>
          <w:rFonts w:hint="eastAsia" w:cs="Times New Roman"/>
          <w:color w:val="000000" w:themeColor="text1"/>
          <w:szCs w:val="33"/>
          <w:lang w:eastAsia="zh-CN"/>
          <w14:textFill>
            <w14:solidFill>
              <w14:schemeClr w14:val="tx1"/>
            </w14:solidFill>
          </w14:textFill>
        </w:rPr>
        <w:t>，</w:t>
      </w:r>
      <w:r>
        <w:rPr>
          <w:rFonts w:hint="eastAsia" w:cs="Times New Roman"/>
          <w:color w:val="000000" w:themeColor="text1"/>
          <w:szCs w:val="33"/>
          <w:lang w:val="en-US" w:eastAsia="zh-CN"/>
          <w14:textFill>
            <w14:solidFill>
              <w14:schemeClr w14:val="tx1"/>
            </w14:solidFill>
          </w14:textFill>
        </w:rPr>
        <w:t>夯实新发展竞争基础</w:t>
      </w:r>
      <w:r>
        <w:rPr>
          <w:rFonts w:cs="Times New Roman"/>
          <w:color w:val="000000" w:themeColor="text1"/>
          <w:szCs w:val="33"/>
          <w14:textFill>
            <w14:solidFill>
              <w14:schemeClr w14:val="tx1"/>
            </w14:solidFill>
          </w14:textFill>
        </w:rPr>
        <w:t>。</w:t>
      </w:r>
      <w:r>
        <w:rPr>
          <w:rFonts w:cs="Times New Roman"/>
          <w:b/>
          <w:bCs/>
          <w:szCs w:val="33"/>
        </w:rPr>
        <w:t>第</w:t>
      </w:r>
      <w:r>
        <w:rPr>
          <w:rFonts w:hint="eastAsia" w:cs="Times New Roman"/>
          <w:b/>
          <w:bCs/>
          <w:szCs w:val="33"/>
          <w:lang w:val="en-US" w:eastAsia="zh-CN"/>
        </w:rPr>
        <w:t>五</w:t>
      </w:r>
      <w:r>
        <w:rPr>
          <w:rFonts w:cs="Times New Roman"/>
          <w:b/>
          <w:bCs/>
          <w:szCs w:val="33"/>
        </w:rPr>
        <w:t>章为加快建设生态宜居公园城，</w:t>
      </w:r>
      <w:r>
        <w:rPr>
          <w:rFonts w:cs="Times New Roman"/>
          <w:szCs w:val="33"/>
        </w:rPr>
        <w:t>主要围绕“构筑以人为核心的现代化城区、打造乡村振兴发展新样本、推进城乡全面融合共同繁荣、健全生态治理体制机制、筑牢生态安全屏障、促进生产生活绿色化”六方面展开</w:t>
      </w:r>
      <w:r>
        <w:rPr>
          <w:rFonts w:hint="eastAsia" w:cs="Times New Roman"/>
          <w:szCs w:val="33"/>
          <w:lang w:eastAsia="zh-CN"/>
        </w:rPr>
        <w:t>，</w:t>
      </w:r>
      <w:r>
        <w:rPr>
          <w:rFonts w:hint="eastAsia" w:cs="Times New Roman"/>
          <w:szCs w:val="33"/>
          <w:lang w:val="en-US" w:eastAsia="zh-CN"/>
        </w:rPr>
        <w:t>努力实现山水共生、产城相融</w:t>
      </w:r>
      <w:r>
        <w:rPr>
          <w:rFonts w:cs="Times New Roman"/>
          <w:szCs w:val="33"/>
        </w:rPr>
        <w:t>。</w:t>
      </w:r>
      <w:r>
        <w:rPr>
          <w:rFonts w:cs="Times New Roman"/>
          <w:b/>
          <w:bCs/>
          <w:szCs w:val="33"/>
        </w:rPr>
        <w:t>第</w:t>
      </w:r>
      <w:r>
        <w:rPr>
          <w:rFonts w:hint="eastAsia" w:cs="Times New Roman"/>
          <w:b/>
          <w:bCs/>
          <w:szCs w:val="33"/>
          <w:lang w:val="en-US" w:eastAsia="zh-CN"/>
        </w:rPr>
        <w:t>六</w:t>
      </w:r>
      <w:r>
        <w:rPr>
          <w:rFonts w:cs="Times New Roman"/>
          <w:b/>
          <w:bCs/>
          <w:szCs w:val="33"/>
        </w:rPr>
        <w:t>章加快建设社会治理示范区，</w:t>
      </w:r>
      <w:r>
        <w:rPr>
          <w:rFonts w:cs="Times New Roman"/>
          <w:color w:val="000000" w:themeColor="text1"/>
          <w:szCs w:val="33"/>
          <w14:textFill>
            <w14:solidFill>
              <w14:schemeClr w14:val="tx1"/>
            </w14:solidFill>
          </w14:textFill>
        </w:rPr>
        <w:t>主要围绕“</w:t>
      </w:r>
      <w:r>
        <w:rPr>
          <w:rFonts w:hint="eastAsia" w:cs="Times New Roman"/>
          <w:color w:val="000000" w:themeColor="text1"/>
          <w:szCs w:val="33"/>
          <w:lang w:val="en-US" w:eastAsia="zh-CN"/>
          <w14:textFill>
            <w14:solidFill>
              <w14:schemeClr w14:val="tx1"/>
            </w14:solidFill>
          </w14:textFill>
        </w:rPr>
        <w:t>全面加强法治建设、</w:t>
      </w:r>
      <w:r>
        <w:rPr>
          <w:rFonts w:cs="Times New Roman"/>
          <w:color w:val="000000" w:themeColor="text1"/>
          <w:szCs w:val="33"/>
          <w14:textFill>
            <w14:solidFill>
              <w14:schemeClr w14:val="tx1"/>
            </w14:solidFill>
          </w14:textFill>
        </w:rPr>
        <w:t>加强安全防控建设、加强城乡基层治理、建设新时代诚信东区、不断优化要素保障”五方面展开</w:t>
      </w:r>
      <w:r>
        <w:rPr>
          <w:rFonts w:hint="eastAsia" w:cs="Times New Roman"/>
          <w:color w:val="000000" w:themeColor="text1"/>
          <w:szCs w:val="33"/>
          <w:lang w:eastAsia="zh-CN"/>
          <w14:textFill>
            <w14:solidFill>
              <w14:schemeClr w14:val="tx1"/>
            </w14:solidFill>
          </w14:textFill>
        </w:rPr>
        <w:t>，</w:t>
      </w:r>
      <w:r>
        <w:rPr>
          <w:rFonts w:hint="eastAsia" w:cs="Times New Roman"/>
          <w:color w:val="000000" w:themeColor="text1"/>
          <w:szCs w:val="33"/>
          <w:lang w:val="en-US" w:eastAsia="zh-CN"/>
          <w14:textFill>
            <w14:solidFill>
              <w14:schemeClr w14:val="tx1"/>
            </w14:solidFill>
          </w14:textFill>
        </w:rPr>
        <w:t>提高基层治理能力</w:t>
      </w:r>
      <w:r>
        <w:rPr>
          <w:rFonts w:cs="Times New Roman"/>
          <w:color w:val="000000" w:themeColor="text1"/>
          <w:szCs w:val="33"/>
          <w14:textFill>
            <w14:solidFill>
              <w14:schemeClr w14:val="tx1"/>
            </w14:solidFill>
          </w14:textFill>
        </w:rPr>
        <w:t>。</w:t>
      </w:r>
      <w:r>
        <w:rPr>
          <w:rFonts w:cs="Times New Roman"/>
          <w:b/>
          <w:bCs/>
          <w:szCs w:val="33"/>
        </w:rPr>
        <w:t>第</w:t>
      </w:r>
      <w:r>
        <w:rPr>
          <w:rFonts w:hint="eastAsia" w:cs="Times New Roman"/>
          <w:b/>
          <w:bCs/>
          <w:szCs w:val="33"/>
          <w:lang w:val="en-US" w:eastAsia="zh-CN"/>
        </w:rPr>
        <w:t>七</w:t>
      </w:r>
      <w:r>
        <w:rPr>
          <w:rFonts w:cs="Times New Roman"/>
          <w:b/>
          <w:bCs/>
          <w:szCs w:val="33"/>
        </w:rPr>
        <w:t>章坚持共享发展红利，</w:t>
      </w:r>
      <w:r>
        <w:rPr>
          <w:rFonts w:cs="Times New Roman"/>
          <w:color w:val="000000" w:themeColor="text1"/>
          <w:szCs w:val="33"/>
          <w14:textFill>
            <w14:solidFill>
              <w14:schemeClr w14:val="tx1"/>
            </w14:solidFill>
          </w14:textFill>
        </w:rPr>
        <w:t>主</w:t>
      </w:r>
      <w:bookmarkStart w:id="3" w:name="_GoBack"/>
      <w:bookmarkEnd w:id="3"/>
      <w:r>
        <w:rPr>
          <w:rFonts w:cs="Times New Roman"/>
          <w:color w:val="000000" w:themeColor="text1"/>
          <w:szCs w:val="33"/>
          <w14:textFill>
            <w14:solidFill>
              <w14:schemeClr w14:val="tx1"/>
            </w14:solidFill>
          </w14:textFill>
        </w:rPr>
        <w:t>要围绕“</w:t>
      </w:r>
      <w:r>
        <w:rPr>
          <w:rFonts w:hint="eastAsia" w:cs="Times New Roman"/>
          <w:color w:val="000000" w:themeColor="text1"/>
          <w:szCs w:val="33"/>
          <w:lang w:val="en-US" w:eastAsia="zh-CN"/>
          <w14:textFill>
            <w14:solidFill>
              <w14:schemeClr w14:val="tx1"/>
            </w14:solidFill>
          </w14:textFill>
        </w:rPr>
        <w:t>创建全国</w:t>
      </w:r>
      <w:r>
        <w:rPr>
          <w:rFonts w:cs="Times New Roman"/>
          <w:color w:val="000000" w:themeColor="text1"/>
          <w:szCs w:val="33"/>
          <w14:textFill>
            <w14:solidFill>
              <w14:schemeClr w14:val="tx1"/>
            </w14:solidFill>
          </w14:textFill>
        </w:rPr>
        <w:t>文明</w:t>
      </w:r>
      <w:r>
        <w:rPr>
          <w:rFonts w:hint="eastAsia" w:cs="Times New Roman"/>
          <w:color w:val="000000" w:themeColor="text1"/>
          <w:szCs w:val="33"/>
          <w:lang w:val="en-US" w:eastAsia="zh-CN"/>
          <w14:textFill>
            <w14:solidFill>
              <w14:schemeClr w14:val="tx1"/>
            </w14:solidFill>
          </w14:textFill>
        </w:rPr>
        <w:t>城市</w:t>
      </w:r>
      <w:r>
        <w:rPr>
          <w:rFonts w:cs="Times New Roman"/>
          <w:color w:val="000000" w:themeColor="text1"/>
          <w:szCs w:val="33"/>
          <w14:textFill>
            <w14:solidFill>
              <w14:schemeClr w14:val="tx1"/>
            </w14:solidFill>
          </w14:textFill>
        </w:rPr>
        <w:t>、</w:t>
      </w:r>
      <w:r>
        <w:rPr>
          <w:rFonts w:hint="eastAsia" w:cs="Times New Roman"/>
          <w:color w:val="000000" w:themeColor="text1"/>
          <w:szCs w:val="33"/>
          <w:lang w:val="en-US" w:eastAsia="zh-CN"/>
          <w14:textFill>
            <w14:solidFill>
              <w14:schemeClr w14:val="tx1"/>
            </w14:solidFill>
          </w14:textFill>
        </w:rPr>
        <w:t>健全</w:t>
      </w:r>
      <w:r>
        <w:rPr>
          <w:rFonts w:cs="Times New Roman"/>
          <w:color w:val="000000" w:themeColor="text1"/>
          <w:szCs w:val="33"/>
          <w14:textFill>
            <w14:solidFill>
              <w14:schemeClr w14:val="tx1"/>
            </w14:solidFill>
          </w14:textFill>
        </w:rPr>
        <w:t>高质量教育体系、全力建成健康东区、实施积极人口战略、健全就业服务体系、提高人民收入和社会保障水平”六方面展开</w:t>
      </w:r>
      <w:r>
        <w:rPr>
          <w:rFonts w:hint="eastAsia" w:cs="Times New Roman"/>
          <w:color w:val="000000" w:themeColor="text1"/>
          <w:szCs w:val="33"/>
          <w:lang w:eastAsia="zh-CN"/>
          <w14:textFill>
            <w14:solidFill>
              <w14:schemeClr w14:val="tx1"/>
            </w14:solidFill>
          </w14:textFill>
        </w:rPr>
        <w:t>，</w:t>
      </w:r>
      <w:r>
        <w:rPr>
          <w:rFonts w:hint="eastAsia" w:cs="Times New Roman"/>
          <w:color w:val="000000" w:themeColor="text1"/>
          <w:szCs w:val="33"/>
          <w:lang w:val="en-US" w:eastAsia="zh-CN"/>
          <w14:textFill>
            <w14:solidFill>
              <w14:schemeClr w14:val="tx1"/>
            </w14:solidFill>
          </w14:textFill>
        </w:rPr>
        <w:t>提高人民幸福感获得感</w:t>
      </w:r>
      <w:r>
        <w:rPr>
          <w:rFonts w:cs="Times New Roman"/>
          <w:color w:val="000000" w:themeColor="text1"/>
          <w:szCs w:val="33"/>
          <w14:textFill>
            <w14:solidFill>
              <w14:schemeClr w14:val="tx1"/>
            </w14:solidFill>
          </w14:textFill>
        </w:rPr>
        <w:t>。</w:t>
      </w:r>
    </w:p>
    <w:p>
      <w:pPr>
        <w:adjustRightInd w:val="0"/>
        <w:snapToGrid w:val="0"/>
        <w:spacing w:line="576" w:lineRule="exact"/>
        <w:ind w:firstLine="643"/>
        <w:rPr>
          <w:rFonts w:cs="Times New Roman"/>
          <w:szCs w:val="33"/>
        </w:rPr>
      </w:pPr>
      <w:r>
        <w:rPr>
          <w:rFonts w:cs="Times New Roman"/>
          <w:b/>
          <w:bCs/>
          <w:szCs w:val="33"/>
        </w:rPr>
        <w:t>第三板块为结尾，即第</w:t>
      </w:r>
      <w:r>
        <w:rPr>
          <w:rFonts w:hint="eastAsia" w:cs="Times New Roman"/>
          <w:b/>
          <w:bCs/>
          <w:szCs w:val="33"/>
          <w:lang w:val="en-US" w:eastAsia="zh-CN"/>
        </w:rPr>
        <w:t>八</w:t>
      </w:r>
      <w:r>
        <w:rPr>
          <w:rFonts w:cs="Times New Roman"/>
          <w:b/>
          <w:bCs/>
          <w:szCs w:val="33"/>
        </w:rPr>
        <w:t>章。</w:t>
      </w:r>
      <w:bookmarkStart w:id="0" w:name="_Toc56412673"/>
      <w:r>
        <w:rPr>
          <w:rFonts w:cs="Times New Roman"/>
          <w:szCs w:val="33"/>
        </w:rPr>
        <w:t>从</w:t>
      </w:r>
      <w:bookmarkEnd w:id="0"/>
      <w:bookmarkStart w:id="1" w:name="_Toc56412674"/>
      <w:r>
        <w:rPr>
          <w:rFonts w:cs="Times New Roman"/>
          <w:szCs w:val="33"/>
        </w:rPr>
        <w:t>坚持党的集中统一领导、</w:t>
      </w:r>
      <w:bookmarkEnd w:id="1"/>
      <w:r>
        <w:rPr>
          <w:rFonts w:cs="Times New Roman"/>
          <w:szCs w:val="33"/>
        </w:rPr>
        <w:t xml:space="preserve"> 凝聚各方发展力量、纵深推进全面管党治党、坚持以规划为引领、大力完善配套保障、</w:t>
      </w:r>
      <w:r>
        <w:rPr>
          <w:rFonts w:hint="eastAsia" w:cs="Times New Roman"/>
          <w:szCs w:val="33"/>
          <w:lang w:val="en-US" w:eastAsia="zh-CN"/>
        </w:rPr>
        <w:t>加强规划目标考核、</w:t>
      </w:r>
      <w:r>
        <w:rPr>
          <w:rFonts w:cs="Times New Roman"/>
          <w:szCs w:val="33"/>
        </w:rPr>
        <w:t>强化监督考评实施</w:t>
      </w:r>
      <w:r>
        <w:rPr>
          <w:rFonts w:hint="eastAsia" w:cs="Times New Roman"/>
          <w:szCs w:val="33"/>
          <w:lang w:val="en-US" w:eastAsia="zh-CN"/>
        </w:rPr>
        <w:t>七</w:t>
      </w:r>
      <w:r>
        <w:rPr>
          <w:rFonts w:cs="Times New Roman"/>
          <w:szCs w:val="33"/>
        </w:rPr>
        <w:t>方面</w:t>
      </w:r>
      <w:r>
        <w:rPr>
          <w:rFonts w:hint="eastAsia" w:cs="Times New Roman"/>
          <w:szCs w:val="33"/>
          <w:lang w:val="en-US" w:eastAsia="zh-CN"/>
        </w:rPr>
        <w:t>来建立</w:t>
      </w:r>
      <w:r>
        <w:rPr>
          <w:rFonts w:cs="Times New Roman"/>
          <w:szCs w:val="33"/>
        </w:rPr>
        <w:t>《</w:t>
      </w:r>
      <w:r>
        <w:rPr>
          <w:rFonts w:hint="eastAsia" w:cs="Times New Roman"/>
          <w:szCs w:val="33"/>
          <w:lang w:val="en-US" w:eastAsia="zh-CN"/>
        </w:rPr>
        <w:t>规划</w:t>
      </w:r>
      <w:r>
        <w:rPr>
          <w:rFonts w:cs="Times New Roman"/>
          <w:szCs w:val="33"/>
        </w:rPr>
        <w:t>纲要》保障</w:t>
      </w:r>
      <w:r>
        <w:rPr>
          <w:rFonts w:hint="eastAsia" w:cs="Times New Roman"/>
          <w:szCs w:val="33"/>
          <w:lang w:val="en-US" w:eastAsia="zh-CN"/>
        </w:rPr>
        <w:t>体系</w:t>
      </w:r>
      <w:r>
        <w:rPr>
          <w:rFonts w:cs="Times New Roman"/>
          <w:szCs w:val="33"/>
        </w:rPr>
        <w:t>，</w:t>
      </w:r>
      <w:bookmarkStart w:id="2" w:name="_Toc56412672"/>
      <w:r>
        <w:rPr>
          <w:rFonts w:hint="eastAsia" w:cs="Times New Roman"/>
          <w:szCs w:val="33"/>
          <w:lang w:val="en-US" w:eastAsia="zh-CN"/>
        </w:rPr>
        <w:t>确保</w:t>
      </w:r>
      <w:r>
        <w:rPr>
          <w:rFonts w:cs="Times New Roman"/>
          <w:szCs w:val="33"/>
        </w:rPr>
        <w:t>实现</w:t>
      </w:r>
      <w:bookmarkEnd w:id="2"/>
      <w:r>
        <w:rPr>
          <w:rFonts w:hint="eastAsia" w:cs="Times New Roman"/>
          <w:szCs w:val="33"/>
          <w:lang w:val="en-US" w:eastAsia="zh-CN"/>
        </w:rPr>
        <w:t>现代化东区宏伟目标</w:t>
      </w:r>
      <w:r>
        <w:rPr>
          <w:rFonts w:cs="Times New Roman"/>
          <w:szCs w:val="33"/>
        </w:rPr>
        <w:t>。</w:t>
      </w:r>
    </w:p>
    <w:p>
      <w:pPr>
        <w:adjustRightInd w:val="0"/>
        <w:snapToGrid w:val="0"/>
        <w:spacing w:line="576" w:lineRule="exact"/>
        <w:ind w:firstLine="680" w:firstLineChars="200"/>
        <w:rPr>
          <w:rFonts w:cs="Times New Roman"/>
          <w:szCs w:val="33"/>
        </w:rPr>
      </w:pPr>
    </w:p>
    <w:sectPr>
      <w:footerReference r:id="rId3" w:type="default"/>
      <w:pgSz w:w="11906" w:h="16838"/>
      <w:pgMar w:top="2098" w:right="1474" w:bottom="1985" w:left="1588" w:header="907" w:footer="1644" w:gutter="0"/>
      <w:cols w:space="425" w:num="1"/>
      <w:docGrid w:type="linesAndChars" w:linePitch="576" w:charSpace="20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1869817"/>
    </w:sdtPr>
    <w:sdtEndPr>
      <w:rPr>
        <w:rFonts w:ascii="宋体" w:hAnsi="宋体" w:eastAsia="宋体"/>
        <w:sz w:val="28"/>
        <w:szCs w:val="28"/>
      </w:rPr>
    </w:sdtEndPr>
    <w:sdtContent>
      <w:p>
        <w:pPr>
          <w:pStyle w:val="3"/>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HorizontalSpacing w:val="170"/>
  <w:drawingGridVerticalSpacing w:val="28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TZlNzJhZjg0NTZjMTg2ODljZDMyZTAyMTM4ZjUifQ=="/>
  </w:docVars>
  <w:rsids>
    <w:rsidRoot w:val="00654118"/>
    <w:rsid w:val="0005788D"/>
    <w:rsid w:val="001C2A99"/>
    <w:rsid w:val="002B0A04"/>
    <w:rsid w:val="002C60BE"/>
    <w:rsid w:val="003D6747"/>
    <w:rsid w:val="00511A68"/>
    <w:rsid w:val="00582F98"/>
    <w:rsid w:val="005A7E3B"/>
    <w:rsid w:val="005F21CA"/>
    <w:rsid w:val="00654118"/>
    <w:rsid w:val="0072193E"/>
    <w:rsid w:val="00744680"/>
    <w:rsid w:val="00745B9F"/>
    <w:rsid w:val="007B282F"/>
    <w:rsid w:val="008424E9"/>
    <w:rsid w:val="008527B1"/>
    <w:rsid w:val="008E5724"/>
    <w:rsid w:val="008E7959"/>
    <w:rsid w:val="009E29A1"/>
    <w:rsid w:val="00A061A8"/>
    <w:rsid w:val="00A07C84"/>
    <w:rsid w:val="00AB6A8E"/>
    <w:rsid w:val="00B37235"/>
    <w:rsid w:val="00D63E47"/>
    <w:rsid w:val="00E436EE"/>
    <w:rsid w:val="00F12527"/>
    <w:rsid w:val="00FE01AD"/>
    <w:rsid w:val="0117618C"/>
    <w:rsid w:val="14956609"/>
    <w:rsid w:val="15F741F4"/>
    <w:rsid w:val="1A9D3C85"/>
    <w:rsid w:val="2B8350F1"/>
    <w:rsid w:val="30703D5A"/>
    <w:rsid w:val="31026952"/>
    <w:rsid w:val="4D2C6E03"/>
    <w:rsid w:val="4DD51249"/>
    <w:rsid w:val="52AA72DF"/>
    <w:rsid w:val="54224124"/>
    <w:rsid w:val="557E5D22"/>
    <w:rsid w:val="62864468"/>
    <w:rsid w:val="6B0D5727"/>
    <w:rsid w:val="6F19461C"/>
    <w:rsid w:val="6FEF5D43"/>
    <w:rsid w:val="71CA611F"/>
    <w:rsid w:val="7B735A7A"/>
    <w:rsid w:val="7C0E2FDD"/>
    <w:rsid w:val="7C4B60AF"/>
    <w:rsid w:val="7D547EF5"/>
    <w:rsid w:val="7F783E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3"/>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2283</Words>
  <Characters>2301</Characters>
  <Lines>20</Lines>
  <Paragraphs>5</Paragraphs>
  <TotalTime>144</TotalTime>
  <ScaleCrop>false</ScaleCrop>
  <LinksUpToDate>false</LinksUpToDate>
  <CharactersWithSpaces>2302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2021-01-23T15:48:00Z</dcterms:created>
  <dc:creator>杨钟凯</dc:creator>
  <cp:lastModifiedBy>LENOVO</cp:lastModifiedBy>
  <dcterms:modified xsi:type="dcterms:W3CDTF">2022-11-17T09:37:53Z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242250651_cloud</vt:lpwstr>
  </property>
  <property fmtid="{D5CDD505-2E9C-101B-9397-08002B2CF9AE}" pid="3" name="KSOProductBuildVer">
    <vt:lpwstr>2052-11.1.0.12763</vt:lpwstr>
  </property>
  <property fmtid="{D5CDD505-2E9C-101B-9397-08002B2CF9AE}" pid="4" name="ICV">
    <vt:lpwstr>CD634FAF92EC49908CA192FD15A1209F</vt:lpwstr>
  </property>
</Properties>
</file>