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jc w:val="center"/>
        <w:textAlignment w:val="auto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  <w:t>20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val="en-US" w:eastAsia="zh-CN" w:bidi="ar-SA"/>
        </w:rPr>
        <w:t>20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  <w:t>年度政府预算公开补充说明</w:t>
      </w:r>
    </w:p>
    <w:p>
      <w:pPr>
        <w:adjustRightInd w:val="0"/>
        <w:snapToGrid w:val="0"/>
        <w:spacing w:line="353" w:lineRule="auto"/>
        <w:ind w:firstLine="645" w:firstLineChars="0"/>
        <w:jc w:val="both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645" w:firstLineChars="0"/>
        <w:jc w:val="both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财政扶贫资金情况说明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东区该年度无扶贫任务，故2020年度预算未安排该项资金。</w:t>
      </w:r>
    </w:p>
    <w:p>
      <w:pPr>
        <w:adjustRightInd w:val="0"/>
        <w:snapToGrid w:val="0"/>
        <w:spacing w:line="353" w:lineRule="auto"/>
        <w:ind w:firstLine="645" w:firstLineChars="0"/>
        <w:jc w:val="both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举借政府债务</w:t>
      </w:r>
      <w:r>
        <w:rPr>
          <w:rFonts w:hint="eastAsia" w:eastAsia="黑体"/>
          <w:sz w:val="32"/>
          <w:szCs w:val="32"/>
          <w:lang w:eastAsia="zh-CN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东区2020年度安排举借政府债务情况如下：地方政府举借政府债务共计62,399万元，其中：一般债券转贷34,225万元；专项债券转贷28,174万元。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sz w:val="32"/>
          <w:szCs w:val="32"/>
          <w:lang w:val="en-US" w:eastAsia="zh-CN"/>
        </w:rPr>
        <w:t>三、转移支付安排</w:t>
      </w:r>
      <w:r>
        <w:rPr>
          <w:rFonts w:hint="eastAsia" w:eastAsia="黑体"/>
          <w:sz w:val="32"/>
          <w:szCs w:val="32"/>
          <w:lang w:eastAsia="zh-CN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2020年度上级对攀枝花市东区转移支付预算安排为44,114万元（详见《东区2020年财政预算执行情况及2021年财政草案表》-表23），其中：返还性收入1,152万元，一般转移性支付收入共计42,962万元，专项转移性支付收入共计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东区该年度对下转移支付无预算安排。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jc w:val="left"/>
        <w:textAlignment w:val="auto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2098" w:right="1587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E20CF"/>
    <w:rsid w:val="134728B9"/>
    <w:rsid w:val="159E6E88"/>
    <w:rsid w:val="1D8D3CCB"/>
    <w:rsid w:val="37071942"/>
    <w:rsid w:val="4C9F3290"/>
    <w:rsid w:val="535E20CF"/>
    <w:rsid w:val="570A6F61"/>
    <w:rsid w:val="60D01996"/>
    <w:rsid w:val="77BA446F"/>
    <w:rsid w:val="7F06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2021-06-02T07:41:00Z</dcterms:created>
  <dc:creator>Administrator</dc:creator>
  <cp:lastModifiedBy>Administrator</cp:lastModifiedBy>
  <dcterms:modified xsi:type="dcterms:W3CDTF">2021-06-02T09:40:37Z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