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4</w:t>
      </w:r>
    </w:p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方正小标宋简体" w:cs="Times New Roman"/>
          <w:sz w:val="44"/>
          <w:szCs w:val="44"/>
        </w:rPr>
        <w:t>攀枝花市东区集体建设用地基准地价表</w:t>
      </w:r>
    </w:p>
    <w:p>
      <w:pPr>
        <w:jc w:val="center"/>
        <w:rPr>
          <w:rFonts w:ascii="Times New Roman" w:hAnsi="Times New Roman" w:eastAsia="方正小标宋简体" w:cs="Times New Roman"/>
          <w:sz w:val="11"/>
          <w:szCs w:val="11"/>
        </w:rPr>
      </w:pPr>
    </w:p>
    <w:tbl>
      <w:tblPr>
        <w:tblStyle w:val="2"/>
        <w:tblW w:w="9960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60"/>
        <w:gridCol w:w="1080"/>
        <w:gridCol w:w="1140"/>
        <w:gridCol w:w="1110"/>
        <w:gridCol w:w="1035"/>
        <w:gridCol w:w="1020"/>
        <w:gridCol w:w="10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用途</w:t>
            </w:r>
          </w:p>
        </w:tc>
        <w:tc>
          <w:tcPr>
            <w:tcW w:w="234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商服用地</w:t>
            </w:r>
          </w:p>
        </w:tc>
        <w:tc>
          <w:tcPr>
            <w:tcW w:w="225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宅基地</w:t>
            </w:r>
          </w:p>
        </w:tc>
        <w:tc>
          <w:tcPr>
            <w:tcW w:w="205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工业用地</w:t>
            </w:r>
          </w:p>
        </w:tc>
        <w:tc>
          <w:tcPr>
            <w:tcW w:w="23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级别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元/平方米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652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43.47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295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19.67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205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13.67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248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II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525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35.00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215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14.33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175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11.67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200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13.33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基准地价内涵：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1.估价期日：2020年1月1日；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2.权利类型：商服用地、工业用地、公共管理与公共服务用地为出让土地使用权；宅基地权利类型为宅基地使用权；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3.使用年限：商服用地40年，宅基地无限年，工业用地50年，公共管理与公共服务用地50年；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4.容积率：商服用地1.2，宅基地1.5，工业用地1.0，公共管理与公共服务用地按具体规划设计条件；</w:t>
      </w:r>
    </w:p>
    <w:p>
      <w:pPr>
        <w:ind w:firstLine="640" w:firstLineChars="2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5.开发程度：宗地外三通（通上水、通电、通路），宗地内“场平”。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5BE7"/>
    <w:rsid w:val="309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2021-03-25T02:45:00Z</dcterms:created>
  <dc:creator>梅尔基亚德斯-钦</dc:creator>
  <cp:lastModifiedBy>梅尔基亚德斯-钦</cp:lastModifiedBy>
  <dcterms:modified xsi:type="dcterms:W3CDTF">2021-03-25T02:47:47Z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776A7572C6E249378751F9439C942392</vt:lpwstr>
  </property>
</Properties>
</file>