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32"/>
          <w:szCs w:val="32"/>
        </w:rPr>
      </w:pPr>
      <w:bookmarkStart w:id="0" w:name="_GoBack"/>
      <w:bookmarkEnd w:id="0"/>
      <w:r>
        <w:rPr>
          <w:rFonts w:hint="eastAsia" w:ascii="黑体" w:hAnsi="黑体" w:eastAsia="黑体"/>
          <w:sz w:val="32"/>
          <w:szCs w:val="32"/>
        </w:rPr>
        <w:t>附件1</w:t>
      </w:r>
    </w:p>
    <w:p>
      <w:pPr>
        <w:jc w:val="center"/>
        <w:rPr>
          <w:rFonts w:ascii="方正小标宋简体" w:hAnsi="宋体" w:eastAsia="方正小标宋简体" w:cs="宋体"/>
          <w:bCs/>
          <w:color w:val="000000"/>
          <w:sz w:val="44"/>
          <w:szCs w:val="44"/>
        </w:rPr>
      </w:pPr>
      <w:r>
        <w:rPr>
          <w:rFonts w:hint="eastAsia" w:ascii="方正小标宋简体" w:hAnsi="宋体" w:eastAsia="方正小标宋简体" w:cs="宋体"/>
          <w:bCs/>
          <w:color w:val="000000"/>
          <w:sz w:val="44"/>
          <w:szCs w:val="44"/>
        </w:rPr>
        <w:t>比选申请人须知</w:t>
      </w:r>
    </w:p>
    <w:p>
      <w:pPr>
        <w:spacing w:line="440" w:lineRule="exact"/>
        <w:rPr>
          <w:rFonts w:cs="宋体"/>
          <w:b/>
          <w:color w:val="000000"/>
          <w:sz w:val="24"/>
        </w:rPr>
      </w:pPr>
    </w:p>
    <w:p>
      <w:pPr>
        <w:widowControl/>
        <w:wordWrap w:val="0"/>
        <w:spacing w:line="540" w:lineRule="atLeast"/>
        <w:jc w:val="left"/>
        <w:rPr>
          <w:rFonts w:ascii="黑体" w:hAnsi="黑体" w:eastAsia="黑体" w:cs="宋体"/>
          <w:color w:val="000000"/>
          <w:kern w:val="0"/>
          <w:sz w:val="32"/>
          <w:szCs w:val="32"/>
        </w:rPr>
      </w:pPr>
      <w:r>
        <w:rPr>
          <w:rFonts w:ascii="黑体" w:hAnsi="黑体" w:eastAsia="黑体" w:cs="宋体"/>
          <w:color w:val="000000"/>
          <w:kern w:val="0"/>
          <w:sz w:val="32"/>
          <w:szCs w:val="32"/>
        </w:rPr>
        <w:t>一、项目概况</w:t>
      </w:r>
    </w:p>
    <w:p>
      <w:pPr>
        <w:spacing w:line="44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sz w:val="32"/>
          <w:szCs w:val="32"/>
        </w:rPr>
        <w:t xml:space="preserve">1.项目名称: </w:t>
      </w:r>
      <w:r>
        <w:rPr>
          <w:rFonts w:ascii="Times New Roman" w:hAnsi="Times New Roman" w:eastAsia="仿宋_GB2312"/>
          <w:color w:val="000000"/>
          <w:kern w:val="0"/>
          <w:sz w:val="32"/>
          <w:szCs w:val="32"/>
        </w:rPr>
        <w:t>攀枝花市东区文化广播电视和旅游局公共文化服务氛围营造项目</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2.服务地点：攀枝花市东区文化馆</w:t>
      </w:r>
    </w:p>
    <w:p>
      <w:pPr>
        <w:widowControl/>
        <w:wordWrap w:val="0"/>
        <w:spacing w:line="540" w:lineRule="atLeast"/>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sz w:val="32"/>
          <w:szCs w:val="32"/>
        </w:rPr>
        <w:t>3.项目概况：</w:t>
      </w:r>
      <w:r>
        <w:rPr>
          <w:rFonts w:ascii="Times New Roman" w:hAnsi="Times New Roman" w:eastAsia="仿宋_GB2312"/>
          <w:color w:val="000000"/>
          <w:kern w:val="0"/>
          <w:sz w:val="32"/>
          <w:szCs w:val="32"/>
        </w:rPr>
        <w:t>攀枝花市东区文化广播电视和旅游局公共文化服务氛围营造项目</w:t>
      </w:r>
    </w:p>
    <w:p>
      <w:pPr>
        <w:widowControl/>
        <w:wordWrap w:val="0"/>
        <w:spacing w:line="540" w:lineRule="atLeast"/>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（1-7楼楼道、墙面、栏杆等氛围营造</w:t>
      </w:r>
      <w:r>
        <w:rPr>
          <w:rFonts w:ascii="Times New Roman" w:hAnsi="Times New Roman" w:eastAsia="仿宋_GB2312"/>
          <w:color w:val="000000"/>
          <w:sz w:val="32"/>
          <w:szCs w:val="32"/>
        </w:rPr>
        <w:t>设计，装饰装修等</w:t>
      </w:r>
      <w:r>
        <w:rPr>
          <w:rFonts w:ascii="Times New Roman" w:hAnsi="Times New Roman" w:eastAsia="仿宋_GB2312"/>
          <w:color w:val="000000"/>
          <w:kern w:val="0"/>
          <w:sz w:val="32"/>
          <w:szCs w:val="32"/>
        </w:rPr>
        <w:t>服务）</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4.服务期：20天</w:t>
      </w:r>
    </w:p>
    <w:p>
      <w:pPr>
        <w:spacing w:line="440" w:lineRule="exact"/>
        <w:rPr>
          <w:rFonts w:ascii="黑体" w:hAnsi="黑体" w:eastAsia="黑体" w:cs="宋体"/>
          <w:color w:val="000000"/>
          <w:kern w:val="0"/>
          <w:sz w:val="32"/>
          <w:szCs w:val="32"/>
        </w:rPr>
      </w:pPr>
      <w:r>
        <w:rPr>
          <w:rFonts w:ascii="黑体" w:hAnsi="黑体" w:eastAsia="黑体" w:cs="宋体"/>
          <w:color w:val="000000"/>
          <w:kern w:val="0"/>
          <w:sz w:val="32"/>
          <w:szCs w:val="32"/>
        </w:rPr>
        <w:t>二、资金来源</w:t>
      </w:r>
      <w:r>
        <w:rPr>
          <w:rFonts w:hint="eastAsia" w:ascii="黑体" w:hAnsi="黑体" w:eastAsia="黑体" w:cs="宋体"/>
          <w:color w:val="000000"/>
          <w:kern w:val="0"/>
          <w:sz w:val="32"/>
          <w:szCs w:val="32"/>
        </w:rPr>
        <w:t>：</w:t>
      </w:r>
      <w:r>
        <w:rPr>
          <w:rFonts w:ascii="Times New Roman" w:hAnsi="Times New Roman" w:eastAsia="仿宋_GB2312"/>
          <w:color w:val="000000"/>
          <w:kern w:val="0"/>
          <w:sz w:val="32"/>
          <w:szCs w:val="32"/>
        </w:rPr>
        <w:t>政府资金</w:t>
      </w:r>
    </w:p>
    <w:p>
      <w:pPr>
        <w:widowControl/>
        <w:wordWrap w:val="0"/>
        <w:spacing w:line="540" w:lineRule="atLeast"/>
        <w:jc w:val="left"/>
        <w:rPr>
          <w:rFonts w:ascii="黑体" w:hAnsi="黑体" w:eastAsia="黑体" w:cs="宋体"/>
          <w:color w:val="000000"/>
          <w:kern w:val="0"/>
          <w:sz w:val="32"/>
          <w:szCs w:val="32"/>
        </w:rPr>
      </w:pPr>
      <w:r>
        <w:rPr>
          <w:rFonts w:ascii="黑体" w:hAnsi="黑体" w:eastAsia="黑体" w:cs="宋体"/>
          <w:color w:val="000000"/>
          <w:kern w:val="0"/>
          <w:sz w:val="32"/>
          <w:szCs w:val="32"/>
        </w:rPr>
        <w:t>三、比选申请费用</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比选申请人编制申请文件、现场考察、递交申请文件等比选过程中所涉及的一切费用，不论结果如何，比选人不负任何责任，均由比选申请人自己承担。</w:t>
      </w:r>
    </w:p>
    <w:p>
      <w:pPr>
        <w:widowControl/>
        <w:wordWrap w:val="0"/>
        <w:spacing w:line="540" w:lineRule="atLeast"/>
        <w:jc w:val="left"/>
        <w:rPr>
          <w:rFonts w:ascii="黑体" w:hAnsi="黑体" w:eastAsia="黑体" w:cs="宋体"/>
          <w:color w:val="000000"/>
          <w:kern w:val="0"/>
          <w:sz w:val="32"/>
          <w:szCs w:val="32"/>
        </w:rPr>
      </w:pPr>
      <w:r>
        <w:rPr>
          <w:rFonts w:ascii="黑体" w:hAnsi="黑体" w:eastAsia="黑体" w:cs="宋体"/>
          <w:color w:val="000000"/>
          <w:kern w:val="0"/>
          <w:sz w:val="32"/>
          <w:szCs w:val="32"/>
        </w:rPr>
        <w:t>四、比选申请规定</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1.无论比选结果如何，比选申请人的比选申请文件均不退还。比选人及比选申请人双方都应就比选和比选申请文件中的内容保密，违者将对后果承担责任。</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2.比选人不对未中选情况作任何解释。</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3.比选申请人应认真检查比选文件是否完整，若存在缺页或不全时，应及时向比选人提出，以便补齐。</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4.比选申请人应仔细审阅比选文件中所有的说明，如果比选申请人编制的比选申请文件不符合比选文件的要求，其比选申请文件将被视为不合格。任何对比选文件的忽略或误解，不能作为比选申请文件没有完全响应比选文件的有效理由。</w:t>
      </w:r>
    </w:p>
    <w:p>
      <w:pPr>
        <w:widowControl/>
        <w:wordWrap w:val="0"/>
        <w:spacing w:line="540" w:lineRule="atLeast"/>
        <w:jc w:val="left"/>
        <w:rPr>
          <w:rFonts w:ascii="黑体" w:hAnsi="黑体" w:eastAsia="黑体" w:cs="宋体"/>
          <w:color w:val="000000"/>
          <w:kern w:val="0"/>
          <w:sz w:val="32"/>
          <w:szCs w:val="32"/>
        </w:rPr>
      </w:pPr>
      <w:r>
        <w:rPr>
          <w:rFonts w:ascii="黑体" w:hAnsi="黑体" w:eastAsia="黑体" w:cs="宋体"/>
          <w:color w:val="000000"/>
          <w:kern w:val="0"/>
          <w:sz w:val="32"/>
          <w:szCs w:val="32"/>
        </w:rPr>
        <w:t>五、比选文件的修改</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1.比选文件发出后，在提交比选申请书截止时间前，比选人可对比选文件进行必要的修改。</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2.比选文件的修改将以书面形式发送给所有比选申请人，比选文件的修改内容作为比选文件的组成部分，具有约束作用。</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3.比选文件的澄清、修改，补充等内容均以书面形式明确的内容为准。当比选文件、比选文件的澄清、修改、补充等在同一内容的表述上不一致时，以最后发出的书面文件为准。</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4.为使比选申请人在编制比选申请书时有充分的时间对比选文件的澄清、修改、补充等内容进行研究，比选人将酌情延长提交比选申请书的截止时间，具体时间将在比选文件的修改、补充通知中予以明确。</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5.在原定比选截止时间之前，如果出现特殊情况，比选截止时间需要延迟，比选人应以书面形式通知比选申请人延迟后的比选截止时间。</w:t>
      </w:r>
    </w:p>
    <w:p>
      <w:pPr>
        <w:widowControl/>
        <w:wordWrap w:val="0"/>
        <w:spacing w:line="540" w:lineRule="atLeast"/>
        <w:jc w:val="left"/>
        <w:rPr>
          <w:rFonts w:ascii="黑体" w:hAnsi="黑体" w:eastAsia="黑体" w:cs="宋体"/>
          <w:color w:val="000000"/>
          <w:kern w:val="0"/>
          <w:sz w:val="32"/>
          <w:szCs w:val="32"/>
        </w:rPr>
      </w:pPr>
      <w:r>
        <w:rPr>
          <w:rFonts w:ascii="黑体" w:hAnsi="黑体" w:eastAsia="黑体" w:cs="宋体"/>
          <w:color w:val="000000"/>
          <w:kern w:val="0"/>
          <w:sz w:val="32"/>
          <w:szCs w:val="32"/>
        </w:rPr>
        <w:t>六、比选报价</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1.最高限价：6万元。</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2.比选申请人的报价已包含满足比选人所有服务内容和服务要求，包括且不限于为完成本项目合同约定工作内容所发生的成本、利润、管理费、税金、风险费等全部费用。</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3.比选中申请人只能有一个报价，比选人不接受任何有选择性的报价。</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4.中选的比选申请人所报价格将作为其与比选人签订本项目费用结算的依据，若合同执行期内有新的政策指导文件出台，双方约定不再调整收费标准。</w:t>
      </w:r>
    </w:p>
    <w:p>
      <w:pPr>
        <w:widowControl/>
        <w:wordWrap w:val="0"/>
        <w:spacing w:line="540" w:lineRule="atLeast"/>
        <w:jc w:val="left"/>
        <w:rPr>
          <w:rFonts w:hint="eastAsia" w:ascii="黑体" w:hAnsi="黑体" w:eastAsia="黑体" w:cs="宋体"/>
          <w:color w:val="000000"/>
          <w:kern w:val="0"/>
          <w:sz w:val="32"/>
          <w:szCs w:val="32"/>
        </w:rPr>
      </w:pPr>
    </w:p>
    <w:p>
      <w:pPr>
        <w:widowControl/>
        <w:wordWrap w:val="0"/>
        <w:spacing w:line="540" w:lineRule="atLeast"/>
        <w:jc w:val="left"/>
        <w:rPr>
          <w:rFonts w:ascii="黑体" w:hAnsi="黑体" w:eastAsia="黑体" w:cs="宋体"/>
          <w:color w:val="000000"/>
          <w:kern w:val="0"/>
          <w:sz w:val="32"/>
          <w:szCs w:val="32"/>
        </w:rPr>
      </w:pPr>
      <w:r>
        <w:rPr>
          <w:rFonts w:ascii="黑体" w:hAnsi="黑体" w:eastAsia="黑体" w:cs="宋体"/>
          <w:color w:val="000000"/>
          <w:kern w:val="0"/>
          <w:sz w:val="32"/>
          <w:szCs w:val="32"/>
        </w:rPr>
        <w:t>七、排名并确定中选单位名单</w:t>
      </w:r>
    </w:p>
    <w:p>
      <w:pPr>
        <w:widowControl/>
        <w:wordWrap w:val="0"/>
        <w:spacing w:line="540" w:lineRule="atLeast"/>
        <w:ind w:firstLine="640" w:firstLineChars="200"/>
        <w:jc w:val="left"/>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本次比选采用综合评分方式，按综合得分由底到高顺序排序，</w:t>
      </w:r>
      <w:r>
        <w:rPr>
          <w:rFonts w:ascii="Times New Roman" w:hAnsi="Times New Roman" w:eastAsia="仿宋_GB2312"/>
          <w:color w:val="000000"/>
          <w:sz w:val="32"/>
          <w:szCs w:val="32"/>
        </w:rPr>
        <w:t>按综合得分最高者中标。比选人根据评审结果以书面形式告知中选人，未得到通如的比选申请人落选。中选人应于收到中选通知书之日起5个工作日内由法定代表人或授权代表与比选人签订合同。</w:t>
      </w:r>
    </w:p>
    <w:p>
      <w:pPr>
        <w:widowControl/>
        <w:wordWrap w:val="0"/>
        <w:spacing w:line="540" w:lineRule="atLeast"/>
        <w:jc w:val="left"/>
        <w:rPr>
          <w:rFonts w:ascii="黑体" w:hAnsi="黑体" w:eastAsia="黑体" w:cs="宋体"/>
          <w:color w:val="000000"/>
          <w:kern w:val="0"/>
          <w:sz w:val="32"/>
          <w:szCs w:val="32"/>
        </w:rPr>
      </w:pPr>
      <w:r>
        <w:rPr>
          <w:rFonts w:ascii="黑体" w:hAnsi="黑体" w:eastAsia="黑体" w:cs="宋体"/>
          <w:color w:val="000000"/>
          <w:kern w:val="0"/>
          <w:sz w:val="32"/>
          <w:szCs w:val="32"/>
        </w:rPr>
        <w:t>八、比选申请文件的编制要求</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1.比选申请文件的语言：比选申请人的比选申请文件应用中文编制。</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2.比选申请文件应用不褪色的墨水书写或打印、复印，并由比选申请单位的法定代表人或法定代表人授权代理人(如果是由授权代理人签字，则应在比选申请文件中附有法定代表人授权委托书)签字或盖章。</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3.除比选申请人对错误处必须修改外，全套比选申请文件应无涂改或行间插字和增删。如有修改，修改处应由比选申请文件签字人签字或加盖比选申请人公章。</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4.比选申请文件要求按规定格式和内容填报，份数为正本一份。所有比选申请文件应密封完好(密封方式不限)，封口处应加盖单位公章或法定代表人印章。外包装上还应写明:（1）比选项目名称；（2）比选申请人名称、地址；比选人不接受未按要求进行密封和标记的比选申请文件。如果因投递地点未写清楚而使比选申请文件迟到或遗失，或因密封不严、标记不明而产生的后果，比选人概不负责。</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5.比选申请书有效期</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比选申请书在本比选文件规定的比选截止之日起20天内有效。</w:t>
      </w:r>
    </w:p>
    <w:p>
      <w:pPr>
        <w:widowControl/>
        <w:wordWrap w:val="0"/>
        <w:spacing w:line="540" w:lineRule="atLeast"/>
        <w:jc w:val="left"/>
        <w:rPr>
          <w:rFonts w:ascii="黑体" w:hAnsi="黑体" w:eastAsia="黑体" w:cs="宋体"/>
          <w:color w:val="000000"/>
          <w:kern w:val="0"/>
          <w:sz w:val="32"/>
          <w:szCs w:val="32"/>
        </w:rPr>
      </w:pPr>
      <w:r>
        <w:rPr>
          <w:rFonts w:ascii="黑体" w:hAnsi="黑体" w:eastAsia="黑体" w:cs="宋体"/>
          <w:color w:val="000000"/>
          <w:kern w:val="0"/>
          <w:sz w:val="32"/>
          <w:szCs w:val="32"/>
        </w:rPr>
        <w:t>九、比选申请文件递交地点和截止时间</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1.比选申请文件应该在规定的地点和截止时间前提交，逾期送达规定地点的比选申请文件将被拒收。</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2.比选申请文件递交截止时间:2020年9月14日15时30分。（北京时间）</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3.比选申请文件递交地点: 攀枝花市东区文化广播电视和旅游局四楼会议室</w:t>
      </w:r>
    </w:p>
    <w:p>
      <w:pPr>
        <w:widowControl/>
        <w:wordWrap w:val="0"/>
        <w:spacing w:line="540" w:lineRule="atLeast"/>
        <w:jc w:val="left"/>
        <w:rPr>
          <w:rFonts w:ascii="黑体" w:hAnsi="黑体" w:eastAsia="黑体" w:cs="宋体"/>
          <w:color w:val="000000"/>
          <w:kern w:val="0"/>
          <w:sz w:val="32"/>
          <w:szCs w:val="32"/>
        </w:rPr>
      </w:pPr>
      <w:r>
        <w:rPr>
          <w:rFonts w:ascii="黑体" w:hAnsi="黑体" w:eastAsia="黑体" w:cs="宋体"/>
          <w:color w:val="000000"/>
          <w:kern w:val="0"/>
          <w:sz w:val="32"/>
          <w:szCs w:val="32"/>
        </w:rPr>
        <w:t>十、比选申请书的修改与撤回</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1.比选申请人递交比选申请书以后，可以在规定的比选截止时间之前，以书面形式向比选人递交补充、修改或撤回其比选申请书的通知。并经法定代表人或委托代理人签署，加盖比选申请人的公章(即单位公章)。在比选截止时间以后，不得更改比选申请书。</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2.比选申请人的修改或撤回通知，应按本须知的有关规定进行编制、密封、标识和递交。</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3.比选截止时间以后，比选申请人不得撤回比选申请书。</w:t>
      </w:r>
    </w:p>
    <w:p>
      <w:pPr>
        <w:widowControl/>
        <w:wordWrap w:val="0"/>
        <w:spacing w:line="540" w:lineRule="atLeast"/>
        <w:jc w:val="left"/>
        <w:rPr>
          <w:rFonts w:ascii="黑体" w:hAnsi="黑体" w:eastAsia="黑体" w:cs="宋体"/>
          <w:color w:val="000000"/>
          <w:kern w:val="0"/>
          <w:sz w:val="32"/>
          <w:szCs w:val="32"/>
        </w:rPr>
      </w:pPr>
      <w:r>
        <w:rPr>
          <w:rFonts w:ascii="黑体" w:hAnsi="黑体" w:eastAsia="黑体" w:cs="宋体"/>
          <w:color w:val="000000"/>
          <w:kern w:val="0"/>
          <w:sz w:val="32"/>
          <w:szCs w:val="32"/>
        </w:rPr>
        <w:t>十一、评审</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1.评审工作由比选人依法组建的评审委员会组织进行，评审活动遵循公平、公正、科学、择优的原则。</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2.评审委员会首先对所有比选申请文件进行资格审查，资格审查实行强制性合格基本条件标准(见下表)，凡有一项不合格则不能通过。资格审查未通过的不再进入下步评审。</w:t>
      </w:r>
    </w:p>
    <w:tbl>
      <w:tblPr>
        <w:tblStyle w:val="4"/>
        <w:tblpPr w:leftFromText="180" w:rightFromText="180" w:vertAnchor="text" w:horzAnchor="margin" w:tblpY="46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2479"/>
        <w:gridCol w:w="2942"/>
        <w:gridCol w:w="21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8522" w:type="dxa"/>
            <w:gridSpan w:val="4"/>
            <w:vAlign w:val="center"/>
          </w:tcPr>
          <w:p>
            <w:pPr>
              <w:spacing w:line="440" w:lineRule="exact"/>
              <w:ind w:firstLine="480" w:firstLineChars="200"/>
              <w:jc w:val="center"/>
              <w:rPr>
                <w:color w:val="000000"/>
                <w:sz w:val="24"/>
                <w:szCs w:val="28"/>
              </w:rPr>
            </w:pPr>
            <w:r>
              <w:rPr>
                <w:rFonts w:hint="eastAsia"/>
                <w:color w:val="000000"/>
                <w:sz w:val="24"/>
                <w:szCs w:val="28"/>
              </w:rPr>
              <w:t>资格审查基本条件标准表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971" w:type="dxa"/>
          </w:tcPr>
          <w:p>
            <w:pPr>
              <w:rPr>
                <w:color w:val="000000"/>
              </w:rPr>
            </w:pPr>
            <w:r>
              <w:rPr>
                <w:rFonts w:hint="eastAsia"/>
                <w:color w:val="000000"/>
              </w:rPr>
              <w:t>序号</w:t>
            </w:r>
          </w:p>
        </w:tc>
        <w:tc>
          <w:tcPr>
            <w:tcW w:w="2479" w:type="dxa"/>
          </w:tcPr>
          <w:p>
            <w:pPr>
              <w:rPr>
                <w:color w:val="000000"/>
              </w:rPr>
            </w:pPr>
            <w:r>
              <w:rPr>
                <w:rFonts w:hint="eastAsia"/>
                <w:color w:val="000000"/>
              </w:rPr>
              <w:t>审查内容</w:t>
            </w:r>
          </w:p>
        </w:tc>
        <w:tc>
          <w:tcPr>
            <w:tcW w:w="2942" w:type="dxa"/>
          </w:tcPr>
          <w:p>
            <w:pPr>
              <w:rPr>
                <w:color w:val="000000"/>
              </w:rPr>
            </w:pPr>
            <w:r>
              <w:rPr>
                <w:rFonts w:hint="eastAsia"/>
                <w:color w:val="000000"/>
              </w:rPr>
              <w:t>合格条件</w:t>
            </w:r>
          </w:p>
        </w:tc>
        <w:tc>
          <w:tcPr>
            <w:tcW w:w="2130" w:type="dxa"/>
          </w:tcPr>
          <w:p>
            <w:pPr>
              <w:rPr>
                <w:color w:val="000000"/>
              </w:rPr>
            </w:pPr>
            <w:r>
              <w:rPr>
                <w:rFonts w:hint="eastAsia"/>
                <w:color w:val="000000"/>
              </w:rPr>
              <w:t>是否符合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971" w:type="dxa"/>
            <w:vAlign w:val="bottom"/>
          </w:tcPr>
          <w:p>
            <w:pPr>
              <w:spacing w:line="440" w:lineRule="exact"/>
              <w:ind w:firstLine="480" w:firstLineChars="200"/>
              <w:rPr>
                <w:color w:val="000000"/>
                <w:sz w:val="24"/>
                <w:szCs w:val="28"/>
              </w:rPr>
            </w:pPr>
            <w:r>
              <w:rPr>
                <w:color w:val="000000"/>
                <w:sz w:val="24"/>
                <w:szCs w:val="28"/>
              </w:rPr>
              <w:t>1</w:t>
            </w:r>
          </w:p>
        </w:tc>
        <w:tc>
          <w:tcPr>
            <w:tcW w:w="2479" w:type="dxa"/>
            <w:vAlign w:val="bottom"/>
          </w:tcPr>
          <w:p>
            <w:pPr>
              <w:spacing w:line="440" w:lineRule="exact"/>
              <w:jc w:val="center"/>
              <w:rPr>
                <w:color w:val="000000"/>
                <w:sz w:val="24"/>
                <w:szCs w:val="28"/>
              </w:rPr>
            </w:pPr>
            <w:r>
              <w:rPr>
                <w:color w:val="000000"/>
                <w:sz w:val="24"/>
                <w:szCs w:val="28"/>
              </w:rPr>
              <w:t>企业法人营业执照</w:t>
            </w:r>
          </w:p>
        </w:tc>
        <w:tc>
          <w:tcPr>
            <w:tcW w:w="2942" w:type="dxa"/>
            <w:vAlign w:val="bottom"/>
          </w:tcPr>
          <w:p>
            <w:pPr>
              <w:spacing w:line="440" w:lineRule="exact"/>
              <w:rPr>
                <w:color w:val="000000"/>
                <w:sz w:val="24"/>
                <w:szCs w:val="28"/>
              </w:rPr>
            </w:pPr>
            <w:r>
              <w:rPr>
                <w:color w:val="000000"/>
                <w:sz w:val="24"/>
                <w:szCs w:val="28"/>
              </w:rPr>
              <w:t>具有独立法人资格</w:t>
            </w:r>
          </w:p>
        </w:tc>
        <w:tc>
          <w:tcPr>
            <w:tcW w:w="2130" w:type="dxa"/>
            <w:vAlign w:val="bottom"/>
          </w:tcPr>
          <w:p>
            <w:pPr>
              <w:spacing w:line="440" w:lineRule="exact"/>
              <w:ind w:firstLine="480" w:firstLineChars="200"/>
              <w:rPr>
                <w:color w:val="00000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 w:hRule="atLeast"/>
        </w:trPr>
        <w:tc>
          <w:tcPr>
            <w:tcW w:w="971" w:type="dxa"/>
            <w:vAlign w:val="bottom"/>
          </w:tcPr>
          <w:p>
            <w:pPr>
              <w:spacing w:line="440" w:lineRule="exact"/>
              <w:ind w:firstLine="480" w:firstLineChars="200"/>
              <w:rPr>
                <w:color w:val="000000"/>
                <w:sz w:val="24"/>
                <w:szCs w:val="28"/>
              </w:rPr>
            </w:pPr>
            <w:r>
              <w:rPr>
                <w:rFonts w:hint="eastAsia"/>
                <w:color w:val="000000"/>
                <w:sz w:val="24"/>
                <w:szCs w:val="28"/>
              </w:rPr>
              <w:t>2</w:t>
            </w:r>
          </w:p>
        </w:tc>
        <w:tc>
          <w:tcPr>
            <w:tcW w:w="2479" w:type="dxa"/>
            <w:vAlign w:val="bottom"/>
          </w:tcPr>
          <w:p>
            <w:pPr>
              <w:spacing w:line="440" w:lineRule="exact"/>
              <w:jc w:val="center"/>
              <w:rPr>
                <w:color w:val="000000"/>
                <w:sz w:val="24"/>
                <w:szCs w:val="28"/>
              </w:rPr>
            </w:pPr>
            <w:r>
              <w:rPr>
                <w:color w:val="000000"/>
                <w:sz w:val="24"/>
                <w:szCs w:val="28"/>
              </w:rPr>
              <w:t>报价唯一</w:t>
            </w:r>
          </w:p>
        </w:tc>
        <w:tc>
          <w:tcPr>
            <w:tcW w:w="2942" w:type="dxa"/>
            <w:vAlign w:val="bottom"/>
          </w:tcPr>
          <w:p>
            <w:pPr>
              <w:spacing w:line="440" w:lineRule="exact"/>
              <w:rPr>
                <w:color w:val="000000"/>
                <w:sz w:val="24"/>
                <w:szCs w:val="28"/>
              </w:rPr>
            </w:pPr>
            <w:r>
              <w:rPr>
                <w:color w:val="000000"/>
                <w:sz w:val="24"/>
                <w:szCs w:val="28"/>
              </w:rPr>
              <w:t>报价唯一且未超过最高限价</w:t>
            </w:r>
          </w:p>
        </w:tc>
        <w:tc>
          <w:tcPr>
            <w:tcW w:w="2130" w:type="dxa"/>
            <w:vAlign w:val="bottom"/>
          </w:tcPr>
          <w:p>
            <w:pPr>
              <w:spacing w:line="440" w:lineRule="exact"/>
              <w:ind w:firstLine="480" w:firstLineChars="200"/>
              <w:rPr>
                <w:color w:val="00000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971" w:type="dxa"/>
            <w:vAlign w:val="bottom"/>
          </w:tcPr>
          <w:p>
            <w:pPr>
              <w:spacing w:line="440" w:lineRule="exact"/>
              <w:ind w:firstLine="480" w:firstLineChars="200"/>
              <w:rPr>
                <w:color w:val="000000"/>
                <w:sz w:val="24"/>
                <w:szCs w:val="28"/>
              </w:rPr>
            </w:pPr>
            <w:r>
              <w:rPr>
                <w:rFonts w:hint="eastAsia"/>
                <w:color w:val="000000"/>
                <w:sz w:val="24"/>
                <w:szCs w:val="28"/>
              </w:rPr>
              <w:t>3</w:t>
            </w:r>
          </w:p>
        </w:tc>
        <w:tc>
          <w:tcPr>
            <w:tcW w:w="2479" w:type="dxa"/>
            <w:vAlign w:val="bottom"/>
          </w:tcPr>
          <w:p>
            <w:pPr>
              <w:spacing w:line="440" w:lineRule="exact"/>
              <w:jc w:val="center"/>
              <w:rPr>
                <w:color w:val="000000"/>
                <w:sz w:val="24"/>
                <w:szCs w:val="28"/>
              </w:rPr>
            </w:pPr>
            <w:r>
              <w:rPr>
                <w:color w:val="000000"/>
                <w:sz w:val="24"/>
                <w:szCs w:val="28"/>
              </w:rPr>
              <w:t>结论</w:t>
            </w:r>
          </w:p>
        </w:tc>
        <w:tc>
          <w:tcPr>
            <w:tcW w:w="2942" w:type="dxa"/>
            <w:vAlign w:val="bottom"/>
          </w:tcPr>
          <w:p>
            <w:pPr>
              <w:spacing w:line="440" w:lineRule="exact"/>
              <w:rPr>
                <w:color w:val="000000"/>
                <w:sz w:val="24"/>
                <w:szCs w:val="28"/>
              </w:rPr>
            </w:pPr>
            <w:r>
              <w:rPr>
                <w:color w:val="000000"/>
                <w:sz w:val="24"/>
                <w:szCs w:val="28"/>
              </w:rPr>
              <w:t>以上条件必须全部通过</w:t>
            </w:r>
          </w:p>
        </w:tc>
        <w:tc>
          <w:tcPr>
            <w:tcW w:w="2130" w:type="dxa"/>
            <w:vAlign w:val="bottom"/>
          </w:tcPr>
          <w:p>
            <w:pPr>
              <w:spacing w:line="440" w:lineRule="exact"/>
              <w:ind w:firstLine="480" w:firstLineChars="200"/>
              <w:rPr>
                <w:color w:val="000000"/>
                <w:sz w:val="24"/>
                <w:szCs w:val="28"/>
              </w:rPr>
            </w:pPr>
          </w:p>
        </w:tc>
      </w:tr>
    </w:tbl>
    <w:p>
      <w:pPr>
        <w:spacing w:line="440" w:lineRule="exact"/>
        <w:ind w:firstLine="640" w:firstLineChars="200"/>
        <w:rPr>
          <w:rFonts w:ascii="Times New Roman" w:hAnsi="Times New Roman" w:eastAsia="仿宋_GB2312"/>
          <w:color w:val="000000"/>
          <w:sz w:val="32"/>
          <w:szCs w:val="32"/>
        </w:rPr>
      </w:pP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3. 评审委员会</w:t>
      </w:r>
      <w:r>
        <w:rPr>
          <w:rFonts w:hint="eastAsia" w:ascii="Times New Roman" w:hAnsi="Times New Roman" w:eastAsia="仿宋_GB2312"/>
          <w:color w:val="000000"/>
          <w:sz w:val="32"/>
          <w:szCs w:val="32"/>
        </w:rPr>
        <w:t>按照综合评分表评审项目（如下表）。</w:t>
      </w:r>
    </w:p>
    <w:p>
      <w:pPr>
        <w:spacing w:line="440" w:lineRule="exact"/>
        <w:ind w:firstLine="640" w:firstLineChars="200"/>
        <w:rPr>
          <w:rFonts w:ascii="Times New Roman" w:hAnsi="Times New Roman" w:eastAsia="仿宋_GB2312"/>
          <w:color w:val="000000"/>
          <w:sz w:val="32"/>
          <w:szCs w:val="32"/>
        </w:rPr>
      </w:pPr>
    </w:p>
    <w:tbl>
      <w:tblPr>
        <w:tblStyle w:val="4"/>
        <w:tblpPr w:leftFromText="180" w:rightFromText="180" w:vertAnchor="text" w:horzAnchor="margin"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4"/>
        <w:gridCol w:w="737"/>
        <w:gridCol w:w="786"/>
        <w:gridCol w:w="955"/>
        <w:gridCol w:w="809"/>
        <w:gridCol w:w="35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9060" w:type="dxa"/>
            <w:gridSpan w:val="6"/>
          </w:tcPr>
          <w:p>
            <w:pPr>
              <w:spacing w:line="440" w:lineRule="exact"/>
              <w:ind w:firstLine="480" w:firstLineChars="200"/>
              <w:jc w:val="center"/>
              <w:rPr>
                <w:color w:val="000000"/>
                <w:sz w:val="24"/>
                <w:szCs w:val="28"/>
              </w:rPr>
            </w:pPr>
            <w:r>
              <w:rPr>
                <w:rFonts w:hint="eastAsia"/>
                <w:color w:val="000000"/>
                <w:sz w:val="24"/>
                <w:szCs w:val="28"/>
              </w:rPr>
              <w:t>项目综合评分表（总分1</w:t>
            </w:r>
            <w:r>
              <w:rPr>
                <w:color w:val="000000"/>
                <w:sz w:val="24"/>
                <w:szCs w:val="28"/>
              </w:rPr>
              <w:t>00</w:t>
            </w:r>
            <w:r>
              <w:rPr>
                <w:rFonts w:hint="eastAsia"/>
                <w:color w:val="000000"/>
                <w:sz w:val="24"/>
                <w:szCs w:val="28"/>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778" w:type="dxa"/>
          </w:tcPr>
          <w:p>
            <w:pPr>
              <w:ind w:firstLine="210" w:firstLineChars="100"/>
              <w:rPr>
                <w:color w:val="000000"/>
              </w:rPr>
            </w:pPr>
            <w:r>
              <w:rPr>
                <w:rFonts w:hint="eastAsia"/>
                <w:color w:val="000000"/>
              </w:rPr>
              <w:t>比选申请单位</w:t>
            </w:r>
          </w:p>
        </w:tc>
        <w:tc>
          <w:tcPr>
            <w:tcW w:w="778" w:type="dxa"/>
          </w:tcPr>
          <w:p>
            <w:pPr>
              <w:rPr>
                <w:color w:val="000000"/>
              </w:rPr>
            </w:pPr>
          </w:p>
        </w:tc>
        <w:tc>
          <w:tcPr>
            <w:tcW w:w="831" w:type="dxa"/>
          </w:tcPr>
          <w:p>
            <w:pPr>
              <w:rPr>
                <w:color w:val="000000"/>
              </w:rPr>
            </w:pPr>
          </w:p>
        </w:tc>
        <w:tc>
          <w:tcPr>
            <w:tcW w:w="1013" w:type="dxa"/>
          </w:tcPr>
          <w:p>
            <w:pPr>
              <w:rPr>
                <w:color w:val="000000"/>
              </w:rPr>
            </w:pPr>
          </w:p>
        </w:tc>
        <w:tc>
          <w:tcPr>
            <w:tcW w:w="856" w:type="dxa"/>
          </w:tcPr>
          <w:p>
            <w:pPr>
              <w:rPr>
                <w:color w:val="000000"/>
              </w:rPr>
            </w:pPr>
          </w:p>
        </w:tc>
        <w:tc>
          <w:tcPr>
            <w:tcW w:w="3804" w:type="dxa"/>
          </w:tcPr>
          <w:p>
            <w:pPr>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78" w:type="dxa"/>
          </w:tcPr>
          <w:p>
            <w:pPr>
              <w:spacing w:line="440" w:lineRule="exact"/>
              <w:rPr>
                <w:color w:val="000000"/>
                <w:sz w:val="24"/>
                <w:szCs w:val="28"/>
              </w:rPr>
            </w:pPr>
            <w:r>
              <w:rPr>
                <w:rFonts w:hint="eastAsia"/>
                <w:color w:val="000000"/>
              </w:rPr>
              <w:t>设计方案（30分）</w:t>
            </w:r>
          </w:p>
        </w:tc>
        <w:tc>
          <w:tcPr>
            <w:tcW w:w="778" w:type="dxa"/>
            <w:vAlign w:val="bottom"/>
          </w:tcPr>
          <w:p>
            <w:pPr>
              <w:spacing w:line="440" w:lineRule="exact"/>
              <w:ind w:firstLine="480" w:firstLineChars="200"/>
              <w:rPr>
                <w:color w:val="000000"/>
                <w:sz w:val="24"/>
                <w:szCs w:val="28"/>
              </w:rPr>
            </w:pPr>
          </w:p>
        </w:tc>
        <w:tc>
          <w:tcPr>
            <w:tcW w:w="831" w:type="dxa"/>
            <w:vAlign w:val="bottom"/>
          </w:tcPr>
          <w:p>
            <w:pPr>
              <w:spacing w:line="440" w:lineRule="exact"/>
              <w:ind w:firstLine="480" w:firstLineChars="200"/>
              <w:rPr>
                <w:color w:val="000000"/>
                <w:sz w:val="24"/>
                <w:szCs w:val="28"/>
              </w:rPr>
            </w:pPr>
          </w:p>
        </w:tc>
        <w:tc>
          <w:tcPr>
            <w:tcW w:w="1013" w:type="dxa"/>
            <w:vAlign w:val="bottom"/>
          </w:tcPr>
          <w:p>
            <w:pPr>
              <w:spacing w:line="440" w:lineRule="exact"/>
              <w:ind w:firstLine="480" w:firstLineChars="200"/>
              <w:rPr>
                <w:color w:val="000000"/>
                <w:sz w:val="24"/>
                <w:szCs w:val="28"/>
              </w:rPr>
            </w:pPr>
          </w:p>
        </w:tc>
        <w:tc>
          <w:tcPr>
            <w:tcW w:w="856" w:type="dxa"/>
            <w:vAlign w:val="bottom"/>
          </w:tcPr>
          <w:p>
            <w:pPr>
              <w:spacing w:line="440" w:lineRule="exact"/>
              <w:ind w:firstLine="480" w:firstLineChars="200"/>
              <w:rPr>
                <w:color w:val="000000"/>
                <w:sz w:val="24"/>
                <w:szCs w:val="28"/>
              </w:rPr>
            </w:pPr>
          </w:p>
        </w:tc>
        <w:tc>
          <w:tcPr>
            <w:tcW w:w="3804" w:type="dxa"/>
          </w:tcPr>
          <w:p>
            <w:pPr>
              <w:spacing w:line="440" w:lineRule="exact"/>
              <w:ind w:firstLine="480" w:firstLineChars="200"/>
              <w:rPr>
                <w:color w:val="00000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78" w:type="dxa"/>
          </w:tcPr>
          <w:p>
            <w:pPr>
              <w:spacing w:line="440" w:lineRule="exact"/>
              <w:rPr>
                <w:color w:val="000000"/>
                <w:sz w:val="24"/>
                <w:szCs w:val="28"/>
              </w:rPr>
            </w:pPr>
            <w:r>
              <w:rPr>
                <w:rFonts w:hint="eastAsia"/>
                <w:color w:val="000000"/>
              </w:rPr>
              <w:t>施工方案（30分）</w:t>
            </w:r>
          </w:p>
        </w:tc>
        <w:tc>
          <w:tcPr>
            <w:tcW w:w="778" w:type="dxa"/>
            <w:vAlign w:val="bottom"/>
          </w:tcPr>
          <w:p>
            <w:pPr>
              <w:spacing w:line="440" w:lineRule="exact"/>
              <w:ind w:firstLine="480" w:firstLineChars="200"/>
              <w:rPr>
                <w:color w:val="000000"/>
                <w:sz w:val="24"/>
                <w:szCs w:val="28"/>
              </w:rPr>
            </w:pPr>
          </w:p>
        </w:tc>
        <w:tc>
          <w:tcPr>
            <w:tcW w:w="831" w:type="dxa"/>
            <w:vAlign w:val="bottom"/>
          </w:tcPr>
          <w:p>
            <w:pPr>
              <w:spacing w:line="440" w:lineRule="exact"/>
              <w:ind w:firstLine="480" w:firstLineChars="200"/>
              <w:rPr>
                <w:color w:val="000000"/>
                <w:sz w:val="24"/>
                <w:szCs w:val="28"/>
              </w:rPr>
            </w:pPr>
          </w:p>
        </w:tc>
        <w:tc>
          <w:tcPr>
            <w:tcW w:w="1013" w:type="dxa"/>
            <w:vAlign w:val="bottom"/>
          </w:tcPr>
          <w:p>
            <w:pPr>
              <w:spacing w:line="440" w:lineRule="exact"/>
              <w:ind w:firstLine="480" w:firstLineChars="200"/>
              <w:rPr>
                <w:color w:val="000000"/>
                <w:sz w:val="24"/>
                <w:szCs w:val="28"/>
              </w:rPr>
            </w:pPr>
          </w:p>
        </w:tc>
        <w:tc>
          <w:tcPr>
            <w:tcW w:w="856" w:type="dxa"/>
            <w:vAlign w:val="bottom"/>
          </w:tcPr>
          <w:p>
            <w:pPr>
              <w:spacing w:line="440" w:lineRule="exact"/>
              <w:ind w:firstLine="480" w:firstLineChars="200"/>
              <w:rPr>
                <w:color w:val="000000"/>
                <w:sz w:val="24"/>
                <w:szCs w:val="28"/>
              </w:rPr>
            </w:pPr>
          </w:p>
        </w:tc>
        <w:tc>
          <w:tcPr>
            <w:tcW w:w="3804" w:type="dxa"/>
          </w:tcPr>
          <w:p>
            <w:pPr>
              <w:spacing w:line="440" w:lineRule="exact"/>
              <w:ind w:firstLine="480" w:firstLineChars="200"/>
              <w:rPr>
                <w:color w:val="00000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78" w:type="dxa"/>
          </w:tcPr>
          <w:p>
            <w:pPr>
              <w:spacing w:line="440" w:lineRule="exact"/>
              <w:rPr>
                <w:color w:val="000000"/>
              </w:rPr>
            </w:pPr>
            <w:r>
              <w:rPr>
                <w:rFonts w:hint="eastAsia"/>
                <w:color w:val="000000"/>
              </w:rPr>
              <w:t>报价（20分）</w:t>
            </w:r>
          </w:p>
        </w:tc>
        <w:tc>
          <w:tcPr>
            <w:tcW w:w="778" w:type="dxa"/>
            <w:vAlign w:val="bottom"/>
          </w:tcPr>
          <w:p>
            <w:pPr>
              <w:spacing w:line="440" w:lineRule="exact"/>
              <w:ind w:firstLine="420" w:firstLineChars="200"/>
              <w:rPr>
                <w:color w:val="000000"/>
              </w:rPr>
            </w:pPr>
          </w:p>
        </w:tc>
        <w:tc>
          <w:tcPr>
            <w:tcW w:w="831" w:type="dxa"/>
            <w:vAlign w:val="bottom"/>
          </w:tcPr>
          <w:p>
            <w:pPr>
              <w:spacing w:line="440" w:lineRule="exact"/>
              <w:ind w:firstLine="480" w:firstLineChars="200"/>
              <w:rPr>
                <w:color w:val="000000"/>
                <w:sz w:val="24"/>
                <w:szCs w:val="28"/>
              </w:rPr>
            </w:pPr>
          </w:p>
        </w:tc>
        <w:tc>
          <w:tcPr>
            <w:tcW w:w="1013" w:type="dxa"/>
            <w:vAlign w:val="bottom"/>
          </w:tcPr>
          <w:p>
            <w:pPr>
              <w:spacing w:line="440" w:lineRule="exact"/>
              <w:ind w:firstLine="480" w:firstLineChars="200"/>
              <w:rPr>
                <w:color w:val="000000"/>
                <w:sz w:val="24"/>
                <w:szCs w:val="28"/>
              </w:rPr>
            </w:pPr>
          </w:p>
        </w:tc>
        <w:tc>
          <w:tcPr>
            <w:tcW w:w="856" w:type="dxa"/>
            <w:vAlign w:val="bottom"/>
          </w:tcPr>
          <w:p>
            <w:pPr>
              <w:spacing w:line="440" w:lineRule="exact"/>
              <w:ind w:firstLine="480" w:firstLineChars="200"/>
              <w:rPr>
                <w:color w:val="000000"/>
                <w:sz w:val="24"/>
                <w:szCs w:val="28"/>
              </w:rPr>
            </w:pPr>
          </w:p>
        </w:tc>
        <w:tc>
          <w:tcPr>
            <w:tcW w:w="3804" w:type="dxa"/>
          </w:tcPr>
          <w:p>
            <w:pPr>
              <w:spacing w:line="440" w:lineRule="exact"/>
              <w:ind w:firstLine="480" w:firstLineChars="200"/>
              <w:rPr>
                <w:color w:val="00000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78" w:type="dxa"/>
          </w:tcPr>
          <w:p>
            <w:pPr>
              <w:spacing w:line="440" w:lineRule="exact"/>
              <w:rPr>
                <w:color w:val="000000"/>
              </w:rPr>
            </w:pPr>
            <w:r>
              <w:rPr>
                <w:rFonts w:hint="eastAsia"/>
                <w:color w:val="000000"/>
              </w:rPr>
              <w:t>主要业绩（20分）</w:t>
            </w:r>
          </w:p>
        </w:tc>
        <w:tc>
          <w:tcPr>
            <w:tcW w:w="778" w:type="dxa"/>
            <w:vAlign w:val="bottom"/>
          </w:tcPr>
          <w:p>
            <w:pPr>
              <w:spacing w:line="440" w:lineRule="exact"/>
              <w:ind w:firstLine="420" w:firstLineChars="200"/>
              <w:rPr>
                <w:color w:val="000000"/>
              </w:rPr>
            </w:pPr>
          </w:p>
        </w:tc>
        <w:tc>
          <w:tcPr>
            <w:tcW w:w="831" w:type="dxa"/>
            <w:vAlign w:val="bottom"/>
          </w:tcPr>
          <w:p>
            <w:pPr>
              <w:spacing w:line="440" w:lineRule="exact"/>
              <w:ind w:firstLine="480" w:firstLineChars="200"/>
              <w:rPr>
                <w:color w:val="000000"/>
                <w:sz w:val="24"/>
                <w:szCs w:val="28"/>
              </w:rPr>
            </w:pPr>
          </w:p>
        </w:tc>
        <w:tc>
          <w:tcPr>
            <w:tcW w:w="1013" w:type="dxa"/>
            <w:vAlign w:val="bottom"/>
          </w:tcPr>
          <w:p>
            <w:pPr>
              <w:spacing w:line="440" w:lineRule="exact"/>
              <w:ind w:firstLine="480" w:firstLineChars="200"/>
              <w:rPr>
                <w:color w:val="000000"/>
                <w:sz w:val="24"/>
                <w:szCs w:val="28"/>
              </w:rPr>
            </w:pPr>
          </w:p>
        </w:tc>
        <w:tc>
          <w:tcPr>
            <w:tcW w:w="856" w:type="dxa"/>
            <w:vAlign w:val="bottom"/>
          </w:tcPr>
          <w:p>
            <w:pPr>
              <w:spacing w:line="440" w:lineRule="exact"/>
              <w:ind w:firstLine="480" w:firstLineChars="200"/>
              <w:rPr>
                <w:color w:val="000000"/>
                <w:sz w:val="24"/>
                <w:szCs w:val="28"/>
              </w:rPr>
            </w:pPr>
          </w:p>
        </w:tc>
        <w:tc>
          <w:tcPr>
            <w:tcW w:w="3804" w:type="dxa"/>
          </w:tcPr>
          <w:p>
            <w:pPr>
              <w:spacing w:line="440" w:lineRule="exact"/>
              <w:ind w:firstLine="480" w:firstLineChars="200"/>
              <w:rPr>
                <w:color w:val="000000"/>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778" w:type="dxa"/>
          </w:tcPr>
          <w:p>
            <w:pPr>
              <w:spacing w:line="440" w:lineRule="exact"/>
              <w:rPr>
                <w:color w:val="000000"/>
              </w:rPr>
            </w:pPr>
            <w:r>
              <w:rPr>
                <w:rFonts w:hint="eastAsia"/>
                <w:color w:val="000000"/>
              </w:rPr>
              <w:t>总分</w:t>
            </w:r>
          </w:p>
        </w:tc>
        <w:tc>
          <w:tcPr>
            <w:tcW w:w="778" w:type="dxa"/>
            <w:vAlign w:val="bottom"/>
          </w:tcPr>
          <w:p>
            <w:pPr>
              <w:spacing w:line="440" w:lineRule="exact"/>
              <w:ind w:firstLine="420" w:firstLineChars="200"/>
              <w:rPr>
                <w:color w:val="000000"/>
              </w:rPr>
            </w:pPr>
          </w:p>
        </w:tc>
        <w:tc>
          <w:tcPr>
            <w:tcW w:w="831" w:type="dxa"/>
            <w:vAlign w:val="bottom"/>
          </w:tcPr>
          <w:p>
            <w:pPr>
              <w:spacing w:line="440" w:lineRule="exact"/>
              <w:ind w:firstLine="480" w:firstLineChars="200"/>
              <w:rPr>
                <w:color w:val="000000"/>
                <w:sz w:val="24"/>
                <w:szCs w:val="28"/>
              </w:rPr>
            </w:pPr>
          </w:p>
        </w:tc>
        <w:tc>
          <w:tcPr>
            <w:tcW w:w="1013" w:type="dxa"/>
            <w:vAlign w:val="bottom"/>
          </w:tcPr>
          <w:p>
            <w:pPr>
              <w:spacing w:line="440" w:lineRule="exact"/>
              <w:ind w:firstLine="480" w:firstLineChars="200"/>
              <w:rPr>
                <w:color w:val="000000"/>
                <w:sz w:val="24"/>
                <w:szCs w:val="28"/>
              </w:rPr>
            </w:pPr>
          </w:p>
        </w:tc>
        <w:tc>
          <w:tcPr>
            <w:tcW w:w="856" w:type="dxa"/>
            <w:vAlign w:val="bottom"/>
          </w:tcPr>
          <w:p>
            <w:pPr>
              <w:spacing w:line="440" w:lineRule="exact"/>
              <w:ind w:firstLine="480" w:firstLineChars="200"/>
              <w:rPr>
                <w:color w:val="000000"/>
                <w:sz w:val="24"/>
                <w:szCs w:val="28"/>
              </w:rPr>
            </w:pPr>
          </w:p>
        </w:tc>
        <w:tc>
          <w:tcPr>
            <w:tcW w:w="3804" w:type="dxa"/>
          </w:tcPr>
          <w:p>
            <w:pPr>
              <w:spacing w:line="440" w:lineRule="exact"/>
              <w:ind w:firstLine="480" w:firstLineChars="200"/>
              <w:rPr>
                <w:color w:val="000000"/>
                <w:sz w:val="24"/>
                <w:szCs w:val="28"/>
              </w:rPr>
            </w:pPr>
          </w:p>
        </w:tc>
      </w:tr>
    </w:tbl>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4.评审委员会根据评审结果，向比选人提交书面评审报告，在报告中对合格的比选申请人(即通过资格审查的比选申请人)采用综合评分方式，按综合得分由底到高顺序排序，按综合得分最高者为中选候选人。</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5.评审结束后，由比选人向比选申请人发出“评选结果通知书”。</w:t>
      </w:r>
    </w:p>
    <w:p>
      <w:pPr>
        <w:widowControl/>
        <w:wordWrap w:val="0"/>
        <w:spacing w:line="540" w:lineRule="atLeast"/>
        <w:jc w:val="left"/>
        <w:rPr>
          <w:rFonts w:ascii="Times New Roman" w:hAnsi="Times New Roman" w:eastAsia="黑体"/>
          <w:color w:val="000000"/>
          <w:kern w:val="0"/>
          <w:sz w:val="32"/>
          <w:szCs w:val="32"/>
        </w:rPr>
      </w:pPr>
      <w:r>
        <w:rPr>
          <w:rFonts w:ascii="Times New Roman" w:hAnsi="黑体" w:eastAsia="黑体"/>
          <w:color w:val="000000"/>
          <w:kern w:val="0"/>
          <w:sz w:val="32"/>
          <w:szCs w:val="32"/>
        </w:rPr>
        <w:t>十二、评审过程的保密</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1.评审会开始后，直至授予中选人合同为止，凡属于对比选申请书的审查、评价和比较的有关资料以及中选排名推荐情况，与评审有关的其他任何情况均严格保密。</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2.在比选申请书的评审、中选排名推荐情况以及授予合同的过程中，比选申请</w:t>
      </w:r>
      <w:r>
        <w:rPr>
          <w:rFonts w:ascii="Times New Roman" w:hAnsi="Times New Roman" w:eastAsia="仿宋_GB2312"/>
          <w:color w:val="000000"/>
          <w:sz w:val="32"/>
          <w:szCs w:val="32"/>
        </w:rPr>
        <w:br w:type="textWrapping"/>
      </w:r>
      <w:r>
        <w:rPr>
          <w:rFonts w:ascii="Times New Roman" w:hAnsi="Times New Roman" w:eastAsia="仿宋_GB2312"/>
          <w:color w:val="000000"/>
          <w:sz w:val="32"/>
          <w:szCs w:val="32"/>
        </w:rPr>
        <w:t>人向比选人和评审委员会施加影响的任何行为，都将会导致其比选申请被拒绝。</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3.中选人确定后，比选人不对未中选人就评审过程以及来能中选原因做出任何解释。未中选人不得向评审委员会组成人员或其他有关人员索问评审过程情况和索要评审过程材料。</w:t>
      </w:r>
    </w:p>
    <w:p>
      <w:pPr>
        <w:widowControl/>
        <w:wordWrap w:val="0"/>
        <w:spacing w:line="540" w:lineRule="atLeast"/>
        <w:jc w:val="left"/>
        <w:rPr>
          <w:rFonts w:ascii="Times New Roman" w:hAnsi="Times New Roman" w:eastAsia="黑体"/>
          <w:color w:val="000000"/>
          <w:kern w:val="0"/>
          <w:sz w:val="32"/>
          <w:szCs w:val="32"/>
        </w:rPr>
      </w:pPr>
      <w:r>
        <w:rPr>
          <w:rFonts w:ascii="Times New Roman" w:hAnsi="黑体" w:eastAsia="黑体"/>
          <w:color w:val="000000"/>
          <w:kern w:val="0"/>
          <w:sz w:val="32"/>
          <w:szCs w:val="32"/>
        </w:rPr>
        <w:t>十三、中选通知书</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1.评审结束后，比选人按照评审委员会评审结果确定本项目中选单位。</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2.中选通知书是合同文件的组成部分。</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3.比选人对未中选的比选申请人不解释未中选原因。</w:t>
      </w:r>
    </w:p>
    <w:p>
      <w:pPr>
        <w:spacing w:line="440" w:lineRule="exact"/>
        <w:rPr>
          <w:rFonts w:ascii="Times New Roman" w:hAnsi="Times New Roman" w:eastAsia="黑体"/>
          <w:color w:val="000000"/>
          <w:kern w:val="0"/>
          <w:sz w:val="32"/>
          <w:szCs w:val="32"/>
        </w:rPr>
      </w:pPr>
      <w:r>
        <w:rPr>
          <w:rFonts w:ascii="Times New Roman" w:hAnsi="黑体" w:eastAsia="黑体"/>
          <w:color w:val="000000"/>
          <w:kern w:val="0"/>
          <w:sz w:val="32"/>
          <w:szCs w:val="32"/>
        </w:rPr>
        <w:t>十四、合同协议书的签署。</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1.中选人应于收到中选通知书之日起5个工作日内由法定代表人或授权代表与比选人按项目签订合同。合同经双方法定代表人或其授权的代理人签署并加盖公章后生效。</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2.如果中选人以资金、技术、工期等非正当理由放弃中选或者在规定的时间内未与比选人签订合同的，比选人可以选择顺延后面排名的中选候选人确定为中选人，也可以选择重新组织比选。</w:t>
      </w:r>
    </w:p>
    <w:p>
      <w:pPr>
        <w:widowControl/>
        <w:wordWrap w:val="0"/>
        <w:spacing w:line="540" w:lineRule="atLeast"/>
        <w:jc w:val="left"/>
        <w:rPr>
          <w:rFonts w:ascii="Times New Roman" w:hAnsi="Times New Roman" w:eastAsia="黑体"/>
          <w:color w:val="000000"/>
          <w:kern w:val="0"/>
          <w:sz w:val="32"/>
          <w:szCs w:val="32"/>
        </w:rPr>
      </w:pPr>
      <w:r>
        <w:rPr>
          <w:rFonts w:ascii="Times New Roman" w:hAnsi="黑体" w:eastAsia="黑体"/>
          <w:color w:val="000000"/>
          <w:kern w:val="0"/>
          <w:sz w:val="32"/>
          <w:szCs w:val="32"/>
        </w:rPr>
        <w:t>十五、比选人的权利</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1.比选人保留在授予中选通知书前的任何时候取消本次比选活动以及拒绝所有的比选申请书的权利，且无须向受影响的比选申请人解释有关原因。</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2.对未中选的比选申请人，比选人将不作任何解释。</w:t>
      </w:r>
    </w:p>
    <w:p>
      <w:pPr>
        <w:widowControl/>
        <w:wordWrap w:val="0"/>
        <w:spacing w:line="540" w:lineRule="atLeast"/>
        <w:jc w:val="left"/>
        <w:rPr>
          <w:rFonts w:ascii="Times New Roman" w:hAnsi="Times New Roman" w:eastAsia="黑体"/>
          <w:color w:val="000000"/>
          <w:kern w:val="0"/>
          <w:sz w:val="32"/>
          <w:szCs w:val="32"/>
        </w:rPr>
      </w:pPr>
      <w:r>
        <w:rPr>
          <w:rFonts w:ascii="Times New Roman" w:hAnsi="黑体" w:eastAsia="黑体"/>
          <w:color w:val="000000"/>
          <w:kern w:val="0"/>
          <w:sz w:val="32"/>
          <w:szCs w:val="32"/>
        </w:rPr>
        <w:t>十六、不正当竞争与纪律监督</w:t>
      </w:r>
    </w:p>
    <w:p>
      <w:pPr>
        <w:spacing w:line="44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1.严禁比选申请人向参与比选、评审工作的有关人员行贿，使其泄露一切与比选、评审工作的有关信息。</w:t>
      </w:r>
    </w:p>
    <w:p>
      <w:pPr>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2.比选申请人在比选过程中严禁互相串通、结盟，损害比选的公正性和竞争性，或以任何方式影响其他比选申请人参与正当比选。</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3A2"/>
    <w:rsid w:val="0028731D"/>
    <w:rsid w:val="002A2E14"/>
    <w:rsid w:val="004611D7"/>
    <w:rsid w:val="007B48BC"/>
    <w:rsid w:val="00836F4A"/>
    <w:rsid w:val="008E63A2"/>
    <w:rsid w:val="00A162C2"/>
    <w:rsid w:val="00DB7A76"/>
    <w:rsid w:val="00E032CA"/>
    <w:rsid w:val="00F5100A"/>
    <w:rsid w:val="21D1338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572</Words>
  <Characters>3261</Characters>
  <Lines>27</Lines>
  <Paragraphs>7</Paragraphs>
  <TotalTime>16</TotalTime>
  <ScaleCrop>false</ScaleCrop>
  <LinksUpToDate>false</LinksUpToDate>
  <CharactersWithSpaces>3826</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2020-09-09T07:31:00Z</dcterms:created>
  <dc:creator>毛林</dc:creator>
  <cp:lastModifiedBy>董Yuan捷</cp:lastModifiedBy>
  <dcterms:modified xsi:type="dcterms:W3CDTF">2020-09-09T09:46:13Z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